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35752" w:rsidRPr="00D35752" w:rsidTr="005851E2">
        <w:tc>
          <w:tcPr>
            <w:tcW w:w="8188" w:type="dxa"/>
            <w:vAlign w:val="center"/>
          </w:tcPr>
          <w:p w:rsidR="00D35752" w:rsidRPr="00D35752" w:rsidRDefault="00D35752" w:rsidP="005851E2">
            <w:pPr>
              <w:spacing w:before="0"/>
            </w:pPr>
            <w:r w:rsidRPr="005851E2">
              <w:rPr>
                <w:rFonts w:ascii="Futura Lt BT" w:hAnsi="Futura Lt BT"/>
                <w:sz w:val="44"/>
              </w:rPr>
              <w:t>I</w:t>
            </w:r>
            <w:r w:rsidRPr="005851E2">
              <w:rPr>
                <w:rFonts w:ascii="Futura Lt BT" w:hAnsi="Futura Lt BT"/>
                <w:sz w:val="36"/>
              </w:rPr>
              <w:t xml:space="preserve">NTERNATIONAL </w:t>
            </w:r>
            <w:r w:rsidRPr="005851E2">
              <w:rPr>
                <w:rFonts w:ascii="Futura Lt BT" w:hAnsi="Futura Lt BT"/>
                <w:sz w:val="44"/>
              </w:rPr>
              <w:t>T</w:t>
            </w:r>
            <w:r w:rsidRPr="005851E2">
              <w:rPr>
                <w:rFonts w:ascii="Futura Lt BT" w:hAnsi="Futura Lt BT"/>
                <w:sz w:val="36"/>
              </w:rPr>
              <w:t xml:space="preserve">ELECOMMUNICATION </w:t>
            </w:r>
            <w:smartTag w:uri="urn:schemas-microsoft-com:office:smarttags" w:element="place">
              <w:r w:rsidRPr="005851E2">
                <w:rPr>
                  <w:rFonts w:ascii="Futura Lt BT" w:hAnsi="Futura Lt BT"/>
                  <w:sz w:val="44"/>
                </w:rPr>
                <w:t>U</w:t>
              </w:r>
              <w:r w:rsidRPr="005851E2">
                <w:rPr>
                  <w:rFonts w:ascii="Futura Lt BT" w:hAnsi="Futura Lt BT"/>
                  <w:sz w:val="36"/>
                </w:rPr>
                <w:t>NION</w:t>
              </w:r>
            </w:smartTag>
          </w:p>
        </w:tc>
        <w:tc>
          <w:tcPr>
            <w:tcW w:w="1667" w:type="dxa"/>
          </w:tcPr>
          <w:p w:rsidR="00D35752" w:rsidRPr="00D35752" w:rsidRDefault="00D35752" w:rsidP="005851E2">
            <w:pPr>
              <w:spacing w:before="0"/>
              <w:jc w:val="right"/>
            </w:pPr>
            <w:r w:rsidRPr="005851E2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74.55pt">
                  <v:imagedata r:id="rId7" o:title="sigleITU"/>
                </v:shape>
              </w:pic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5" w:type="dxa"/>
          </w:tcPr>
          <w:p w:rsidR="00B87E04" w:rsidRDefault="00B87E04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(Direct Fax N°. 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227"/>
        <w:gridCol w:w="6793"/>
      </w:tblGrid>
      <w:tr w:rsidR="00B87E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27" w:type="dxa"/>
          </w:tcPr>
          <w:p w:rsidR="00B87E04" w:rsidRPr="00B50B4F" w:rsidRDefault="00FF35C4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B50B4F" w:rsidRDefault="00FF35C4" w:rsidP="006B7E9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CAR</w:t>
            </w:r>
            <w:r w:rsidR="00B50B4F">
              <w:rPr>
                <w:b/>
                <w:bCs/>
              </w:rPr>
              <w:t>/</w:t>
            </w:r>
            <w:r w:rsidR="006B7E99">
              <w:rPr>
                <w:b/>
                <w:bCs/>
              </w:rPr>
              <w:t>310</w:t>
            </w:r>
          </w:p>
        </w:tc>
        <w:tc>
          <w:tcPr>
            <w:tcW w:w="6793" w:type="dxa"/>
          </w:tcPr>
          <w:p w:rsidR="00B87E04" w:rsidRPr="00B50B4F" w:rsidRDefault="006B7E99" w:rsidP="004B7CB3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13 January 2011</w:t>
            </w:r>
          </w:p>
        </w:tc>
      </w:tr>
    </w:tbl>
    <w:p w:rsidR="009741F9" w:rsidRDefault="009741F9" w:rsidP="009741F9">
      <w:pPr>
        <w:tabs>
          <w:tab w:val="left" w:pos="7513"/>
        </w:tabs>
        <w:spacing w:before="720"/>
        <w:jc w:val="center"/>
        <w:rPr>
          <w:b/>
        </w:rPr>
      </w:pPr>
      <w:r>
        <w:rPr>
          <w:b/>
        </w:rPr>
        <w:t>To Administrations of Member States of the ITU</w:t>
      </w:r>
    </w:p>
    <w:p w:rsidR="009741F9" w:rsidRDefault="009741F9" w:rsidP="006B7E99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 xml:space="preserve">Radiocommunication Study Group </w:t>
      </w:r>
      <w:r w:rsidR="006B7E99">
        <w:rPr>
          <w:b/>
          <w:bCs/>
        </w:rPr>
        <w:t>5</w:t>
      </w:r>
    </w:p>
    <w:p w:rsidR="009741F9" w:rsidRPr="00CD6810" w:rsidRDefault="009741F9" w:rsidP="006B7E99">
      <w:pPr>
        <w:tabs>
          <w:tab w:val="clear" w:pos="1588"/>
          <w:tab w:val="clear" w:pos="1985"/>
          <w:tab w:val="left" w:pos="1418"/>
        </w:tabs>
        <w:ind w:left="1416"/>
        <w:rPr>
          <w:b/>
        </w:rPr>
      </w:pPr>
      <w:r>
        <w:rPr>
          <w:b/>
        </w:rPr>
        <w:t>–</w:t>
      </w:r>
      <w:r>
        <w:rPr>
          <w:b/>
        </w:rPr>
        <w:tab/>
        <w:t xml:space="preserve">Proposed suppression of </w:t>
      </w:r>
      <w:r w:rsidR="006B7E99">
        <w:rPr>
          <w:b/>
        </w:rPr>
        <w:t>10</w:t>
      </w:r>
      <w:r w:rsidR="00755411">
        <w:rPr>
          <w:b/>
        </w:rPr>
        <w:t xml:space="preserve"> </w:t>
      </w:r>
      <w:r>
        <w:rPr>
          <w:b/>
        </w:rPr>
        <w:t>ITU-R Questions</w:t>
      </w:r>
    </w:p>
    <w:p w:rsidR="009741F9" w:rsidRDefault="009741F9" w:rsidP="009741F9"/>
    <w:p w:rsidR="009741F9" w:rsidRDefault="009741F9" w:rsidP="006B7E99">
      <w:r>
        <w:t xml:space="preserve">At the meeting of Radiocommunication Study Group </w:t>
      </w:r>
      <w:r w:rsidR="006B7E99">
        <w:t>5</w:t>
      </w:r>
      <w:r>
        <w:t xml:space="preserve"> held on </w:t>
      </w:r>
      <w:r w:rsidR="006B7E99">
        <w:t>22 and 23 November</w:t>
      </w:r>
      <w:r w:rsidR="00755411">
        <w:t xml:space="preserve"> </w:t>
      </w:r>
      <w:r w:rsidR="006B7E99">
        <w:t>2010</w:t>
      </w:r>
      <w:r>
        <w:t xml:space="preserve">, </w:t>
      </w:r>
      <w:r w:rsidR="007204D6">
        <w:br/>
      </w:r>
      <w:r>
        <w:t xml:space="preserve">the suppression of </w:t>
      </w:r>
      <w:r w:rsidR="006B7E99">
        <w:t>10</w:t>
      </w:r>
      <w:r>
        <w:t xml:space="preserve"> ITU-R Questions was proposed. </w:t>
      </w:r>
    </w:p>
    <w:p w:rsidR="009741F9" w:rsidRDefault="009741F9" w:rsidP="006B7E99">
      <w:r>
        <w:t>Having regard to the provisions of § 3.7 of Resolution ITU-R 1-5, you are requested to inform the Secretariat (</w:t>
      </w:r>
      <w:hyperlink r:id="rId8" w:history="1">
        <w:r>
          <w:rPr>
            <w:rStyle w:val="Hyperlink"/>
          </w:rPr>
          <w:t>brsgd@</w:t>
        </w:r>
        <w:r>
          <w:rPr>
            <w:rStyle w:val="Hyperlink"/>
          </w:rPr>
          <w:t>i</w:t>
        </w:r>
        <w:r>
          <w:rPr>
            <w:rStyle w:val="Hyperlink"/>
          </w:rPr>
          <w:t>tu.int</w:t>
        </w:r>
      </w:hyperlink>
      <w:r>
        <w:t xml:space="preserve">) by </w:t>
      </w:r>
      <w:r w:rsidR="006B7E99">
        <w:rPr>
          <w:u w:val="single"/>
        </w:rPr>
        <w:t xml:space="preserve">13 April </w:t>
      </w:r>
      <w:r w:rsidR="00755411">
        <w:rPr>
          <w:u w:val="single"/>
        </w:rPr>
        <w:t>201</w:t>
      </w:r>
      <w:r w:rsidR="006B7E99">
        <w:rPr>
          <w:u w:val="single"/>
        </w:rPr>
        <w:t>1</w:t>
      </w:r>
      <w:r>
        <w:t>, whether your Administration approves or does not approve the proposal above.</w:t>
      </w:r>
    </w:p>
    <w:p w:rsidR="009741F9" w:rsidRDefault="009741F9" w:rsidP="009741F9">
      <w:pPr>
        <w:spacing w:after="120"/>
      </w:pPr>
      <w:r>
        <w:t xml:space="preserve">After the above-mentioned deadline, the results of this consultation will be notified in an Administrative Circular (see: </w:t>
      </w:r>
      <w:hyperlink r:id="rId9" w:history="1">
        <w:r w:rsidR="006B7E99" w:rsidRPr="00FC75DC">
          <w:rPr>
            <w:rStyle w:val="Hyperlink"/>
          </w:rPr>
          <w:t>http://www.itu.int/p</w:t>
        </w:r>
        <w:r w:rsidR="006B7E99" w:rsidRPr="00FC75DC">
          <w:rPr>
            <w:rStyle w:val="Hyperlink"/>
          </w:rPr>
          <w:t>u</w:t>
        </w:r>
        <w:r w:rsidR="006B7E99" w:rsidRPr="00FC75DC">
          <w:rPr>
            <w:rStyle w:val="Hyperlink"/>
          </w:rPr>
          <w:t>b</w:t>
        </w:r>
        <w:r w:rsidR="006B7E99" w:rsidRPr="00FC75DC">
          <w:rPr>
            <w:rStyle w:val="Hyperlink"/>
          </w:rPr>
          <w:t>l/</w:t>
        </w:r>
        <w:r w:rsidR="006B7E99" w:rsidRPr="00FC75DC">
          <w:rPr>
            <w:rStyle w:val="Hyperlink"/>
          </w:rPr>
          <w:t>R-QUE-S</w:t>
        </w:r>
        <w:r w:rsidR="006B7E99" w:rsidRPr="00FC75DC">
          <w:rPr>
            <w:rStyle w:val="Hyperlink"/>
          </w:rPr>
          <w:t>G</w:t>
        </w:r>
        <w:r w:rsidR="006B7E99" w:rsidRPr="00FC75DC">
          <w:rPr>
            <w:rStyle w:val="Hyperlink"/>
          </w:rPr>
          <w:t>05/en</w:t>
        </w:r>
      </w:hyperlink>
      <w:r>
        <w:t>).</w:t>
      </w:r>
    </w:p>
    <w:p w:rsidR="009741F9" w:rsidRDefault="009741F9" w:rsidP="009741F9">
      <w:pPr>
        <w:spacing w:after="120"/>
      </w:pPr>
    </w:p>
    <w:p w:rsidR="009741F9" w:rsidRPr="006B7E99" w:rsidRDefault="009741F9" w:rsidP="006B7E99">
      <w:pPr>
        <w:tabs>
          <w:tab w:val="center" w:pos="7371"/>
        </w:tabs>
        <w:spacing w:before="1080"/>
        <w:rPr>
          <w:lang w:val="fr-CH"/>
        </w:rPr>
      </w:pPr>
      <w:bookmarkStart w:id="3" w:name="StartTyping_E"/>
      <w:bookmarkEnd w:id="3"/>
      <w:r>
        <w:tab/>
      </w:r>
      <w:r>
        <w:tab/>
      </w:r>
      <w:r>
        <w:tab/>
      </w:r>
      <w:r>
        <w:tab/>
      </w:r>
      <w:r>
        <w:tab/>
      </w:r>
      <w:r w:rsidR="006B7E99" w:rsidRPr="006B7E99">
        <w:rPr>
          <w:lang w:val="fr-CH"/>
        </w:rPr>
        <w:t>Fran</w:t>
      </w:r>
      <w:r w:rsidR="006B7E99" w:rsidRPr="006B7E99">
        <w:rPr>
          <w:rFonts w:ascii="Sylfaen" w:hAnsi="Sylfaen"/>
          <w:lang w:val="fr-CH"/>
        </w:rPr>
        <w:t>çois Rancy</w:t>
      </w:r>
      <w:r w:rsidRPr="006B7E99">
        <w:rPr>
          <w:lang w:val="fr-CH"/>
        </w:rPr>
        <w:br/>
      </w:r>
      <w:r w:rsidRPr="006B7E99">
        <w:rPr>
          <w:lang w:val="fr-CH"/>
        </w:rPr>
        <w:tab/>
      </w:r>
      <w:r w:rsidRPr="006B7E99">
        <w:rPr>
          <w:lang w:val="fr-CH"/>
        </w:rPr>
        <w:tab/>
      </w:r>
      <w:r w:rsidRPr="006B7E99">
        <w:rPr>
          <w:lang w:val="fr-CH"/>
        </w:rPr>
        <w:tab/>
      </w:r>
      <w:r w:rsidRPr="006B7E99">
        <w:rPr>
          <w:lang w:val="fr-CH"/>
        </w:rPr>
        <w:tab/>
      </w:r>
      <w:r w:rsidRPr="006B7E99">
        <w:rPr>
          <w:lang w:val="fr-CH"/>
        </w:rPr>
        <w:tab/>
        <w:t>Director, Radiocommunication Bureau</w:t>
      </w:r>
    </w:p>
    <w:p w:rsidR="009741F9" w:rsidRPr="006B7E99" w:rsidRDefault="009741F9" w:rsidP="009741F9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fr-CH"/>
        </w:rPr>
      </w:pPr>
    </w:p>
    <w:p w:rsidR="009741F9" w:rsidRPr="006B7E99" w:rsidRDefault="009741F9" w:rsidP="009741F9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  <w:lang w:val="fr-CH"/>
        </w:rPr>
      </w:pPr>
    </w:p>
    <w:p w:rsidR="009741F9" w:rsidRPr="00D564EC" w:rsidRDefault="009741F9" w:rsidP="00B878B3">
      <w:pPr>
        <w:rPr>
          <w:bCs/>
          <w:lang w:val="en-US"/>
        </w:rPr>
      </w:pPr>
      <w:r w:rsidRPr="00A4517E">
        <w:rPr>
          <w:b/>
          <w:bCs/>
          <w:lang w:val="en-US"/>
        </w:rPr>
        <w:t>Annex</w:t>
      </w:r>
      <w:r w:rsidR="00B878B3">
        <w:rPr>
          <w:b/>
          <w:bCs/>
          <w:lang w:val="en-US"/>
        </w:rPr>
        <w:t>:</w:t>
      </w:r>
    </w:p>
    <w:p w:rsidR="009741F9" w:rsidRDefault="009741F9" w:rsidP="000A3BC4">
      <w:pPr>
        <w:ind w:left="794" w:hanging="794"/>
      </w:pPr>
      <w:r>
        <w:t>–</w:t>
      </w:r>
      <w:r>
        <w:tab/>
        <w:t xml:space="preserve">Proposed suppression of </w:t>
      </w:r>
      <w:r w:rsidR="000A3BC4">
        <w:t>10</w:t>
      </w:r>
      <w:r>
        <w:t> ITU-R Questions</w:t>
      </w:r>
    </w:p>
    <w:p w:rsidR="009741F9" w:rsidRDefault="009741F9" w:rsidP="009741F9">
      <w:pPr>
        <w:tabs>
          <w:tab w:val="left" w:pos="284"/>
          <w:tab w:val="left" w:pos="568"/>
        </w:tabs>
        <w:spacing w:after="40"/>
        <w:rPr>
          <w:sz w:val="16"/>
          <w:u w:val="single"/>
        </w:rPr>
      </w:pPr>
    </w:p>
    <w:p w:rsidR="009741F9" w:rsidRDefault="009741F9" w:rsidP="009741F9">
      <w:pPr>
        <w:tabs>
          <w:tab w:val="left" w:pos="284"/>
          <w:tab w:val="left" w:pos="568"/>
        </w:tabs>
        <w:spacing w:after="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9741F9" w:rsidRDefault="009741F9" w:rsidP="009741F9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Administrations of Member States of the ITU</w:t>
      </w:r>
    </w:p>
    <w:p w:rsidR="009741F9" w:rsidRDefault="009741F9" w:rsidP="000A3BC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Radiocommunication Sector Members participating in the work of Radiocommunication Study Group </w:t>
      </w:r>
      <w:r w:rsidR="000A3BC4">
        <w:rPr>
          <w:sz w:val="16"/>
        </w:rPr>
        <w:t>5</w:t>
      </w:r>
    </w:p>
    <w:p w:rsidR="009741F9" w:rsidRDefault="009741F9" w:rsidP="000A3BC4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ITU-R Associates participating in the work of Radiocommunication Study Group </w:t>
      </w:r>
      <w:r w:rsidR="000A3BC4">
        <w:rPr>
          <w:sz w:val="16"/>
        </w:rPr>
        <w:t>5</w:t>
      </w:r>
    </w:p>
    <w:p w:rsidR="009741F9" w:rsidRDefault="009741F9" w:rsidP="00B878B3">
      <w:pPr>
        <w:pStyle w:val="AnnexNoTitle0"/>
        <w:rPr>
          <w:lang w:val="fr-FR"/>
        </w:rPr>
      </w:pPr>
      <w:r>
        <w:br w:type="page"/>
      </w:r>
      <w:r w:rsidRPr="00426B88">
        <w:rPr>
          <w:lang w:val="fr-FR"/>
        </w:rPr>
        <w:lastRenderedPageBreak/>
        <w:t>Annex</w:t>
      </w:r>
    </w:p>
    <w:p w:rsidR="000A3BC4" w:rsidRDefault="000A3BC4" w:rsidP="000A3BC4">
      <w:pPr>
        <w:pStyle w:val="Normalaftertitle0"/>
        <w:jc w:val="center"/>
        <w:rPr>
          <w:lang w:val="fr-FR"/>
        </w:rPr>
      </w:pPr>
      <w:r w:rsidRPr="00426B88">
        <w:rPr>
          <w:lang w:val="fr-FR"/>
        </w:rPr>
        <w:t>(Source: Document</w:t>
      </w:r>
      <w:r>
        <w:rPr>
          <w:lang w:val="fr-FR"/>
        </w:rPr>
        <w:t>s</w:t>
      </w:r>
      <w:r w:rsidRPr="00426B88">
        <w:rPr>
          <w:lang w:val="fr-FR"/>
        </w:rPr>
        <w:t xml:space="preserve"> </w:t>
      </w:r>
      <w:r>
        <w:rPr>
          <w:lang w:val="fr-FR"/>
        </w:rPr>
        <w:t>5/230, 5/243 and 5/244)</w:t>
      </w:r>
    </w:p>
    <w:p w:rsidR="000A3BC4" w:rsidRDefault="000A3BC4" w:rsidP="000A3BC4">
      <w:pPr>
        <w:pStyle w:val="AnnexNoTitle0"/>
        <w:spacing w:before="240"/>
        <w:rPr>
          <w:lang w:val="fr-CH"/>
        </w:rPr>
      </w:pPr>
      <w:r w:rsidRPr="00675F4D">
        <w:rPr>
          <w:lang w:val="fr-CH"/>
        </w:rPr>
        <w:t>Questio</w:t>
      </w:r>
      <w:r>
        <w:rPr>
          <w:lang w:val="fr-CH"/>
        </w:rPr>
        <w:t>ns</w:t>
      </w:r>
      <w:r w:rsidRPr="00675F4D">
        <w:rPr>
          <w:lang w:val="fr-CH"/>
        </w:rPr>
        <w:t xml:space="preserve"> proposed for suppression</w:t>
      </w:r>
    </w:p>
    <w:p w:rsidR="000A3BC4" w:rsidRPr="007852BF" w:rsidRDefault="000A3BC4" w:rsidP="000A3BC4">
      <w:pPr>
        <w:rPr>
          <w:lang w:val="fr-FR"/>
        </w:rPr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0A3BC4" w:rsidTr="000A3BC4">
        <w:trPr>
          <w:tblHeader/>
          <w:jc w:val="center"/>
        </w:trPr>
        <w:tc>
          <w:tcPr>
            <w:tcW w:w="1362" w:type="dxa"/>
            <w:vAlign w:val="center"/>
          </w:tcPr>
          <w:p w:rsidR="000A3BC4" w:rsidRDefault="000A3BC4" w:rsidP="00A05575">
            <w:pPr>
              <w:pStyle w:val="Tablehead"/>
            </w:pPr>
            <w:r>
              <w:t>Question ITU-R</w:t>
            </w:r>
          </w:p>
        </w:tc>
        <w:tc>
          <w:tcPr>
            <w:tcW w:w="7315" w:type="dxa"/>
            <w:vAlign w:val="center"/>
          </w:tcPr>
          <w:p w:rsidR="000A3BC4" w:rsidRDefault="000A3BC4" w:rsidP="000A3BC4">
            <w:pPr>
              <w:pStyle w:val="Tablehead"/>
            </w:pPr>
            <w:r>
              <w:t>Title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0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35-1/5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Efficient use of the radio spectrum by radar stations in the radiodetermination service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 xml:space="preserve">Automation of MF, HF and VHF maritime mobile communications 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E810CA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="007204D6" w:rsidRPr="00E810CA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Improved efficiency in the use of the band 156-174 MHz by stations in the maritime mobile service with a view to enhancing maritime safety and port security  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Transmission of digital data for the updating of electronic chart display systems  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Compatibility of radionavigation, earth exploration-satellite (active), space research (active), mobile, and radiolocation services operating in the band 5 350</w:t>
            </w:r>
            <w:r w:rsidRPr="00A05575">
              <w:rPr>
                <w:szCs w:val="22"/>
              </w:rPr>
              <w:noBreakHyphen/>
              <w:t>5 650 MHz and compatibility between the radionavigation and radiolocation services in the band 2 900-3 100 MHz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7204D6" w:rsidRPr="00A05575" w:rsidRDefault="007204D6" w:rsidP="00A05575">
            <w:pPr>
              <w:pStyle w:val="Tabletext"/>
              <w:spacing w:after="120"/>
              <w:rPr>
                <w:szCs w:val="24"/>
              </w:rPr>
            </w:pPr>
            <w:r w:rsidRPr="00A05575">
              <w:rPr>
                <w:szCs w:val="24"/>
              </w:rPr>
              <w:t xml:space="preserve">Internet protocol applications over mobile systems 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Pr="00450CFF" w:rsidDel="00FD6E1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226/5</w:t>
              </w:r>
            </w:hyperlink>
          </w:p>
        </w:tc>
        <w:tc>
          <w:tcPr>
            <w:tcW w:w="7315" w:type="dxa"/>
          </w:tcPr>
          <w:p w:rsidR="007204D6" w:rsidRPr="00A05575" w:rsidDel="00FD6E16" w:rsidRDefault="007204D6" w:rsidP="007204D6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Characteristics of and protection criteria for radars operating in the radiodetermination service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Pr="00450CFF" w:rsidDel="00FD6E1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7204D6" w:rsidRPr="00A05575" w:rsidDel="00FD6E16" w:rsidRDefault="007204D6" w:rsidP="007204D6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Universal shipborne automatic identification system</w:t>
            </w:r>
          </w:p>
        </w:tc>
      </w:tr>
      <w:tr w:rsidR="007204D6" w:rsidTr="000A3BC4">
        <w:trPr>
          <w:jc w:val="center"/>
        </w:trPr>
        <w:tc>
          <w:tcPr>
            <w:tcW w:w="1362" w:type="dxa"/>
          </w:tcPr>
          <w:p w:rsidR="007204D6" w:rsidRPr="00450CFF" w:rsidDel="00FD6E16" w:rsidRDefault="007204D6" w:rsidP="00913130">
            <w:pPr>
              <w:pStyle w:val="Tabletext"/>
              <w:spacing w:before="120" w:after="120"/>
              <w:jc w:val="center"/>
              <w:rPr>
                <w:rFonts w:eastAsia="SimSun"/>
                <w:bCs/>
                <w:szCs w:val="22"/>
              </w:rPr>
            </w:pPr>
            <w:hyperlink r:id="rId18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7204D6" w:rsidRPr="00A05575" w:rsidDel="00FD6E16" w:rsidRDefault="007204D6" w:rsidP="00A05575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Characteristics and protection criteria of radars operating in the radiodetermination service in the VHF frequency band</w:t>
            </w:r>
          </w:p>
        </w:tc>
      </w:tr>
      <w:tr w:rsidR="007204D6" w:rsidRPr="00A05575" w:rsidDel="00FD6E16" w:rsidTr="007204D6">
        <w:trPr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D6" w:rsidRPr="007204D6" w:rsidDel="00FD6E16" w:rsidRDefault="007204D6" w:rsidP="00913130">
            <w:pPr>
              <w:pStyle w:val="Tabletext"/>
              <w:spacing w:before="120" w:after="120"/>
              <w:jc w:val="center"/>
            </w:pPr>
            <w:hyperlink r:id="rId19" w:history="1">
              <w:r w:rsidRPr="007204D6">
                <w:rPr>
                  <w:rStyle w:val="Hyperlink"/>
                </w:rPr>
                <w:t>244/5</w:t>
              </w:r>
            </w:hyperlink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D6" w:rsidRPr="00A05575" w:rsidDel="00FD6E16" w:rsidRDefault="007204D6" w:rsidP="007204D6">
            <w:pPr>
              <w:pStyle w:val="Tabletext"/>
              <w:spacing w:after="120"/>
              <w:rPr>
                <w:szCs w:val="22"/>
              </w:rPr>
            </w:pPr>
            <w:r w:rsidRPr="00A05575">
              <w:rPr>
                <w:szCs w:val="22"/>
              </w:rPr>
              <w:t>Improvements to Recommendation ITU-R F.758</w:t>
            </w:r>
          </w:p>
        </w:tc>
      </w:tr>
    </w:tbl>
    <w:p w:rsidR="000A3BC4" w:rsidRPr="007204D6" w:rsidRDefault="000A3BC4" w:rsidP="000A3BC4">
      <w:pPr>
        <w:jc w:val="center"/>
      </w:pPr>
    </w:p>
    <w:p w:rsidR="000A3BC4" w:rsidRDefault="000A3BC4" w:rsidP="000A3BC4">
      <w:pPr>
        <w:jc w:val="center"/>
        <w:rPr>
          <w:lang w:val="en-US"/>
        </w:rPr>
      </w:pPr>
    </w:p>
    <w:p w:rsidR="000A3BC4" w:rsidRPr="00E83538" w:rsidRDefault="000A3BC4" w:rsidP="000A3BC4">
      <w:pPr>
        <w:jc w:val="center"/>
        <w:rPr>
          <w:lang w:eastAsia="zh-CN"/>
        </w:rPr>
      </w:pPr>
      <w:r>
        <w:rPr>
          <w:lang w:val="en-US"/>
        </w:rPr>
        <w:t>________________</w:t>
      </w:r>
    </w:p>
    <w:p w:rsidR="000A3BC4" w:rsidRPr="000A3BC4" w:rsidRDefault="000A3BC4" w:rsidP="000A3BC4">
      <w:pPr>
        <w:rPr>
          <w:lang w:val="fr-FR"/>
        </w:rPr>
      </w:pPr>
    </w:p>
    <w:sectPr w:rsidR="000A3BC4" w:rsidRPr="000A3BC4" w:rsidSect="00BA0E6B">
      <w:headerReference w:type="even" r:id="rId20"/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pgNumType w:fmt="numberInDash"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11" w:rsidRDefault="007D2811">
      <w:r>
        <w:separator/>
      </w:r>
    </w:p>
  </w:endnote>
  <w:endnote w:type="continuationSeparator" w:id="0">
    <w:p w:rsidR="007D2811" w:rsidRDefault="007D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30" w:rsidRPr="00032855" w:rsidRDefault="00913130" w:rsidP="000A3BC4">
    <w:pPr>
      <w:pStyle w:val="Footer"/>
      <w:rPr>
        <w:lang w:val="en-US"/>
      </w:rPr>
    </w:pPr>
    <w:fldSimple w:instr=" FILENAME  \p  \* MERGEFORMAT ">
      <w:r w:rsidR="00734367">
        <w:rPr>
          <w:lang w:val="en-US"/>
        </w:rPr>
        <w:t>Y:\APP\BR\CIRCS_DMS\CAR\300\310\310e.docx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91313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13130" w:rsidRDefault="00913130" w:rsidP="008F6CE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13130" w:rsidRDefault="00913130" w:rsidP="008F6CE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13130" w:rsidRDefault="00913130" w:rsidP="008F6CE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13130" w:rsidRDefault="00913130" w:rsidP="008F6CE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1313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913130" w:rsidRDefault="00913130" w:rsidP="008F6CE1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13130" w:rsidRDefault="00913130" w:rsidP="008F6CE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13130" w:rsidRDefault="00913130" w:rsidP="008F6CE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13130" w:rsidRDefault="00913130" w:rsidP="008F6CE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13130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913130" w:rsidRDefault="00913130" w:rsidP="008F6CE1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913130" w:rsidRDefault="00913130" w:rsidP="008F6CE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13130" w:rsidRDefault="00913130" w:rsidP="008F6CE1">
          <w:pPr>
            <w:pStyle w:val="itu"/>
          </w:pPr>
        </w:p>
      </w:tc>
      <w:tc>
        <w:tcPr>
          <w:tcW w:w="1131" w:type="pct"/>
        </w:tcPr>
        <w:p w:rsidR="00913130" w:rsidRDefault="00913130" w:rsidP="008F6CE1">
          <w:pPr>
            <w:pStyle w:val="itu"/>
          </w:pPr>
        </w:p>
      </w:tc>
    </w:tr>
  </w:tbl>
  <w:p w:rsidR="00913130" w:rsidRPr="00E83538" w:rsidRDefault="00913130" w:rsidP="00E835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11" w:rsidRDefault="007D2811">
      <w:r>
        <w:t>____________________</w:t>
      </w:r>
    </w:p>
  </w:footnote>
  <w:footnote w:type="continuationSeparator" w:id="0">
    <w:p w:rsidR="007D2811" w:rsidRDefault="007D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30" w:rsidRDefault="00913130" w:rsidP="008F6C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913130" w:rsidRDefault="009131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30" w:rsidRPr="001E15AA" w:rsidRDefault="00913130" w:rsidP="00B878B3">
    <w:pPr>
      <w:pStyle w:val="Header"/>
      <w:rPr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4367">
      <w:rPr>
        <w:rStyle w:val="PageNumber"/>
        <w:noProof/>
      </w:rPr>
      <w:t>- 2 -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B4F"/>
    <w:rsid w:val="00016557"/>
    <w:rsid w:val="00032855"/>
    <w:rsid w:val="00043AC1"/>
    <w:rsid w:val="0005375B"/>
    <w:rsid w:val="0006457B"/>
    <w:rsid w:val="000A3BC4"/>
    <w:rsid w:val="000B11BE"/>
    <w:rsid w:val="000D566F"/>
    <w:rsid w:val="000D76E8"/>
    <w:rsid w:val="000E15C1"/>
    <w:rsid w:val="000E64DA"/>
    <w:rsid w:val="000F527D"/>
    <w:rsid w:val="00167A09"/>
    <w:rsid w:val="001D74ED"/>
    <w:rsid w:val="001E15AA"/>
    <w:rsid w:val="001E7493"/>
    <w:rsid w:val="00210B45"/>
    <w:rsid w:val="00225CF8"/>
    <w:rsid w:val="00227F65"/>
    <w:rsid w:val="00295105"/>
    <w:rsid w:val="002A7CB8"/>
    <w:rsid w:val="002E0B99"/>
    <w:rsid w:val="002F5A3B"/>
    <w:rsid w:val="003466AD"/>
    <w:rsid w:val="00373EC4"/>
    <w:rsid w:val="003D3993"/>
    <w:rsid w:val="004324A6"/>
    <w:rsid w:val="0044634B"/>
    <w:rsid w:val="004A5AB1"/>
    <w:rsid w:val="004B7CB3"/>
    <w:rsid w:val="004C1881"/>
    <w:rsid w:val="004F26AE"/>
    <w:rsid w:val="005851E2"/>
    <w:rsid w:val="00587B22"/>
    <w:rsid w:val="00595800"/>
    <w:rsid w:val="005F130D"/>
    <w:rsid w:val="005F7F4C"/>
    <w:rsid w:val="006058D1"/>
    <w:rsid w:val="006136BC"/>
    <w:rsid w:val="00670319"/>
    <w:rsid w:val="00682F10"/>
    <w:rsid w:val="006B3F95"/>
    <w:rsid w:val="006B7E99"/>
    <w:rsid w:val="0071106C"/>
    <w:rsid w:val="007204D6"/>
    <w:rsid w:val="00730020"/>
    <w:rsid w:val="00734367"/>
    <w:rsid w:val="00746900"/>
    <w:rsid w:val="00755411"/>
    <w:rsid w:val="00760B60"/>
    <w:rsid w:val="00764F93"/>
    <w:rsid w:val="007D0CF1"/>
    <w:rsid w:val="007D2811"/>
    <w:rsid w:val="007F004D"/>
    <w:rsid w:val="00811467"/>
    <w:rsid w:val="008262C7"/>
    <w:rsid w:val="00881D43"/>
    <w:rsid w:val="008946C8"/>
    <w:rsid w:val="008B5295"/>
    <w:rsid w:val="008C183C"/>
    <w:rsid w:val="008D4874"/>
    <w:rsid w:val="008D63AD"/>
    <w:rsid w:val="008F6CE1"/>
    <w:rsid w:val="00913130"/>
    <w:rsid w:val="0093776F"/>
    <w:rsid w:val="0095058A"/>
    <w:rsid w:val="009555DA"/>
    <w:rsid w:val="009676DC"/>
    <w:rsid w:val="009741F9"/>
    <w:rsid w:val="009746CA"/>
    <w:rsid w:val="009846D5"/>
    <w:rsid w:val="0098696A"/>
    <w:rsid w:val="009E14F3"/>
    <w:rsid w:val="009E1957"/>
    <w:rsid w:val="00A05575"/>
    <w:rsid w:val="00A06093"/>
    <w:rsid w:val="00A12E0D"/>
    <w:rsid w:val="00A30D9D"/>
    <w:rsid w:val="00A3422A"/>
    <w:rsid w:val="00AB07C5"/>
    <w:rsid w:val="00AF13BD"/>
    <w:rsid w:val="00B50B4F"/>
    <w:rsid w:val="00B57344"/>
    <w:rsid w:val="00B706E9"/>
    <w:rsid w:val="00B878B3"/>
    <w:rsid w:val="00B87E04"/>
    <w:rsid w:val="00BA0E6B"/>
    <w:rsid w:val="00BB0611"/>
    <w:rsid w:val="00C007F4"/>
    <w:rsid w:val="00CB2450"/>
    <w:rsid w:val="00CC33E4"/>
    <w:rsid w:val="00CE1A53"/>
    <w:rsid w:val="00D22321"/>
    <w:rsid w:val="00D31EE7"/>
    <w:rsid w:val="00D35752"/>
    <w:rsid w:val="00D463D0"/>
    <w:rsid w:val="00D61395"/>
    <w:rsid w:val="00D744B4"/>
    <w:rsid w:val="00D76C36"/>
    <w:rsid w:val="00D83842"/>
    <w:rsid w:val="00D944A4"/>
    <w:rsid w:val="00DD537C"/>
    <w:rsid w:val="00E233FE"/>
    <w:rsid w:val="00E27208"/>
    <w:rsid w:val="00E34EE4"/>
    <w:rsid w:val="00E444EC"/>
    <w:rsid w:val="00E810CA"/>
    <w:rsid w:val="00E83538"/>
    <w:rsid w:val="00EC710F"/>
    <w:rsid w:val="00ED6B89"/>
    <w:rsid w:val="00F03A2C"/>
    <w:rsid w:val="00F26D0E"/>
    <w:rsid w:val="00FB3B60"/>
    <w:rsid w:val="00FC6453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0B4F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B50B4F"/>
    <w:pPr>
      <w:overflowPunct/>
      <w:autoSpaceDE/>
      <w:autoSpaceDN/>
      <w:adjustRightInd/>
      <w:spacing w:before="320"/>
      <w:textAlignment w:val="auto"/>
    </w:pPr>
  </w:style>
  <w:style w:type="paragraph" w:customStyle="1" w:styleId="AnnexNoTitle0">
    <w:name w:val="Annex_NoTitle"/>
    <w:basedOn w:val="Normal"/>
    <w:next w:val="Normal"/>
    <w:rsid w:val="00B50B4F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rsid w:val="00B50B4F"/>
    <w:rPr>
      <w:i/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225CF8"/>
    <w:rPr>
      <w:color w:val="606420"/>
      <w:u w:val="single"/>
    </w:rPr>
  </w:style>
  <w:style w:type="paragraph" w:customStyle="1" w:styleId="Char1CharChar1Char">
    <w:name w:val=" Char1 Char Char1 Char"/>
    <w:basedOn w:val="Normal"/>
    <w:rsid w:val="00E8353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publ/R-QUE-SG05.98/en" TargetMode="External"/><Relationship Id="rId18" Type="http://schemas.openxmlformats.org/officeDocument/2006/relationships/hyperlink" Target="http://www.itu.int/publ/R-QUE-SG05.237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http://www.itu.int/publ/R-QUE-SG05.96/en" TargetMode="External"/><Relationship Id="rId17" Type="http://schemas.openxmlformats.org/officeDocument/2006/relationships/hyperlink" Target="http://www.itu.int/publ/R-QUE-SG05.232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26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QUE-SG05.93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l/R-QUE-SG05.223/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publ/R-QUE-SG05.35-1-1978/en" TargetMode="External"/><Relationship Id="rId19" Type="http://schemas.openxmlformats.org/officeDocument/2006/relationships/hyperlink" Target="http://www.itu.int/publ/R-QUE-SG05.244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www.itu.int/publ/R-QUE-SG05.216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0</TotalTime>
  <Pages>2</Pages>
  <Words>323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3068</CharactersWithSpaces>
  <SharedDoc>false</SharedDoc>
  <HLinks>
    <vt:vector size="78" baseType="variant">
      <vt:variant>
        <vt:i4>5439554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http://www.itu.int/publ/R-QUE-SG05.244/en</vt:lpwstr>
      </vt:variant>
      <vt:variant>
        <vt:lpwstr/>
      </vt:variant>
      <vt:variant>
        <vt:i4>5242949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http://www.itu.int/publ/R-QUE-SG05.237/en</vt:lpwstr>
      </vt:variant>
      <vt:variant>
        <vt:lpwstr/>
      </vt:variant>
      <vt:variant>
        <vt:i4>5570629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http://www.itu.int/publ/R-QUE-SG05.232/en</vt:lpwstr>
      </vt:variant>
      <vt:variant>
        <vt:lpwstr/>
      </vt:variant>
      <vt:variant>
        <vt:i4>5308484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http://www.itu.int/publ/R-QUE-SG05.226/en</vt:lpwstr>
      </vt:variant>
      <vt:variant>
        <vt:lpwstr/>
      </vt:variant>
      <vt:variant>
        <vt:i4>5505092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http://www.itu.int/publ/R-QUE-SG05.223/en</vt:lpwstr>
      </vt:variant>
      <vt:variant>
        <vt:lpwstr/>
      </vt:variant>
      <vt:variant>
        <vt:i4>5308487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http://www.itu.int/publ/R-QUE-SG05.216/en</vt:lpwstr>
      </vt:variant>
      <vt:variant>
        <vt:lpwstr/>
      </vt:variant>
      <vt:variant>
        <vt:i4>4718596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http://www.itu.int/publ/R-QUE-SG05.98/en</vt:lpwstr>
      </vt:variant>
      <vt:variant>
        <vt:lpwstr/>
      </vt:variant>
      <vt:variant>
        <vt:i4>4718602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http://www.itu.int/publ/R-QUE-SG05.96/en</vt:lpwstr>
      </vt:variant>
      <vt:variant>
        <vt:lpwstr/>
      </vt:variant>
      <vt:variant>
        <vt:i4>4718607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http://www.itu.int/publ/R-QUE-SG05.93/en</vt:lpwstr>
      </vt:variant>
      <vt:variant>
        <vt:lpwstr/>
      </vt:variant>
      <vt:variant>
        <vt:i4>6750324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http://www.itu.int/publ/R-QUE-SG05.35-1-1978/en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http://www.itu.int/publ/R-QUE-SG05/en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bonnici</cp:lastModifiedBy>
  <cp:revision>3</cp:revision>
  <cp:lastPrinted>2011-01-10T15:22:00Z</cp:lastPrinted>
  <dcterms:created xsi:type="dcterms:W3CDTF">2011-01-10T15:22:00Z</dcterms:created>
  <dcterms:modified xsi:type="dcterms:W3CDTF">2011-01-10T15:22:00Z</dcterms:modified>
</cp:coreProperties>
</file>