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351622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351622" w:rsidRDefault="00F96264" w:rsidP="00F96264">
      <w:pPr>
        <w:tabs>
          <w:tab w:val="left" w:pos="7513"/>
        </w:tabs>
      </w:pPr>
    </w:p>
    <w:p w:rsidR="00F96264" w:rsidRPr="00351622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802"/>
        <w:gridCol w:w="7218"/>
      </w:tblGrid>
      <w:tr w:rsidR="00F96264" w:rsidRPr="00F96264" w:rsidTr="00351622">
        <w:trPr>
          <w:cantSplit/>
        </w:trPr>
        <w:tc>
          <w:tcPr>
            <w:tcW w:w="2802" w:type="dxa"/>
          </w:tcPr>
          <w:p w:rsidR="00F96264" w:rsidRPr="00351622" w:rsidRDefault="00351622" w:rsidP="00F96264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r w:rsidRPr="00351622">
              <w:rPr>
                <w:b/>
                <w:bCs/>
                <w:lang w:val="fr-FR"/>
              </w:rPr>
              <w:t>Circular Admnistrativa</w:t>
            </w:r>
          </w:p>
          <w:p w:rsidR="00F96264" w:rsidRPr="00351622" w:rsidRDefault="00351622" w:rsidP="00F9626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CAR/304</w:t>
            </w:r>
          </w:p>
        </w:tc>
        <w:tc>
          <w:tcPr>
            <w:tcW w:w="7218" w:type="dxa"/>
          </w:tcPr>
          <w:p w:rsidR="00F96264" w:rsidRPr="00351622" w:rsidRDefault="009F7F78" w:rsidP="00F96264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5</w:t>
            </w:r>
            <w:r w:rsidR="00351622">
              <w:rPr>
                <w:bCs/>
                <w:lang w:val="fr-FR"/>
              </w:rPr>
              <w:t xml:space="preserve"> de noviembre de 2010</w:t>
            </w:r>
          </w:p>
        </w:tc>
      </w:tr>
    </w:tbl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351622" w:rsidRDefault="00F96264" w:rsidP="009526D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Asunto</w:t>
      </w:r>
      <w:r>
        <w:t>:</w:t>
      </w:r>
      <w:r w:rsidRPr="00351622">
        <w:tab/>
      </w:r>
      <w:bookmarkStart w:id="3" w:name="dtitle1"/>
      <w:bookmarkEnd w:id="3"/>
      <w:r w:rsidR="009526DD" w:rsidRPr="009526DD">
        <w:rPr>
          <w:b/>
        </w:rPr>
        <w:t xml:space="preserve">Comisión de Estudio </w:t>
      </w:r>
      <w:r w:rsidR="009526DD">
        <w:rPr>
          <w:b/>
        </w:rPr>
        <w:t>7</w:t>
      </w:r>
      <w:r w:rsidR="009526DD" w:rsidRPr="009526DD">
        <w:rPr>
          <w:b/>
        </w:rPr>
        <w:t xml:space="preserve"> de Radiocomunicaciones</w:t>
      </w:r>
    </w:p>
    <w:p w:rsidR="009526DD" w:rsidRDefault="009526DD" w:rsidP="009526DD">
      <w:pPr>
        <w:tabs>
          <w:tab w:val="clear" w:pos="794"/>
          <w:tab w:val="clear" w:pos="1191"/>
          <w:tab w:val="clear" w:pos="1588"/>
          <w:tab w:val="clear" w:pos="1985"/>
          <w:tab w:val="left" w:pos="1560"/>
        </w:tabs>
        <w:spacing w:before="240"/>
        <w:ind w:left="2160" w:hanging="2160"/>
        <w:rPr>
          <w:b/>
          <w:bCs/>
        </w:rPr>
      </w:pPr>
      <w:r w:rsidRPr="009526DD">
        <w:rPr>
          <w:b/>
          <w:bCs/>
        </w:rPr>
        <w:tab/>
        <w:t>–</w:t>
      </w:r>
      <w:r w:rsidRPr="009526DD">
        <w:rPr>
          <w:b/>
          <w:bCs/>
        </w:rPr>
        <w:tab/>
        <w:t xml:space="preserve">Propuesta de aprobación de </w:t>
      </w:r>
      <w:r>
        <w:rPr>
          <w:b/>
          <w:bCs/>
        </w:rPr>
        <w:t>3</w:t>
      </w:r>
      <w:r w:rsidRPr="009526DD">
        <w:rPr>
          <w:b/>
          <w:bCs/>
        </w:rPr>
        <w:t xml:space="preserve"> proyecto</w:t>
      </w:r>
      <w:r>
        <w:rPr>
          <w:b/>
          <w:bCs/>
        </w:rPr>
        <w:t>s</w:t>
      </w:r>
      <w:r w:rsidRPr="009526DD">
        <w:rPr>
          <w:b/>
          <w:bCs/>
        </w:rPr>
        <w:t xml:space="preserve"> de nueva</w:t>
      </w:r>
      <w:r>
        <w:rPr>
          <w:b/>
          <w:bCs/>
        </w:rPr>
        <w:t>s</w:t>
      </w:r>
      <w:r w:rsidRPr="009526DD">
        <w:rPr>
          <w:b/>
          <w:bCs/>
        </w:rPr>
        <w:t xml:space="preserve"> Recomendaci</w:t>
      </w:r>
      <w:r>
        <w:rPr>
          <w:b/>
          <w:bCs/>
        </w:rPr>
        <w:t>ones</w:t>
      </w:r>
      <w:r w:rsidRPr="009526DD">
        <w:rPr>
          <w:b/>
          <w:bCs/>
        </w:rPr>
        <w:t xml:space="preserve"> </w:t>
      </w:r>
      <w:r>
        <w:rPr>
          <w:b/>
          <w:bCs/>
        </w:rPr>
        <w:t>y 4</w:t>
      </w:r>
      <w:r w:rsidRPr="009526DD">
        <w:rPr>
          <w:b/>
          <w:bCs/>
        </w:rPr>
        <w:t> proyectos de Recomendaciones revisadas</w:t>
      </w:r>
    </w:p>
    <w:p w:rsidR="009526DD" w:rsidRPr="009526DD" w:rsidRDefault="009526DD" w:rsidP="009526DD">
      <w:r>
        <w:tab/>
      </w:r>
      <w:r>
        <w:tab/>
      </w:r>
      <w:r>
        <w:tab/>
      </w:r>
      <w:r w:rsidRPr="009526DD">
        <w:rPr>
          <w:b/>
          <w:bCs/>
        </w:rPr>
        <w:t>–</w:t>
      </w:r>
      <w:r>
        <w:rPr>
          <w:b/>
          <w:bCs/>
        </w:rPr>
        <w:tab/>
      </w:r>
      <w:r>
        <w:rPr>
          <w:b/>
          <w:bCs/>
        </w:rPr>
        <w:tab/>
      </w:r>
      <w:r w:rsidRPr="009526DD">
        <w:rPr>
          <w:b/>
          <w:bCs/>
        </w:rPr>
        <w:t>Propuesta de supresión de 1</w:t>
      </w:r>
      <w:r>
        <w:rPr>
          <w:b/>
          <w:bCs/>
        </w:rPr>
        <w:t>1</w:t>
      </w:r>
      <w:r w:rsidRPr="009526DD">
        <w:rPr>
          <w:b/>
          <w:bCs/>
        </w:rPr>
        <w:t xml:space="preserve"> </w:t>
      </w:r>
      <w:r>
        <w:rPr>
          <w:b/>
          <w:bCs/>
        </w:rPr>
        <w:t>Recomendaciones</w:t>
      </w:r>
    </w:p>
    <w:p w:rsidR="009526DD" w:rsidRPr="009526DD" w:rsidRDefault="009526DD" w:rsidP="00F37C01">
      <w:pPr>
        <w:spacing w:before="600"/>
        <w:rPr>
          <w:lang w:val="es-ES"/>
        </w:rPr>
      </w:pPr>
      <w:r w:rsidRPr="009526DD">
        <w:rPr>
          <w:lang w:val="es-ES"/>
        </w:rPr>
        <w:t xml:space="preserve">En la reunión de la Comisión de Estudio </w:t>
      </w:r>
      <w:r>
        <w:rPr>
          <w:lang w:val="es-ES"/>
        </w:rPr>
        <w:t>7</w:t>
      </w:r>
      <w:r w:rsidRPr="009526DD">
        <w:rPr>
          <w:lang w:val="es-ES"/>
        </w:rPr>
        <w:t xml:space="preserve"> del UIT-R (</w:t>
      </w:r>
      <w:r>
        <w:rPr>
          <w:lang w:val="es-ES"/>
        </w:rPr>
        <w:t xml:space="preserve">Servicios </w:t>
      </w:r>
      <w:r w:rsidR="003244E2">
        <w:rPr>
          <w:lang w:val="es-ES"/>
        </w:rPr>
        <w:t>científicos</w:t>
      </w:r>
      <w:r w:rsidRPr="009526DD">
        <w:rPr>
          <w:lang w:val="es-ES"/>
        </w:rPr>
        <w:t xml:space="preserve">), celebrada </w:t>
      </w:r>
      <w:r w:rsidR="00F37C01">
        <w:rPr>
          <w:lang w:val="es-ES"/>
        </w:rPr>
        <w:t>los días</w:t>
      </w:r>
      <w:r w:rsidRPr="009526DD">
        <w:rPr>
          <w:lang w:val="es-ES"/>
        </w:rPr>
        <w:t xml:space="preserve"> </w:t>
      </w:r>
      <w:r>
        <w:rPr>
          <w:lang w:val="es-ES"/>
        </w:rPr>
        <w:t>4</w:t>
      </w:r>
      <w:r w:rsidRPr="009526DD">
        <w:rPr>
          <w:lang w:val="es-ES"/>
        </w:rPr>
        <w:t> </w:t>
      </w:r>
      <w:r>
        <w:rPr>
          <w:lang w:val="es-ES"/>
        </w:rPr>
        <w:t>y</w:t>
      </w:r>
      <w:r w:rsidR="00F37C01">
        <w:rPr>
          <w:lang w:val="es-ES"/>
        </w:rPr>
        <w:t> </w:t>
      </w:r>
      <w:r>
        <w:rPr>
          <w:lang w:val="es-ES"/>
        </w:rPr>
        <w:t>12 </w:t>
      </w:r>
      <w:r w:rsidRPr="009526DD">
        <w:rPr>
          <w:lang w:val="es-ES"/>
        </w:rPr>
        <w:t>de </w:t>
      </w:r>
      <w:r>
        <w:rPr>
          <w:lang w:val="es-ES"/>
        </w:rPr>
        <w:t>octubre</w:t>
      </w:r>
      <w:r w:rsidRPr="009526DD">
        <w:rPr>
          <w:lang w:val="es-ES"/>
        </w:rPr>
        <w:t xml:space="preserve"> de 2010, la Comisión de Estudio adoptó el texto de </w:t>
      </w:r>
      <w:r>
        <w:rPr>
          <w:lang w:val="es-ES"/>
        </w:rPr>
        <w:t>3</w:t>
      </w:r>
      <w:r w:rsidRPr="009526DD">
        <w:rPr>
          <w:lang w:val="es-ES"/>
        </w:rPr>
        <w:t xml:space="preserve"> proyecto</w:t>
      </w:r>
      <w:r>
        <w:rPr>
          <w:lang w:val="es-ES"/>
        </w:rPr>
        <w:t>s</w:t>
      </w:r>
      <w:r w:rsidRPr="009526DD">
        <w:rPr>
          <w:lang w:val="es-ES"/>
        </w:rPr>
        <w:t xml:space="preserve"> de nueva</w:t>
      </w:r>
      <w:r>
        <w:rPr>
          <w:lang w:val="es-ES"/>
        </w:rPr>
        <w:t>s</w:t>
      </w:r>
      <w:r w:rsidRPr="009526DD">
        <w:rPr>
          <w:lang w:val="es-ES"/>
        </w:rPr>
        <w:t xml:space="preserve"> Recomendaci</w:t>
      </w:r>
      <w:r>
        <w:rPr>
          <w:lang w:val="es-ES"/>
        </w:rPr>
        <w:t>o</w:t>
      </w:r>
      <w:r w:rsidRPr="009526DD">
        <w:rPr>
          <w:lang w:val="es-ES"/>
        </w:rPr>
        <w:t>n</w:t>
      </w:r>
      <w:r>
        <w:rPr>
          <w:lang w:val="es-ES"/>
        </w:rPr>
        <w:t>es</w:t>
      </w:r>
      <w:r w:rsidRPr="009526DD">
        <w:rPr>
          <w:lang w:val="es-ES"/>
        </w:rPr>
        <w:t xml:space="preserve"> y </w:t>
      </w:r>
      <w:r>
        <w:rPr>
          <w:lang w:val="es-ES"/>
        </w:rPr>
        <w:t>4</w:t>
      </w:r>
      <w:r w:rsidRPr="009526DD">
        <w:rPr>
          <w:lang w:val="es-ES"/>
        </w:rPr>
        <w:t xml:space="preserve"> proyectos de Recomendaciones revisadas y decidió aplicar los procedimientos de la Resolución UIT</w:t>
      </w:r>
      <w:r w:rsidRPr="009526DD">
        <w:rPr>
          <w:lang w:val="es-ES"/>
        </w:rPr>
        <w:noBreakHyphen/>
        <w:t>R 1-5 (véase el § 10.4.5) para aprobación de las Recomendaciones por consulta. Los títulos y los resúmenes de est</w:t>
      </w:r>
      <w:r w:rsidR="00BF11C4">
        <w:rPr>
          <w:lang w:val="es-ES"/>
        </w:rPr>
        <w:t>os proyectos de Recomendaciones </w:t>
      </w:r>
      <w:r w:rsidRPr="009526DD">
        <w:rPr>
          <w:lang w:val="es-ES"/>
        </w:rPr>
        <w:t>figuran en el Anexo</w:t>
      </w:r>
      <w:r>
        <w:rPr>
          <w:lang w:val="es-ES"/>
        </w:rPr>
        <w:t xml:space="preserve"> 1</w:t>
      </w:r>
      <w:r w:rsidRPr="009526DD">
        <w:rPr>
          <w:lang w:val="es-ES"/>
        </w:rPr>
        <w:t>.</w:t>
      </w:r>
      <w:r>
        <w:rPr>
          <w:lang w:val="es-ES"/>
        </w:rPr>
        <w:t xml:space="preserve"> </w:t>
      </w:r>
      <w:r w:rsidRPr="009526DD">
        <w:t>Por otro lado, la Comisión de Estudio propuso la supresión de 1</w:t>
      </w:r>
      <w:r w:rsidR="003244E2">
        <w:t>1 </w:t>
      </w:r>
      <w:r>
        <w:t>Recome</w:t>
      </w:r>
      <w:r w:rsidR="003244E2">
        <w:t>n</w:t>
      </w:r>
      <w:r>
        <w:t xml:space="preserve">daciones que </w:t>
      </w:r>
      <w:r w:rsidR="007B00B1">
        <w:t>se enumeran</w:t>
      </w:r>
      <w:r>
        <w:t xml:space="preserve"> en el Anexo 2.</w:t>
      </w:r>
    </w:p>
    <w:p w:rsidR="009526DD" w:rsidRPr="009526DD" w:rsidRDefault="009526DD" w:rsidP="009F7F78">
      <w:r w:rsidRPr="009526DD">
        <w:t>Habida cuenta de lo dispuesto en el § 10.4.5.2 de la Resolución UIT</w:t>
      </w:r>
      <w:r w:rsidRPr="009526DD">
        <w:noBreakHyphen/>
        <w:t>R 1</w:t>
      </w:r>
      <w:r w:rsidRPr="009526DD">
        <w:noBreakHyphen/>
        <w:t>5, le ruego informe a la Secretaría (</w:t>
      </w:r>
      <w:hyperlink r:id="rId7" w:history="1">
        <w:r w:rsidRPr="009526DD">
          <w:rPr>
            <w:rStyle w:val="Hyperlink"/>
          </w:rPr>
          <w:t>brsgd@itu.int</w:t>
        </w:r>
      </w:hyperlink>
      <w:r w:rsidRPr="009526DD">
        <w:t xml:space="preserve">), antes del </w:t>
      </w:r>
      <w:r w:rsidR="009F7F78">
        <w:rPr>
          <w:u w:val="single"/>
        </w:rPr>
        <w:t>4</w:t>
      </w:r>
      <w:r>
        <w:rPr>
          <w:u w:val="single"/>
        </w:rPr>
        <w:t xml:space="preserve"> de febrero</w:t>
      </w:r>
      <w:r w:rsidRPr="009526DD">
        <w:rPr>
          <w:u w:val="single"/>
        </w:rPr>
        <w:t xml:space="preserve"> de 2011</w:t>
      </w:r>
      <w:r w:rsidRPr="009526DD">
        <w:t>, si su Administración aprueba o no estos proyectos de Recomendaciones.</w:t>
      </w:r>
    </w:p>
    <w:p w:rsidR="009526DD" w:rsidRPr="009526DD" w:rsidRDefault="009526DD" w:rsidP="009526DD">
      <w:r w:rsidRPr="009526DD">
        <w:t>Se solicita a todo Estado Miembro que eventualmente se pronuncie contra la aprobación de un proyecto de Recomendación, que indique a la Secretaría sus motivos y los posibles cambios para facilitar un nuevo examen por parte de la Comisión de Estudio durante el periodo de estudios (§ 10.4.5.5 de la Resolución UIT</w:t>
      </w:r>
      <w:r w:rsidRPr="009526DD">
        <w:noBreakHyphen/>
        <w:t>R 1</w:t>
      </w:r>
      <w:r w:rsidRPr="009526DD">
        <w:noBreakHyphen/>
        <w:t>5).</w:t>
      </w:r>
    </w:p>
    <w:p w:rsidR="009526DD" w:rsidRPr="009526DD" w:rsidRDefault="009526DD" w:rsidP="009526DD">
      <w:r w:rsidRPr="009526DD">
        <w:t>Tras la fecha límite mencionada, los resultados de esta consulta serán comunicados por Circular Administrativa y se adoptarán las disposiciones pertinentes para la publicación de las Recomendaciones conforme al § 10.4.7 de la Resolución UIT</w:t>
      </w:r>
      <w:r w:rsidRPr="009526DD">
        <w:noBreakHyphen/>
        <w:t>R 1</w:t>
      </w:r>
      <w:r w:rsidRPr="009526DD">
        <w:noBreakHyphen/>
        <w:t>5.</w:t>
      </w:r>
    </w:p>
    <w:p w:rsidR="009526DD" w:rsidRDefault="009526DD" w:rsidP="009526DD">
      <w:r w:rsidRPr="009526DD">
        <w:br w:type="page"/>
      </w:r>
      <w:r w:rsidRPr="009526DD">
        <w:lastRenderedPageBreak/>
        <w:t>Se ruega a toda organización miembro de la UIT que tenga conocimiento de una patente, de su propiedad o ajena, que cubra totalmente o en parte elementos del proyecto o proyectos de Recomendaciones mencionados en esta carta, que comunique dicha información a la Secretaría tan pronto como sea posible. La Política común de patentes de UIT</w:t>
      </w:r>
      <w:r w:rsidRPr="009526DD">
        <w:noBreakHyphen/>
        <w:t>T/UIT</w:t>
      </w:r>
      <w:r w:rsidRPr="009526DD">
        <w:noBreakHyphen/>
        <w:t xml:space="preserve">R/ISO/CEI puede consultarse en </w:t>
      </w:r>
      <w:hyperlink r:id="rId8" w:history="1">
        <w:r w:rsidRPr="009526DD">
          <w:rPr>
            <w:rStyle w:val="Hyperlink"/>
          </w:rPr>
          <w:t>http://web.itu.int/ITU-T/dbase/patent/patent-policy.html</w:t>
        </w:r>
      </w:hyperlink>
      <w:r w:rsidRPr="009526DD">
        <w:t xml:space="preserve">. </w:t>
      </w:r>
    </w:p>
    <w:p w:rsidR="009526DD" w:rsidRPr="009526DD" w:rsidRDefault="009526DD" w:rsidP="009526DD"/>
    <w:p w:rsidR="009526DD" w:rsidRPr="00CD1F0D" w:rsidRDefault="009526DD" w:rsidP="008D5CD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560"/>
      </w:pPr>
      <w:bookmarkStart w:id="4" w:name="StartTyping_S"/>
      <w:bookmarkEnd w:id="4"/>
      <w:r w:rsidRPr="00CD1F0D">
        <w:tab/>
        <w:t>V</w:t>
      </w:r>
      <w:r w:rsidR="008D5CD3">
        <w:t>alery</w:t>
      </w:r>
      <w:r w:rsidRPr="00CD1F0D">
        <w:t xml:space="preserve"> Timofeev</w:t>
      </w:r>
      <w:r w:rsidRPr="00CD1F0D">
        <w:br/>
      </w:r>
      <w:r w:rsidRPr="00CD1F0D">
        <w:tab/>
        <w:t>Director de la Oficina de Radiocomunicaciones</w:t>
      </w:r>
    </w:p>
    <w:p w:rsidR="009526DD" w:rsidRPr="009526DD" w:rsidRDefault="009526DD" w:rsidP="009526DD"/>
    <w:p w:rsidR="009526DD" w:rsidRPr="009526DD" w:rsidRDefault="009526DD" w:rsidP="009526DD"/>
    <w:p w:rsidR="009526DD" w:rsidRPr="009526DD" w:rsidRDefault="009526DD" w:rsidP="009526DD">
      <w:pPr>
        <w:rPr>
          <w:b/>
          <w:bCs/>
        </w:rPr>
      </w:pPr>
      <w:r w:rsidRPr="009526DD">
        <w:rPr>
          <w:b/>
          <w:bCs/>
        </w:rPr>
        <w:t>Anexo</w:t>
      </w:r>
      <w:r>
        <w:rPr>
          <w:b/>
          <w:bCs/>
        </w:rPr>
        <w:t>s</w:t>
      </w:r>
      <w:r w:rsidRPr="009526DD">
        <w:rPr>
          <w:b/>
          <w:bCs/>
        </w:rPr>
        <w:t>:</w:t>
      </w:r>
      <w:r>
        <w:rPr>
          <w:b/>
          <w:bCs/>
        </w:rPr>
        <w:tab/>
      </w:r>
      <w:r w:rsidRPr="009526DD">
        <w:t>2</w:t>
      </w:r>
    </w:p>
    <w:p w:rsidR="009526DD" w:rsidRPr="009526DD" w:rsidRDefault="009526DD" w:rsidP="00A144E0">
      <w:r>
        <w:t>1</w:t>
      </w:r>
      <w:r>
        <w:tab/>
      </w:r>
      <w:r w:rsidRPr="009526DD">
        <w:t>Títulos y resúmenes de los proyectos de Recomendaci</w:t>
      </w:r>
      <w:r w:rsidR="00A144E0">
        <w:t>ón</w:t>
      </w:r>
    </w:p>
    <w:p w:rsidR="009526DD" w:rsidRPr="009526DD" w:rsidRDefault="009526DD" w:rsidP="007B00B1">
      <w:r w:rsidRPr="009526DD">
        <w:t>2</w:t>
      </w:r>
      <w:r w:rsidRPr="009526DD">
        <w:tab/>
      </w:r>
      <w:r>
        <w:t xml:space="preserve">Recomendaciones </w:t>
      </w:r>
      <w:r w:rsidR="007B00B1">
        <w:t>cuya supresión se propone</w:t>
      </w:r>
    </w:p>
    <w:p w:rsidR="009526DD" w:rsidRPr="009526DD" w:rsidRDefault="009526DD" w:rsidP="009526DD">
      <w:pPr>
        <w:rPr>
          <w:u w:val="single"/>
        </w:rPr>
      </w:pPr>
    </w:p>
    <w:p w:rsidR="009526DD" w:rsidRPr="009526DD" w:rsidRDefault="009526DD" w:rsidP="009526DD">
      <w:pPr>
        <w:rPr>
          <w:b/>
          <w:bCs/>
        </w:rPr>
      </w:pPr>
      <w:r w:rsidRPr="009526DD">
        <w:rPr>
          <w:b/>
          <w:bCs/>
        </w:rPr>
        <w:t>Documento</w:t>
      </w:r>
      <w:r>
        <w:rPr>
          <w:b/>
          <w:bCs/>
        </w:rPr>
        <w:t>s</w:t>
      </w:r>
      <w:r w:rsidRPr="009526DD">
        <w:rPr>
          <w:b/>
          <w:bCs/>
        </w:rPr>
        <w:t xml:space="preserve"> adjunto</w:t>
      </w:r>
      <w:r>
        <w:rPr>
          <w:b/>
          <w:bCs/>
        </w:rPr>
        <w:t>s</w:t>
      </w:r>
      <w:r w:rsidRPr="009526DD">
        <w:rPr>
          <w:b/>
          <w:bCs/>
        </w:rPr>
        <w:t>:</w:t>
      </w:r>
    </w:p>
    <w:p w:rsidR="009526DD" w:rsidRPr="009526DD" w:rsidRDefault="009526DD" w:rsidP="009526DD">
      <w:r w:rsidRPr="009526DD">
        <w:t>Documento</w:t>
      </w:r>
      <w:r>
        <w:t>s</w:t>
      </w:r>
      <w:r w:rsidRPr="009526DD">
        <w:t xml:space="preserve"> </w:t>
      </w:r>
      <w:r>
        <w:t>7</w:t>
      </w:r>
      <w:r w:rsidRPr="009526DD">
        <w:t>/BL/</w:t>
      </w:r>
      <w:r>
        <w:t>6</w:t>
      </w:r>
      <w:r w:rsidRPr="009526DD">
        <w:t xml:space="preserve"> – </w:t>
      </w:r>
      <w:r>
        <w:t>7</w:t>
      </w:r>
      <w:r w:rsidRPr="009526DD">
        <w:t>/BL/</w:t>
      </w:r>
      <w:r>
        <w:t>12</w:t>
      </w:r>
      <w:r w:rsidRPr="009526DD">
        <w:t xml:space="preserve"> en el CD-ROM</w:t>
      </w:r>
    </w:p>
    <w:p w:rsidR="009526DD" w:rsidRPr="009526DD" w:rsidRDefault="009526DD" w:rsidP="009526DD">
      <w:pPr>
        <w:rPr>
          <w:u w:val="single"/>
        </w:rPr>
      </w:pPr>
    </w:p>
    <w:p w:rsidR="009526DD" w:rsidRPr="009526DD" w:rsidRDefault="009526DD" w:rsidP="009526DD">
      <w:pPr>
        <w:rPr>
          <w:u w:val="single"/>
        </w:rPr>
      </w:pPr>
    </w:p>
    <w:p w:rsidR="009526DD" w:rsidRPr="009526DD" w:rsidRDefault="009526DD" w:rsidP="009526DD">
      <w:pPr>
        <w:rPr>
          <w:u w:val="single"/>
        </w:rPr>
      </w:pPr>
    </w:p>
    <w:p w:rsidR="009526DD" w:rsidRDefault="009526DD" w:rsidP="009526DD">
      <w:pPr>
        <w:spacing w:before="0"/>
        <w:rPr>
          <w:b/>
          <w:bCs/>
          <w:sz w:val="18"/>
          <w:szCs w:val="18"/>
        </w:rPr>
      </w:pPr>
      <w:r w:rsidRPr="009526DD">
        <w:rPr>
          <w:b/>
          <w:bCs/>
          <w:sz w:val="18"/>
          <w:szCs w:val="18"/>
        </w:rPr>
        <w:t>Distribución:</w:t>
      </w:r>
    </w:p>
    <w:p w:rsidR="009526DD" w:rsidRPr="009526DD" w:rsidRDefault="009526DD" w:rsidP="009526DD">
      <w:pPr>
        <w:spacing w:before="0"/>
        <w:rPr>
          <w:b/>
          <w:bCs/>
          <w:sz w:val="18"/>
          <w:szCs w:val="18"/>
        </w:rPr>
      </w:pPr>
    </w:p>
    <w:p w:rsidR="009526DD" w:rsidRPr="009526DD" w:rsidRDefault="009526DD" w:rsidP="009526DD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9526DD">
        <w:rPr>
          <w:sz w:val="18"/>
          <w:szCs w:val="18"/>
        </w:rPr>
        <w:t>–</w:t>
      </w:r>
      <w:r w:rsidRPr="009526DD">
        <w:rPr>
          <w:sz w:val="18"/>
          <w:szCs w:val="18"/>
        </w:rPr>
        <w:tab/>
        <w:t>Administraciones de los Estados Miembros de la UIT</w:t>
      </w:r>
    </w:p>
    <w:p w:rsidR="009526DD" w:rsidRPr="009526DD" w:rsidRDefault="009526DD" w:rsidP="009526DD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</w:rPr>
      </w:pPr>
      <w:r w:rsidRPr="009526DD">
        <w:rPr>
          <w:sz w:val="18"/>
          <w:szCs w:val="18"/>
        </w:rPr>
        <w:t>–</w:t>
      </w:r>
      <w:r w:rsidRPr="009526DD">
        <w:rPr>
          <w:sz w:val="18"/>
          <w:szCs w:val="18"/>
        </w:rPr>
        <w:tab/>
        <w:t xml:space="preserve">Miembros del Sector de Radiocomunicaciones que participan en los trabajos de la Comisión de Estudio </w:t>
      </w:r>
      <w:r>
        <w:rPr>
          <w:sz w:val="18"/>
          <w:szCs w:val="18"/>
        </w:rPr>
        <w:t>7</w:t>
      </w:r>
      <w:r w:rsidRPr="009526DD">
        <w:rPr>
          <w:sz w:val="18"/>
          <w:szCs w:val="18"/>
        </w:rPr>
        <w:t xml:space="preserve"> de Radiocomunicaciones</w:t>
      </w:r>
    </w:p>
    <w:p w:rsidR="009526DD" w:rsidRPr="009526DD" w:rsidRDefault="009526DD" w:rsidP="009526DD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9526DD">
        <w:rPr>
          <w:sz w:val="18"/>
          <w:szCs w:val="18"/>
        </w:rPr>
        <w:t>–</w:t>
      </w:r>
      <w:r w:rsidRPr="009526DD">
        <w:rPr>
          <w:sz w:val="18"/>
          <w:szCs w:val="18"/>
        </w:rPr>
        <w:tab/>
        <w:t xml:space="preserve">Asociados del UIT-R que participan en los trabajos de la Comisión de Estudio </w:t>
      </w:r>
      <w:r>
        <w:rPr>
          <w:sz w:val="18"/>
          <w:szCs w:val="18"/>
        </w:rPr>
        <w:t>7</w:t>
      </w:r>
      <w:r w:rsidRPr="009526DD">
        <w:rPr>
          <w:sz w:val="18"/>
          <w:szCs w:val="18"/>
        </w:rPr>
        <w:t xml:space="preserve"> de Radiocomunicaciones</w:t>
      </w:r>
    </w:p>
    <w:p w:rsidR="00BF11C4" w:rsidRDefault="009526DD" w:rsidP="00BF11C4">
      <w:pPr>
        <w:rPr>
          <w:sz w:val="18"/>
          <w:szCs w:val="18"/>
        </w:rPr>
      </w:pPr>
      <w:r w:rsidRPr="009526DD">
        <w:rPr>
          <w:sz w:val="18"/>
          <w:szCs w:val="18"/>
        </w:rPr>
        <w:br w:type="page"/>
      </w:r>
      <w:bookmarkStart w:id="5" w:name="dbreak"/>
      <w:bookmarkEnd w:id="5"/>
    </w:p>
    <w:p w:rsidR="00BF11C4" w:rsidRPr="00115BBF" w:rsidRDefault="00BF11C4" w:rsidP="00BF11C4">
      <w:pPr>
        <w:pStyle w:val="AnnexNotitle"/>
        <w:spacing w:before="0"/>
      </w:pPr>
      <w:r w:rsidRPr="00115BBF">
        <w:t>Anexo </w:t>
      </w:r>
      <w:r>
        <w:t>1</w:t>
      </w:r>
      <w:r>
        <w:br/>
      </w:r>
      <w:r>
        <w:br/>
      </w:r>
      <w:r w:rsidRPr="00115BBF">
        <w:t>Título</w:t>
      </w:r>
      <w:r w:rsidR="00F37C01">
        <w:t>s</w:t>
      </w:r>
      <w:r w:rsidRPr="00115BBF">
        <w:t xml:space="preserve"> y </w:t>
      </w:r>
      <w:r w:rsidR="00F37C01" w:rsidRPr="00115BBF">
        <w:t>resúmen</w:t>
      </w:r>
      <w:r w:rsidR="00F37C01">
        <w:t>es</w:t>
      </w:r>
      <w:r w:rsidRPr="00115BBF">
        <w:t xml:space="preserve"> de los proyectos de Recomendación</w:t>
      </w:r>
      <w:r>
        <w:t xml:space="preserve"> adoptados por </w:t>
      </w:r>
      <w:r>
        <w:br/>
        <w:t>la Comisión de Estudio 7 de Radiocomunicaciones</w:t>
      </w:r>
    </w:p>
    <w:p w:rsidR="00BF11C4" w:rsidRPr="00770CF6" w:rsidRDefault="00BF11C4" w:rsidP="00BF11C4"/>
    <w:p w:rsidR="00BF11C4" w:rsidRPr="009F0AC2" w:rsidRDefault="00BF11C4" w:rsidP="00BF11C4">
      <w:pPr>
        <w:tabs>
          <w:tab w:val="right" w:pos="9639"/>
        </w:tabs>
      </w:pPr>
      <w:r w:rsidRPr="009F0AC2">
        <w:rPr>
          <w:u w:val="single"/>
        </w:rPr>
        <w:t>Proyecto de nueva Recomendación UIT-R RS.[20 kHz ATD PROTECTION]</w:t>
      </w:r>
      <w:r>
        <w:tab/>
      </w:r>
      <w:r w:rsidRPr="009F0AC2">
        <w:t>Doc. 7/BL/6</w:t>
      </w:r>
    </w:p>
    <w:p w:rsidR="00BF11C4" w:rsidRPr="00115BBF" w:rsidRDefault="00BF11C4" w:rsidP="00BF11C4">
      <w:pPr>
        <w:pStyle w:val="Rectitle"/>
        <w:rPr>
          <w:lang w:eastAsia="zh-CN"/>
        </w:rPr>
      </w:pPr>
      <w:r w:rsidRPr="00115BBF">
        <w:t xml:space="preserve">Criterios de protección de los receptores de diferencia del tiempo de llegada (ATD) del servicio de ayudas a la meteorología en </w:t>
      </w:r>
      <w:r>
        <w:t xml:space="preserve">la banda </w:t>
      </w:r>
      <w:r>
        <w:br/>
        <w:t>de frecuencias de 9</w:t>
      </w:r>
      <w:r>
        <w:noBreakHyphen/>
        <w:t>11,3 </w:t>
      </w:r>
      <w:r w:rsidRPr="00115BBF">
        <w:t>kHz</w:t>
      </w:r>
    </w:p>
    <w:p w:rsidR="00BF11C4" w:rsidRPr="00115BBF" w:rsidRDefault="00BF11C4" w:rsidP="00BF11C4">
      <w:pPr>
        <w:pStyle w:val="Normalaftertitle"/>
      </w:pPr>
      <w:r w:rsidRPr="00115BBF">
        <w:t>En esta Recomendación del UIT-R se caracterizan las propiedades técnicas, características operativas y los criterios de protección del sistema ATD que funciona en el servicio de ayuda a la meteorología</w:t>
      </w:r>
      <w:r>
        <w:t xml:space="preserve"> en la gama de frecuencias de 9</w:t>
      </w:r>
      <w:r>
        <w:noBreakHyphen/>
      </w:r>
      <w:r w:rsidRPr="00115BBF">
        <w:t>11</w:t>
      </w:r>
      <w:r>
        <w:t>,3 kHz.</w:t>
      </w:r>
    </w:p>
    <w:p w:rsidR="00BF11C4" w:rsidRDefault="00BF11C4" w:rsidP="00BF11C4">
      <w:pPr>
        <w:tabs>
          <w:tab w:val="right" w:pos="9639"/>
        </w:tabs>
      </w:pPr>
    </w:p>
    <w:p w:rsidR="00BF11C4" w:rsidRPr="009F0AC2" w:rsidRDefault="00BF11C4" w:rsidP="00BF11C4">
      <w:pPr>
        <w:tabs>
          <w:tab w:val="right" w:pos="9639"/>
        </w:tabs>
        <w:rPr>
          <w:u w:val="single"/>
        </w:rPr>
      </w:pPr>
      <w:r w:rsidRPr="009F0AC2">
        <w:rPr>
          <w:u w:val="single"/>
        </w:rPr>
        <w:t>Proyecto de nueva Recomendación UIT-R SA.[SRS 23 GHz CHAR]</w:t>
      </w:r>
      <w:r w:rsidRPr="009F0AC2">
        <w:tab/>
        <w:t>Doc. 7/BL/7</w:t>
      </w:r>
    </w:p>
    <w:p w:rsidR="00BF11C4" w:rsidRPr="00115BBF" w:rsidRDefault="00BF11C4" w:rsidP="00BF11C4">
      <w:pPr>
        <w:pStyle w:val="Rectitle"/>
      </w:pPr>
      <w:r w:rsidRPr="00115BBF">
        <w:t>Características técnicas y operativas de los sistemas del servicio de</w:t>
      </w:r>
      <w:r>
        <w:br/>
      </w:r>
      <w:r w:rsidRPr="00115BBF">
        <w:t>investigación espacial (Tierra-espacio) para util</w:t>
      </w:r>
      <w:r>
        <w:t xml:space="preserve">ización </w:t>
      </w:r>
      <w:r>
        <w:br/>
        <w:t>en la banda de 22,55</w:t>
      </w:r>
      <w:r>
        <w:noBreakHyphen/>
        <w:t>23,15 </w:t>
      </w:r>
      <w:r w:rsidRPr="00115BBF">
        <w:t xml:space="preserve">GHz </w:t>
      </w:r>
    </w:p>
    <w:p w:rsidR="00BF11C4" w:rsidRPr="00115BBF" w:rsidRDefault="00BF11C4" w:rsidP="00BF11C4">
      <w:pPr>
        <w:pStyle w:val="Normalaftertitle"/>
      </w:pPr>
      <w:r w:rsidRPr="00115BBF">
        <w:t>En esta Recomendación se facilitan características de los sistemas que han de utilizarse en los estudios de compartición para el servicio de investigación espacial (Ti</w:t>
      </w:r>
      <w:r>
        <w:t>erra-espacio) en la banda de 22,55-23,15 </w:t>
      </w:r>
      <w:r w:rsidRPr="00115BBF">
        <w:t>GHz.</w:t>
      </w:r>
    </w:p>
    <w:p w:rsidR="00BF11C4" w:rsidRPr="00115BBF" w:rsidRDefault="00BF11C4" w:rsidP="00BF11C4">
      <w:pPr>
        <w:tabs>
          <w:tab w:val="right" w:pos="9639"/>
        </w:tabs>
        <w:spacing w:before="0"/>
        <w:rPr>
          <w:bCs/>
          <w:szCs w:val="28"/>
        </w:rPr>
      </w:pPr>
    </w:p>
    <w:p w:rsidR="00BF11C4" w:rsidRPr="00115BBF" w:rsidRDefault="00BF11C4" w:rsidP="00BF11C4">
      <w:pPr>
        <w:tabs>
          <w:tab w:val="right" w:pos="9639"/>
        </w:tabs>
      </w:pPr>
      <w:r w:rsidRPr="00C40786">
        <w:rPr>
          <w:u w:val="single"/>
        </w:rPr>
        <w:t>Proyecto de nueva Recomendación UIT-R RS.[CLIMATE]</w:t>
      </w:r>
      <w:r w:rsidRPr="00115BBF">
        <w:tab/>
        <w:t>Doc. 7/</w:t>
      </w:r>
      <w:r>
        <w:t>BL/8</w:t>
      </w:r>
    </w:p>
    <w:p w:rsidR="00BF11C4" w:rsidRPr="00115BBF" w:rsidRDefault="00BF11C4" w:rsidP="00BF11C4">
      <w:pPr>
        <w:pStyle w:val="Rectitle"/>
      </w:pPr>
      <w:r w:rsidRPr="00115BBF">
        <w:t>Utilización de sistemas de detecc</w:t>
      </w:r>
      <w:r>
        <w:t>ión a distancia para el estudio</w:t>
      </w:r>
      <w:r>
        <w:br/>
      </w:r>
      <w:r w:rsidRPr="00115BBF">
        <w:t xml:space="preserve">del cambio climático y de sus efectos </w:t>
      </w:r>
    </w:p>
    <w:p w:rsidR="00BF11C4" w:rsidRPr="00115BBF" w:rsidRDefault="00BF11C4" w:rsidP="00BF11C4">
      <w:pPr>
        <w:pStyle w:val="Normalaftertitle"/>
      </w:pPr>
      <w:r w:rsidRPr="00115BBF">
        <w:t>En esta Recomendación se proporcionan directrices sobre el suministro de datos de detección a distancia proporcionados por satélites con el fin d</w:t>
      </w:r>
      <w:r>
        <w:t>e estudiar el cambio climático.</w:t>
      </w:r>
    </w:p>
    <w:p w:rsidR="00BF11C4" w:rsidRDefault="00BF11C4" w:rsidP="00BF11C4">
      <w:pPr>
        <w:tabs>
          <w:tab w:val="right" w:pos="9639"/>
        </w:tabs>
        <w:rPr>
          <w:u w:val="single"/>
        </w:rPr>
      </w:pPr>
    </w:p>
    <w:p w:rsidR="00BF11C4" w:rsidRPr="00115BBF" w:rsidRDefault="00BF11C4" w:rsidP="00BF11C4">
      <w:pPr>
        <w:tabs>
          <w:tab w:val="right" w:pos="9639"/>
        </w:tabs>
        <w:rPr>
          <w:rStyle w:val="href"/>
        </w:rPr>
      </w:pPr>
      <w:r w:rsidRPr="001C13EF">
        <w:rPr>
          <w:u w:val="single"/>
        </w:rPr>
        <w:t xml:space="preserve">Proyecto de revisión de la Recomendación UIT-R </w:t>
      </w:r>
      <w:r w:rsidRPr="001C13EF">
        <w:rPr>
          <w:rStyle w:val="href"/>
          <w:u w:val="single"/>
        </w:rPr>
        <w:t>SA.1276-2</w:t>
      </w:r>
      <w:r>
        <w:rPr>
          <w:rStyle w:val="href"/>
        </w:rPr>
        <w:tab/>
        <w:t>Doc. 7/BL/</w:t>
      </w:r>
      <w:r w:rsidRPr="00115BBF">
        <w:rPr>
          <w:rStyle w:val="href"/>
        </w:rPr>
        <w:t>9</w:t>
      </w:r>
    </w:p>
    <w:p w:rsidR="00BF11C4" w:rsidRPr="00115BBF" w:rsidRDefault="00BF11C4" w:rsidP="00BF11C4">
      <w:pPr>
        <w:pStyle w:val="Rectitle"/>
      </w:pPr>
      <w:r>
        <w:t>Posi</w:t>
      </w:r>
      <w:r w:rsidRPr="00115BBF">
        <w:t>ciones orbitales de satélites de retransmisión de datos que han</w:t>
      </w:r>
      <w:r>
        <w:br/>
      </w:r>
      <w:r w:rsidRPr="00115BBF">
        <w:t xml:space="preserve">de protegerse de las emisiones de sistemas del servicio fijo que </w:t>
      </w:r>
      <w:r>
        <w:br/>
      </w:r>
      <w:r w:rsidRPr="00115BBF">
        <w:t>fu</w:t>
      </w:r>
      <w:r>
        <w:t>ncionan en la banda 25,25</w:t>
      </w:r>
      <w:r>
        <w:noBreakHyphen/>
        <w:t>27,5 </w:t>
      </w:r>
      <w:r w:rsidRPr="00115BBF">
        <w:t>GHz</w:t>
      </w:r>
    </w:p>
    <w:p w:rsidR="00BF11C4" w:rsidRPr="00115BBF" w:rsidRDefault="00BF11C4" w:rsidP="00BF11C4">
      <w:pPr>
        <w:pStyle w:val="Normalaftertitle"/>
      </w:pPr>
      <w:r w:rsidRPr="00115BBF">
        <w:t>En es</w:t>
      </w:r>
      <w:r>
        <w:t>ta revisión de la Recomendación </w:t>
      </w:r>
      <w:r w:rsidRPr="00115BBF">
        <w:t xml:space="preserve">UIT-R </w:t>
      </w:r>
      <w:r w:rsidRPr="00115BBF">
        <w:rPr>
          <w:rStyle w:val="href"/>
        </w:rPr>
        <w:t xml:space="preserve">SA.1276 se incluyen nuevas ubicaciones de satélites en el </w:t>
      </w:r>
      <w:r w:rsidRPr="00115BBF">
        <w:rPr>
          <w:rStyle w:val="href"/>
          <w:i/>
          <w:iCs/>
        </w:rPr>
        <w:t>recomienda</w:t>
      </w:r>
      <w:r w:rsidRPr="00115BBF">
        <w:rPr>
          <w:rStyle w:val="href"/>
        </w:rPr>
        <w:t xml:space="preserve"> 1, en particular las ubicaciones orbitales para </w:t>
      </w:r>
      <w:r w:rsidRPr="00115BBF">
        <w:t xml:space="preserve">DRS </w:t>
      </w:r>
      <w:r w:rsidRPr="00115BBF">
        <w:rPr>
          <w:rStyle w:val="href"/>
        </w:rPr>
        <w:t>geoestacionarios</w:t>
      </w:r>
      <w:r>
        <w:t>: 10,6°, 16,8°, 77°, 80°, 171° y 176,</w:t>
      </w:r>
      <w:r w:rsidRPr="00115BBF">
        <w:t>8°.</w:t>
      </w:r>
    </w:p>
    <w:p w:rsidR="00BF11C4" w:rsidRPr="00115BBF" w:rsidRDefault="00BF11C4" w:rsidP="00BF11C4">
      <w:pPr>
        <w:keepNext/>
        <w:tabs>
          <w:tab w:val="right" w:pos="9639"/>
        </w:tabs>
        <w:rPr>
          <w:rStyle w:val="href"/>
        </w:rPr>
      </w:pPr>
      <w:r w:rsidRPr="001C13EF">
        <w:rPr>
          <w:u w:val="single"/>
        </w:rPr>
        <w:t xml:space="preserve">Proyecto de revisión de la Recomendación UIT-R </w:t>
      </w:r>
      <w:r w:rsidRPr="001C13EF">
        <w:rPr>
          <w:rStyle w:val="href"/>
          <w:u w:val="single"/>
        </w:rPr>
        <w:t>SA.1275-2</w:t>
      </w:r>
      <w:r w:rsidRPr="00115BBF">
        <w:rPr>
          <w:rStyle w:val="href"/>
        </w:rPr>
        <w:t xml:space="preserve"> </w:t>
      </w:r>
      <w:r w:rsidRPr="00115BBF">
        <w:rPr>
          <w:rStyle w:val="href"/>
        </w:rPr>
        <w:tab/>
        <w:t>Doc.</w:t>
      </w:r>
      <w:r>
        <w:rPr>
          <w:rStyle w:val="href"/>
        </w:rPr>
        <w:t xml:space="preserve"> </w:t>
      </w:r>
      <w:r w:rsidRPr="00115BBF">
        <w:rPr>
          <w:rStyle w:val="href"/>
        </w:rPr>
        <w:t>7/</w:t>
      </w:r>
      <w:r>
        <w:rPr>
          <w:rStyle w:val="href"/>
        </w:rPr>
        <w:t>BL/10</w:t>
      </w:r>
    </w:p>
    <w:p w:rsidR="00BF11C4" w:rsidRPr="00115BBF" w:rsidRDefault="00BF11C4" w:rsidP="00BF11C4">
      <w:pPr>
        <w:pStyle w:val="Rectitle"/>
        <w:keepLines w:val="0"/>
      </w:pPr>
      <w:r>
        <w:t>Posi</w:t>
      </w:r>
      <w:r w:rsidRPr="00115BBF">
        <w:t>ciones orbitales de satélites de retransmisión de datos que han</w:t>
      </w:r>
      <w:r>
        <w:br/>
      </w:r>
      <w:r w:rsidRPr="00115BBF">
        <w:t>de protegerse de las emisiones de sistemas del servicio fijo que</w:t>
      </w:r>
      <w:r>
        <w:br/>
      </w:r>
      <w:r w:rsidRPr="00115BBF">
        <w:t>fu</w:t>
      </w:r>
      <w:r>
        <w:t>ncionan en la banda 2 200-2 290 </w:t>
      </w:r>
      <w:r w:rsidRPr="00115BBF">
        <w:t>MHz</w:t>
      </w:r>
    </w:p>
    <w:p w:rsidR="00BF11C4" w:rsidRDefault="00BF11C4" w:rsidP="00BF11C4">
      <w:pPr>
        <w:pStyle w:val="Normalaftertitle"/>
      </w:pPr>
      <w:r w:rsidRPr="00115BBF">
        <w:t>En esta revisión de la Recomendación</w:t>
      </w:r>
      <w:r>
        <w:t> </w:t>
      </w:r>
      <w:r w:rsidRPr="00115BBF">
        <w:t xml:space="preserve">UIT-R </w:t>
      </w:r>
      <w:r w:rsidRPr="00115BBF">
        <w:rPr>
          <w:rStyle w:val="href"/>
        </w:rPr>
        <w:t xml:space="preserve">SA.1275 se incluyen nuevas ubicaciones de satélites en el </w:t>
      </w:r>
      <w:r w:rsidRPr="00115BBF">
        <w:rPr>
          <w:rStyle w:val="href"/>
          <w:i/>
          <w:iCs/>
        </w:rPr>
        <w:t>recomienda</w:t>
      </w:r>
      <w:r w:rsidRPr="00115BBF">
        <w:rPr>
          <w:rStyle w:val="href"/>
        </w:rPr>
        <w:t xml:space="preserve"> 1, en particular las ubicaciones orbitales para </w:t>
      </w:r>
      <w:r w:rsidRPr="00115BBF">
        <w:t xml:space="preserve">DRS </w:t>
      </w:r>
      <w:r w:rsidRPr="00115BBF">
        <w:rPr>
          <w:rStyle w:val="href"/>
        </w:rPr>
        <w:t>geoestacionarios</w:t>
      </w:r>
      <w:r w:rsidRPr="00115BBF">
        <w:t xml:space="preserve">: </w:t>
      </w:r>
      <w:r w:rsidRPr="00115BBF">
        <w:rPr>
          <w:lang w:eastAsia="zh-CN"/>
        </w:rPr>
        <w:t>10</w:t>
      </w:r>
      <w:r>
        <w:rPr>
          <w:lang w:eastAsia="zh-CN"/>
        </w:rPr>
        <w:t>,</w:t>
      </w:r>
      <w:r w:rsidRPr="00115BBF">
        <w:rPr>
          <w:lang w:eastAsia="zh-CN"/>
        </w:rPr>
        <w:t>6</w:t>
      </w:r>
      <w:r w:rsidRPr="00115BBF">
        <w:t>°</w:t>
      </w:r>
      <w:r>
        <w:rPr>
          <w:lang w:eastAsia="zh-CN"/>
        </w:rPr>
        <w:t>, 16,</w:t>
      </w:r>
      <w:r w:rsidRPr="00115BBF">
        <w:rPr>
          <w:lang w:eastAsia="zh-CN"/>
        </w:rPr>
        <w:t>8</w:t>
      </w:r>
      <w:r w:rsidRPr="00115BBF">
        <w:t>°,</w:t>
      </w:r>
      <w:r w:rsidRPr="00115BBF">
        <w:rPr>
          <w:lang w:eastAsia="zh-CN"/>
        </w:rPr>
        <w:t xml:space="preserve"> 77</w:t>
      </w:r>
      <w:r w:rsidRPr="00115BBF">
        <w:t>°</w:t>
      </w:r>
      <w:r w:rsidRPr="00115BBF">
        <w:rPr>
          <w:lang w:eastAsia="zh-CN"/>
        </w:rPr>
        <w:t>, 80</w:t>
      </w:r>
      <w:r w:rsidRPr="00115BBF">
        <w:t>°</w:t>
      </w:r>
      <w:r w:rsidRPr="00115BBF">
        <w:rPr>
          <w:lang w:eastAsia="zh-CN"/>
        </w:rPr>
        <w:t>, 171</w:t>
      </w:r>
      <w:r w:rsidRPr="00115BBF">
        <w:t>°</w:t>
      </w:r>
      <w:r w:rsidRPr="00115BBF">
        <w:rPr>
          <w:lang w:eastAsia="zh-CN"/>
        </w:rPr>
        <w:t xml:space="preserve"> </w:t>
      </w:r>
      <w:r w:rsidRPr="00115BBF">
        <w:t xml:space="preserve">y </w:t>
      </w:r>
      <w:r>
        <w:rPr>
          <w:lang w:eastAsia="zh-CN"/>
        </w:rPr>
        <w:t>176,</w:t>
      </w:r>
      <w:r w:rsidRPr="00115BBF">
        <w:rPr>
          <w:lang w:eastAsia="zh-CN"/>
        </w:rPr>
        <w:t>8</w:t>
      </w:r>
      <w:r w:rsidRPr="00115BBF">
        <w:t>°.</w:t>
      </w:r>
    </w:p>
    <w:p w:rsidR="00BF11C4" w:rsidRPr="005C46DB" w:rsidRDefault="00BF11C4" w:rsidP="00BF11C4"/>
    <w:p w:rsidR="00BF11C4" w:rsidRPr="00115BBF" w:rsidRDefault="00BF11C4" w:rsidP="00BF11C4">
      <w:pPr>
        <w:tabs>
          <w:tab w:val="right" w:pos="9639"/>
        </w:tabs>
      </w:pPr>
      <w:r w:rsidRPr="005C46DB">
        <w:rPr>
          <w:u w:val="single"/>
        </w:rPr>
        <w:t>Proyecto de revisión de la Recomendación UIT-R RS.1813</w:t>
      </w:r>
      <w:r w:rsidRPr="00115BBF">
        <w:tab/>
        <w:t>Doc. 7/</w:t>
      </w:r>
      <w:r>
        <w:t>BL/</w:t>
      </w:r>
      <w:r w:rsidRPr="00115BBF">
        <w:t>11</w:t>
      </w:r>
    </w:p>
    <w:p w:rsidR="00BF11C4" w:rsidRPr="00115BBF" w:rsidRDefault="00BF11C4" w:rsidP="00BF11C4">
      <w:pPr>
        <w:pStyle w:val="Rectitle"/>
      </w:pPr>
      <w:r w:rsidRPr="00115BBF">
        <w:t>Diagrama de antena de referencia para sensores pasivos que funcionan en el servicio de exploración de la Tierra por satélite (pasivo) que deben utilizarse</w:t>
      </w:r>
      <w:r>
        <w:br/>
      </w:r>
      <w:r w:rsidRPr="00115BBF">
        <w:t>en los análisis de compatibilidad en la gama de frecuencias 1,4</w:t>
      </w:r>
      <w:r>
        <w:noBreakHyphen/>
      </w:r>
      <w:r w:rsidRPr="00115BBF">
        <w:t>100</w:t>
      </w:r>
      <w:r>
        <w:t> </w:t>
      </w:r>
      <w:r w:rsidRPr="00115BBF">
        <w:t>GHz</w:t>
      </w:r>
    </w:p>
    <w:p w:rsidR="00BF11C4" w:rsidRPr="00115BBF" w:rsidRDefault="00BF11C4" w:rsidP="00BF11C4">
      <w:pPr>
        <w:pStyle w:val="Normalaftertitle"/>
      </w:pPr>
      <w:r w:rsidRPr="00115BBF">
        <w:t>Ha aparecido un error en la versión definitiv</w:t>
      </w:r>
      <w:r>
        <w:t>a publicada de la Recomendación </w:t>
      </w:r>
      <w:r w:rsidRPr="00115BBF">
        <w:t>UIT-R RS.1813 que causó que las ecuaciones de los diagramas de an</w:t>
      </w:r>
      <w:r>
        <w:t>tena no</w:t>
      </w:r>
      <w:r w:rsidRPr="00115BBF">
        <w:t xml:space="preserve"> se correspondían con las contribuciones recibidas ni resultaban apropiadas. En este proyecto de revisión de la Recomendación se corrige el error y se ofrece una expresión más concisa para la variable que determina el ángulo de transición entre las</w:t>
      </w:r>
      <w:r>
        <w:t xml:space="preserve"> tres expresiones que</w:t>
      </w:r>
      <w:r w:rsidRPr="00115BBF">
        <w:t xml:space="preserve"> constituyen el diagrama compuesto de antena. </w:t>
      </w:r>
    </w:p>
    <w:p w:rsidR="00BF11C4" w:rsidRPr="00115BBF" w:rsidRDefault="00BF11C4" w:rsidP="00BF11C4"/>
    <w:p w:rsidR="00BF11C4" w:rsidRPr="00115BBF" w:rsidRDefault="00BF11C4" w:rsidP="00BF11C4">
      <w:pPr>
        <w:tabs>
          <w:tab w:val="right" w:pos="9639"/>
        </w:tabs>
      </w:pPr>
      <w:r w:rsidRPr="001C13EF">
        <w:rPr>
          <w:u w:val="single"/>
        </w:rPr>
        <w:t>Proyecto de revisión de la Recomendación UIT-R SA.1014-1</w:t>
      </w:r>
      <w:r w:rsidRPr="00115BBF">
        <w:tab/>
        <w:t>Doc.</w:t>
      </w:r>
      <w:r>
        <w:t xml:space="preserve"> </w:t>
      </w:r>
      <w:r w:rsidRPr="00115BBF">
        <w:t>7/</w:t>
      </w:r>
      <w:r>
        <w:t>BL/</w:t>
      </w:r>
      <w:r w:rsidRPr="00115BBF">
        <w:t>12</w:t>
      </w:r>
    </w:p>
    <w:p w:rsidR="00BF11C4" w:rsidRPr="00115BBF" w:rsidRDefault="00BF11C4" w:rsidP="00BF11C4">
      <w:pPr>
        <w:pStyle w:val="Rectitle"/>
      </w:pPr>
      <w:r w:rsidRPr="00115BBF">
        <w:t>Requisitos de telecomunicaciones para la i</w:t>
      </w:r>
      <w:r>
        <w:t>nvestigación del espacio</w:t>
      </w:r>
      <w:r>
        <w:br/>
        <w:t xml:space="preserve">lejano </w:t>
      </w:r>
      <w:r w:rsidRPr="00115BBF">
        <w:t>con vuelos tripulados y no tripulados</w:t>
      </w:r>
    </w:p>
    <w:p w:rsidR="00BF11C4" w:rsidRDefault="00BF11C4" w:rsidP="00BF11C4">
      <w:pPr>
        <w:pStyle w:val="Normalaftertitle"/>
        <w:rPr>
          <w:rFonts w:eastAsia="Batang"/>
        </w:rPr>
      </w:pPr>
      <w:r w:rsidRPr="00115BBF">
        <w:rPr>
          <w:rFonts w:eastAsia="Batang"/>
        </w:rPr>
        <w:t xml:space="preserve">En esta revisión de la </w:t>
      </w:r>
      <w:r>
        <w:t>Recomendación </w:t>
      </w:r>
      <w:r w:rsidRPr="00115BBF">
        <w:t xml:space="preserve">UIT-R SA.1014 se incluyen nuevas ubicaciones para estaciones terrenas </w:t>
      </w:r>
      <w:r>
        <w:rPr>
          <w:rFonts w:eastAsia="Batang"/>
        </w:rPr>
        <w:t>en el Cuadro 3 del Anexo </w:t>
      </w:r>
      <w:r w:rsidRPr="00115BBF">
        <w:rPr>
          <w:rFonts w:eastAsia="Batang"/>
        </w:rPr>
        <w:t>1, así como algunas correcciones de edición.</w:t>
      </w:r>
    </w:p>
    <w:p w:rsidR="00BF11C4" w:rsidRDefault="00BF11C4" w:rsidP="00BF11C4"/>
    <w:p w:rsidR="009526DD" w:rsidRDefault="009526D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526DD" w:rsidRDefault="003244E2" w:rsidP="009526DD">
      <w:pPr>
        <w:pStyle w:val="AnnexNotitle"/>
      </w:pPr>
      <w:r>
        <w:t>An</w:t>
      </w:r>
      <w:r w:rsidR="009526DD">
        <w:t>exo 2</w:t>
      </w:r>
      <w:r w:rsidR="009526DD">
        <w:br/>
      </w:r>
      <w:r w:rsidR="009526DD">
        <w:br/>
        <w:t xml:space="preserve">Recomendaciones </w:t>
      </w:r>
      <w:r>
        <w:t>cuya supresión</w:t>
      </w:r>
      <w:r w:rsidR="009526DD">
        <w:t xml:space="preserve"> se propone</w:t>
      </w:r>
    </w:p>
    <w:p w:rsidR="009526DD" w:rsidRDefault="009526DD" w:rsidP="009526DD">
      <w:pPr>
        <w:pStyle w:val="Normalaftertitle"/>
      </w:pPr>
    </w:p>
    <w:p w:rsidR="009526DD" w:rsidRPr="009526DD" w:rsidRDefault="009526DD" w:rsidP="009526DD"/>
    <w:tbl>
      <w:tblPr>
        <w:tblW w:w="0" w:type="auto"/>
        <w:jc w:val="center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0"/>
        <w:gridCol w:w="7056"/>
      </w:tblGrid>
      <w:tr w:rsidR="009526DD" w:rsidRPr="00FD198E" w:rsidTr="009526DD">
        <w:trPr>
          <w:jc w:val="center"/>
        </w:trPr>
        <w:tc>
          <w:tcPr>
            <w:tcW w:w="2140" w:type="dxa"/>
            <w:vAlign w:val="center"/>
          </w:tcPr>
          <w:p w:rsidR="009526DD" w:rsidRPr="00122E36" w:rsidRDefault="003244E2" w:rsidP="009526DD">
            <w:pPr>
              <w:pStyle w:val="Tablehead"/>
              <w:rPr>
                <w:shd w:val="pct15" w:color="auto" w:fill="FFFFFF"/>
              </w:rPr>
            </w:pPr>
            <w:r w:rsidRPr="00122E36">
              <w:t>Recom</w:t>
            </w:r>
            <w:r>
              <w:t>endación</w:t>
            </w:r>
            <w:r w:rsidR="009526DD">
              <w:t xml:space="preserve"> UIT-R</w:t>
            </w:r>
          </w:p>
        </w:tc>
        <w:tc>
          <w:tcPr>
            <w:tcW w:w="7056" w:type="dxa"/>
            <w:vAlign w:val="center"/>
          </w:tcPr>
          <w:p w:rsidR="009526DD" w:rsidRPr="00122E36" w:rsidRDefault="003244E2" w:rsidP="009526DD">
            <w:pPr>
              <w:pStyle w:val="Tablehead"/>
              <w:rPr>
                <w:shd w:val="pct15" w:color="auto" w:fill="FFFFFF"/>
              </w:rPr>
            </w:pPr>
            <w:r>
              <w:t>Título</w:t>
            </w:r>
          </w:p>
        </w:tc>
      </w:tr>
      <w:tr w:rsidR="009526DD" w:rsidRPr="003244E2" w:rsidTr="009526DD">
        <w:trPr>
          <w:jc w:val="center"/>
        </w:trPr>
        <w:tc>
          <w:tcPr>
            <w:tcW w:w="2140" w:type="dxa"/>
            <w:vAlign w:val="center"/>
          </w:tcPr>
          <w:p w:rsidR="009526DD" w:rsidRPr="00122E36" w:rsidRDefault="009526DD" w:rsidP="009526DD">
            <w:pPr>
              <w:pStyle w:val="Tabletext"/>
              <w:jc w:val="center"/>
            </w:pPr>
            <w:r>
              <w:t>SA.1012</w:t>
            </w:r>
          </w:p>
        </w:tc>
        <w:tc>
          <w:tcPr>
            <w:tcW w:w="7056" w:type="dxa"/>
            <w:vAlign w:val="center"/>
          </w:tcPr>
          <w:p w:rsidR="009526DD" w:rsidRPr="003244E2" w:rsidRDefault="003244E2" w:rsidP="003244E2">
            <w:pPr>
              <w:pStyle w:val="Tabletext"/>
            </w:pPr>
            <w:r w:rsidRPr="003244E2">
              <w:t>Bandas de frecuencias preferidas para la investigación del espacio lejano en la gama de 1-40 GHz</w:t>
            </w:r>
          </w:p>
        </w:tc>
      </w:tr>
      <w:tr w:rsidR="009526DD" w:rsidRPr="003244E2" w:rsidTr="009526DD">
        <w:trPr>
          <w:jc w:val="center"/>
        </w:trPr>
        <w:tc>
          <w:tcPr>
            <w:tcW w:w="2140" w:type="dxa"/>
            <w:vAlign w:val="center"/>
          </w:tcPr>
          <w:p w:rsidR="009526DD" w:rsidRDefault="009526DD" w:rsidP="009526DD">
            <w:pPr>
              <w:pStyle w:val="Tabletext"/>
              <w:jc w:val="center"/>
            </w:pPr>
            <w:r>
              <w:t>SA.1013</w:t>
            </w:r>
          </w:p>
        </w:tc>
        <w:tc>
          <w:tcPr>
            <w:tcW w:w="7056" w:type="dxa"/>
            <w:vAlign w:val="center"/>
          </w:tcPr>
          <w:p w:rsidR="009526DD" w:rsidRPr="003244E2" w:rsidRDefault="003244E2" w:rsidP="003244E2">
            <w:pPr>
              <w:pStyle w:val="Tabletext"/>
            </w:pPr>
            <w:r w:rsidRPr="003244E2">
              <w:t>Bandas de frecuencias preferidas para la investigación del espacio lejano en la gama de 40-120 GHz</w:t>
            </w:r>
          </w:p>
        </w:tc>
      </w:tr>
      <w:tr w:rsidR="009526DD" w:rsidRPr="003244E2" w:rsidTr="009526DD">
        <w:trPr>
          <w:jc w:val="center"/>
        </w:trPr>
        <w:tc>
          <w:tcPr>
            <w:tcW w:w="2140" w:type="dxa"/>
            <w:vAlign w:val="center"/>
          </w:tcPr>
          <w:p w:rsidR="009526DD" w:rsidRDefault="009526DD" w:rsidP="009526DD">
            <w:pPr>
              <w:pStyle w:val="Tabletext"/>
              <w:jc w:val="center"/>
            </w:pPr>
            <w:r>
              <w:t>SA.1017</w:t>
            </w:r>
          </w:p>
        </w:tc>
        <w:tc>
          <w:tcPr>
            <w:tcW w:w="7056" w:type="dxa"/>
            <w:vAlign w:val="center"/>
          </w:tcPr>
          <w:p w:rsidR="009526DD" w:rsidRPr="003244E2" w:rsidRDefault="003244E2" w:rsidP="003244E2">
            <w:pPr>
              <w:pStyle w:val="Tabletext"/>
            </w:pPr>
            <w:r w:rsidRPr="003244E2">
              <w:t>Método sugerido para calcular la calidad de un enlace en el servicio de investigaciones del espacio</w:t>
            </w:r>
          </w:p>
        </w:tc>
      </w:tr>
      <w:tr w:rsidR="009526DD" w:rsidRPr="003244E2" w:rsidTr="009526DD">
        <w:trPr>
          <w:jc w:val="center"/>
        </w:trPr>
        <w:tc>
          <w:tcPr>
            <w:tcW w:w="2140" w:type="dxa"/>
            <w:vAlign w:val="center"/>
          </w:tcPr>
          <w:p w:rsidR="009526DD" w:rsidRDefault="009526DD" w:rsidP="009526DD">
            <w:pPr>
              <w:pStyle w:val="Tabletext"/>
              <w:jc w:val="center"/>
            </w:pPr>
            <w:r>
              <w:t>SA.1278</w:t>
            </w:r>
          </w:p>
        </w:tc>
        <w:tc>
          <w:tcPr>
            <w:tcW w:w="7056" w:type="dxa"/>
            <w:vAlign w:val="center"/>
          </w:tcPr>
          <w:p w:rsidR="009526DD" w:rsidRPr="003244E2" w:rsidRDefault="003244E2" w:rsidP="003244E2">
            <w:pPr>
              <w:pStyle w:val="Tabletext"/>
            </w:pPr>
            <w:r w:rsidRPr="003244E2">
              <w:t>Viabilidad de la compartición entre el servicio de exploración de la Tierra por satélite (espacio-Tierra) y los servicios fijo, entre satélites móvil y en la banda 25,5-27,0 GHz</w:t>
            </w:r>
          </w:p>
        </w:tc>
      </w:tr>
      <w:tr w:rsidR="009526DD" w:rsidRPr="003244E2" w:rsidTr="009526DD">
        <w:trPr>
          <w:jc w:val="center"/>
        </w:trPr>
        <w:tc>
          <w:tcPr>
            <w:tcW w:w="2140" w:type="dxa"/>
            <w:vAlign w:val="center"/>
          </w:tcPr>
          <w:p w:rsidR="009526DD" w:rsidRDefault="009526DD" w:rsidP="009526DD">
            <w:pPr>
              <w:pStyle w:val="Tabletext"/>
              <w:jc w:val="center"/>
            </w:pPr>
            <w:r>
              <w:t>SA.1625</w:t>
            </w:r>
          </w:p>
        </w:tc>
        <w:tc>
          <w:tcPr>
            <w:tcW w:w="7056" w:type="dxa"/>
            <w:vAlign w:val="center"/>
          </w:tcPr>
          <w:p w:rsidR="009526DD" w:rsidRPr="003244E2" w:rsidRDefault="003244E2" w:rsidP="003244E2">
            <w:pPr>
              <w:pStyle w:val="Tabletext"/>
            </w:pPr>
            <w:r w:rsidRPr="003244E2">
              <w:t>Viabilidad de la compartición de la banda 25,5-27 GHz entre el servicio de investigación espacial (espacio-Tierra) y los servicios fijo, entre satélites y móvil</w:t>
            </w:r>
          </w:p>
        </w:tc>
      </w:tr>
      <w:tr w:rsidR="009526DD" w:rsidRPr="003244E2" w:rsidTr="009526DD">
        <w:trPr>
          <w:jc w:val="center"/>
        </w:trPr>
        <w:tc>
          <w:tcPr>
            <w:tcW w:w="2140" w:type="dxa"/>
            <w:vAlign w:val="center"/>
          </w:tcPr>
          <w:p w:rsidR="009526DD" w:rsidRDefault="009526DD" w:rsidP="009526DD">
            <w:pPr>
              <w:pStyle w:val="Tabletext"/>
              <w:jc w:val="center"/>
            </w:pPr>
            <w:r>
              <w:t>RS.1262</w:t>
            </w:r>
          </w:p>
        </w:tc>
        <w:tc>
          <w:tcPr>
            <w:tcW w:w="7056" w:type="dxa"/>
            <w:vAlign w:val="center"/>
          </w:tcPr>
          <w:p w:rsidR="009526DD" w:rsidRPr="003244E2" w:rsidRDefault="003244E2" w:rsidP="003244E2">
            <w:pPr>
              <w:pStyle w:val="Tabletext"/>
            </w:pPr>
            <w:r w:rsidRPr="003244E2">
              <w:t>Criterios de compartición y coordinación para las ayudas a la meteorología en las bandas 400,15-406 MHz y 1 668,4-1 700 MHz</w:t>
            </w:r>
          </w:p>
        </w:tc>
      </w:tr>
      <w:tr w:rsidR="009526DD" w:rsidRPr="003244E2" w:rsidTr="009526DD">
        <w:trPr>
          <w:jc w:val="center"/>
        </w:trPr>
        <w:tc>
          <w:tcPr>
            <w:tcW w:w="2140" w:type="dxa"/>
            <w:vAlign w:val="center"/>
          </w:tcPr>
          <w:p w:rsidR="009526DD" w:rsidRDefault="009526DD" w:rsidP="009526DD">
            <w:pPr>
              <w:pStyle w:val="Tabletext"/>
              <w:jc w:val="center"/>
            </w:pPr>
            <w:r>
              <w:t>SA.1236</w:t>
            </w:r>
          </w:p>
        </w:tc>
        <w:tc>
          <w:tcPr>
            <w:tcW w:w="7056" w:type="dxa"/>
            <w:vAlign w:val="center"/>
          </w:tcPr>
          <w:p w:rsidR="009526DD" w:rsidRPr="003244E2" w:rsidRDefault="003244E2" w:rsidP="003244E2">
            <w:pPr>
              <w:pStyle w:val="Tabletext"/>
            </w:pPr>
            <w:r w:rsidRPr="003244E2">
              <w:t>Compartición de frecuencias entre los enlaces para actividades fuera del vehículo espacial (EVA) del servicio de investigación espacial y los enlaces de los servicios fijo y móvil en la banda de 410-420 MHz</w:t>
            </w:r>
          </w:p>
        </w:tc>
      </w:tr>
      <w:tr w:rsidR="009526DD" w:rsidRPr="003244E2" w:rsidTr="009526DD">
        <w:trPr>
          <w:jc w:val="center"/>
        </w:trPr>
        <w:tc>
          <w:tcPr>
            <w:tcW w:w="2140" w:type="dxa"/>
            <w:vAlign w:val="center"/>
          </w:tcPr>
          <w:p w:rsidR="009526DD" w:rsidRDefault="009526DD" w:rsidP="009526DD">
            <w:pPr>
              <w:pStyle w:val="Tabletext"/>
              <w:jc w:val="center"/>
            </w:pPr>
            <w:r>
              <w:t>TF.458-3</w:t>
            </w:r>
          </w:p>
        </w:tc>
        <w:tc>
          <w:tcPr>
            <w:tcW w:w="7056" w:type="dxa"/>
            <w:vAlign w:val="center"/>
          </w:tcPr>
          <w:p w:rsidR="009526DD" w:rsidRPr="003244E2" w:rsidRDefault="003244E2" w:rsidP="003244E2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3244E2">
              <w:rPr>
                <w:rFonts w:asciiTheme="majorBidi" w:hAnsiTheme="majorBidi" w:cstheme="majorBidi"/>
                <w:szCs w:val="22"/>
              </w:rPr>
              <w:t>Comparaciones internacionales de escalas de tiempo atómico</w:t>
            </w:r>
          </w:p>
        </w:tc>
      </w:tr>
      <w:tr w:rsidR="009526DD" w:rsidRPr="00FD198E" w:rsidTr="009526DD">
        <w:trPr>
          <w:jc w:val="center"/>
        </w:trPr>
        <w:tc>
          <w:tcPr>
            <w:tcW w:w="2140" w:type="dxa"/>
            <w:vAlign w:val="center"/>
          </w:tcPr>
          <w:p w:rsidR="009526DD" w:rsidRDefault="009526DD" w:rsidP="009526DD">
            <w:pPr>
              <w:pStyle w:val="Tabletext"/>
              <w:jc w:val="center"/>
            </w:pPr>
            <w:r>
              <w:t>TF.536-2</w:t>
            </w:r>
          </w:p>
        </w:tc>
        <w:tc>
          <w:tcPr>
            <w:tcW w:w="7056" w:type="dxa"/>
            <w:vAlign w:val="center"/>
          </w:tcPr>
          <w:p w:rsidR="009526DD" w:rsidRPr="003244E2" w:rsidRDefault="003244E2" w:rsidP="003244E2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3244E2">
              <w:rPr>
                <w:rFonts w:asciiTheme="majorBidi" w:hAnsiTheme="majorBidi" w:cstheme="majorBidi"/>
                <w:szCs w:val="22"/>
              </w:rPr>
              <w:t>Notación de las escalas de tiempo</w:t>
            </w:r>
          </w:p>
        </w:tc>
      </w:tr>
      <w:tr w:rsidR="009526DD" w:rsidRPr="003244E2" w:rsidTr="009526DD">
        <w:trPr>
          <w:jc w:val="center"/>
        </w:trPr>
        <w:tc>
          <w:tcPr>
            <w:tcW w:w="2140" w:type="dxa"/>
            <w:vAlign w:val="center"/>
          </w:tcPr>
          <w:p w:rsidR="009526DD" w:rsidRDefault="009526DD" w:rsidP="009526DD">
            <w:pPr>
              <w:pStyle w:val="Tabletext"/>
              <w:jc w:val="center"/>
            </w:pPr>
            <w:r>
              <w:t>TF.582-2</w:t>
            </w:r>
          </w:p>
        </w:tc>
        <w:tc>
          <w:tcPr>
            <w:tcW w:w="7056" w:type="dxa"/>
            <w:vAlign w:val="center"/>
          </w:tcPr>
          <w:p w:rsidR="009526DD" w:rsidRPr="003244E2" w:rsidRDefault="003244E2" w:rsidP="003244E2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3244E2">
              <w:rPr>
                <w:rFonts w:asciiTheme="majorBidi" w:hAnsiTheme="majorBidi" w:cstheme="majorBidi"/>
                <w:szCs w:val="22"/>
              </w:rPr>
              <w:t>Difusión y coordinación de señales de referencia de tiempo y frecuencia por satélite</w:t>
            </w:r>
          </w:p>
        </w:tc>
      </w:tr>
      <w:tr w:rsidR="009526DD" w:rsidRPr="003244E2" w:rsidTr="009526DD">
        <w:trPr>
          <w:jc w:val="center"/>
        </w:trPr>
        <w:tc>
          <w:tcPr>
            <w:tcW w:w="2140" w:type="dxa"/>
            <w:vAlign w:val="center"/>
          </w:tcPr>
          <w:p w:rsidR="009526DD" w:rsidRDefault="009526DD" w:rsidP="009526DD">
            <w:pPr>
              <w:pStyle w:val="Tabletext"/>
              <w:jc w:val="center"/>
            </w:pPr>
            <w:r>
              <w:t>TF.1552</w:t>
            </w:r>
          </w:p>
        </w:tc>
        <w:tc>
          <w:tcPr>
            <w:tcW w:w="7056" w:type="dxa"/>
            <w:vAlign w:val="center"/>
          </w:tcPr>
          <w:p w:rsidR="009526DD" w:rsidRPr="003244E2" w:rsidRDefault="003244E2" w:rsidP="003244E2">
            <w:pPr>
              <w:pStyle w:val="Tabletext"/>
            </w:pPr>
            <w:r w:rsidRPr="003244E2">
              <w:t>Escalas de tiempo a utilizar por los servicios de frecuencias patrón y señales horarias</w:t>
            </w:r>
          </w:p>
        </w:tc>
      </w:tr>
    </w:tbl>
    <w:p w:rsidR="009526DD" w:rsidRPr="003244E2" w:rsidRDefault="009526DD" w:rsidP="009526DD"/>
    <w:p w:rsidR="009526DD" w:rsidRPr="003244E2" w:rsidRDefault="009526DD" w:rsidP="009526DD"/>
    <w:p w:rsidR="009526DD" w:rsidRPr="003244E2" w:rsidRDefault="009526DD" w:rsidP="009526DD"/>
    <w:p w:rsidR="009526DD" w:rsidRPr="003244E2" w:rsidRDefault="009526DD" w:rsidP="009526DD"/>
    <w:p w:rsidR="009526DD" w:rsidRPr="009526DD" w:rsidRDefault="009526DD" w:rsidP="009526DD">
      <w:pPr>
        <w:jc w:val="center"/>
        <w:rPr>
          <w:lang w:val="en-US"/>
        </w:rPr>
      </w:pPr>
      <w:r>
        <w:rPr>
          <w:lang w:val="en-US"/>
        </w:rPr>
        <w:t>_______________</w:t>
      </w:r>
    </w:p>
    <w:sectPr w:rsidR="009526DD" w:rsidRPr="009526DD" w:rsidSect="00CF0AB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6DD" w:rsidRDefault="009526DD">
      <w:r>
        <w:separator/>
      </w:r>
    </w:p>
  </w:endnote>
  <w:endnote w:type="continuationSeparator" w:id="0">
    <w:p w:rsidR="009526DD" w:rsidRDefault="0095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DD" w:rsidRDefault="009B202C">
    <w:pPr>
      <w:pStyle w:val="Footer"/>
    </w:pPr>
    <w:fldSimple w:instr=" FILENAME \p \* MERGEFORMAT ">
      <w:r w:rsidR="009F7F78">
        <w:t>Y:\APP\BR\CIRCS_DMS\CAR\300\304\304s.docx</w:t>
      </w:r>
    </w:fldSimple>
    <w:r w:rsidR="009526DD">
      <w:tab/>
    </w:r>
    <w:r>
      <w:fldChar w:fldCharType="begin"/>
    </w:r>
    <w:r w:rsidR="009526DD">
      <w:instrText xml:space="preserve"> savedate \@ dd.MM.yy </w:instrText>
    </w:r>
    <w:r>
      <w:fldChar w:fldCharType="separate"/>
    </w:r>
    <w:r w:rsidR="009F7F78">
      <w:t>04.11.10</w:t>
    </w:r>
    <w:r>
      <w:fldChar w:fldCharType="end"/>
    </w:r>
    <w:r w:rsidR="009526DD">
      <w:tab/>
    </w:r>
    <w:r>
      <w:fldChar w:fldCharType="begin"/>
    </w:r>
    <w:r w:rsidR="009526DD">
      <w:instrText xml:space="preserve"> printdate \@ dd.MM.yy </w:instrText>
    </w:r>
    <w:r>
      <w:fldChar w:fldCharType="separate"/>
    </w:r>
    <w:r w:rsidR="009F7F78">
      <w:t>05.11.10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9526D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526DD" w:rsidRDefault="009526D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526DD" w:rsidRDefault="009526D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526DD" w:rsidRDefault="009526D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526DD" w:rsidRDefault="009526D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9526DD">
      <w:trPr>
        <w:cantSplit/>
      </w:trPr>
      <w:tc>
        <w:tcPr>
          <w:tcW w:w="1062" w:type="pct"/>
        </w:tcPr>
        <w:p w:rsidR="009526DD" w:rsidRDefault="009526D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9526DD" w:rsidRDefault="009526D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9526DD" w:rsidRDefault="009526D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9526DD" w:rsidRDefault="009526D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9526DD">
      <w:trPr>
        <w:cantSplit/>
      </w:trPr>
      <w:tc>
        <w:tcPr>
          <w:tcW w:w="1062" w:type="pct"/>
        </w:tcPr>
        <w:p w:rsidR="009526DD" w:rsidRDefault="009526D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9526DD" w:rsidRDefault="009526D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9526DD" w:rsidRDefault="009526DD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9526DD" w:rsidRDefault="009526DD">
          <w:pPr>
            <w:pStyle w:val="itu"/>
            <w:rPr>
              <w:lang w:val="es-ES_tradnl"/>
            </w:rPr>
          </w:pPr>
        </w:p>
      </w:tc>
    </w:tr>
  </w:tbl>
  <w:p w:rsidR="009526DD" w:rsidRDefault="009526DD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6DD" w:rsidRDefault="009526DD">
      <w:r>
        <w:t>____________________</w:t>
      </w:r>
    </w:p>
  </w:footnote>
  <w:footnote w:type="continuationSeparator" w:id="0">
    <w:p w:rsidR="009526DD" w:rsidRDefault="00952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DD" w:rsidRDefault="009526DD">
    <w:pPr>
      <w:pStyle w:val="Header"/>
      <w:rPr>
        <w:rStyle w:val="PageNumber"/>
      </w:rPr>
    </w:pPr>
    <w:r>
      <w:rPr>
        <w:lang w:val="en-US"/>
      </w:rPr>
      <w:t xml:space="preserve">- </w:t>
    </w:r>
    <w:r w:rsidR="009B202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B202C">
      <w:rPr>
        <w:rStyle w:val="PageNumber"/>
      </w:rPr>
      <w:fldChar w:fldCharType="separate"/>
    </w:r>
    <w:r w:rsidR="009F7F78">
      <w:rPr>
        <w:rStyle w:val="PageNumber"/>
        <w:noProof/>
      </w:rPr>
      <w:t>5</w:t>
    </w:r>
    <w:r w:rsidR="009B202C">
      <w:rPr>
        <w:rStyle w:val="PageNumber"/>
      </w:rPr>
      <w:fldChar w:fldCharType="end"/>
    </w:r>
    <w:r>
      <w:rPr>
        <w:rStyle w:val="PageNumber"/>
      </w:rPr>
      <w:t xml:space="preserve"> -</w:t>
    </w:r>
  </w:p>
  <w:p w:rsidR="009526DD" w:rsidRPr="00F96264" w:rsidRDefault="009526DD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526DD"/>
    <w:rsid w:val="00131358"/>
    <w:rsid w:val="00240010"/>
    <w:rsid w:val="003244E2"/>
    <w:rsid w:val="00351622"/>
    <w:rsid w:val="00655A81"/>
    <w:rsid w:val="006B43F3"/>
    <w:rsid w:val="00724FEC"/>
    <w:rsid w:val="007A5196"/>
    <w:rsid w:val="007B00B1"/>
    <w:rsid w:val="008546AE"/>
    <w:rsid w:val="00864801"/>
    <w:rsid w:val="008D5CD3"/>
    <w:rsid w:val="0091539B"/>
    <w:rsid w:val="009526DD"/>
    <w:rsid w:val="009B202C"/>
    <w:rsid w:val="009F7F78"/>
    <w:rsid w:val="00A144E0"/>
    <w:rsid w:val="00AE07DC"/>
    <w:rsid w:val="00BD0273"/>
    <w:rsid w:val="00BF11C4"/>
    <w:rsid w:val="00CF0AB6"/>
    <w:rsid w:val="00D04A11"/>
    <w:rsid w:val="00E23C4D"/>
    <w:rsid w:val="00F37C01"/>
    <w:rsid w:val="00F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A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F0A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0A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F0A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F0A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F0AB6"/>
    <w:pPr>
      <w:outlineLvl w:val="4"/>
    </w:pPr>
  </w:style>
  <w:style w:type="paragraph" w:styleId="Heading6">
    <w:name w:val="heading 6"/>
    <w:basedOn w:val="Heading4"/>
    <w:next w:val="Normal"/>
    <w:qFormat/>
    <w:rsid w:val="00CF0A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F0AB6"/>
    <w:pPr>
      <w:outlineLvl w:val="6"/>
    </w:pPr>
  </w:style>
  <w:style w:type="paragraph" w:styleId="Heading8">
    <w:name w:val="heading 8"/>
    <w:basedOn w:val="Heading6"/>
    <w:next w:val="Normal"/>
    <w:qFormat/>
    <w:rsid w:val="00CF0AB6"/>
    <w:pPr>
      <w:outlineLvl w:val="7"/>
    </w:pPr>
  </w:style>
  <w:style w:type="paragraph" w:styleId="Heading9">
    <w:name w:val="heading 9"/>
    <w:basedOn w:val="Heading6"/>
    <w:next w:val="Normal"/>
    <w:qFormat/>
    <w:rsid w:val="00CF0A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CF0AB6"/>
  </w:style>
  <w:style w:type="paragraph" w:styleId="TOC4">
    <w:name w:val="toc 4"/>
    <w:basedOn w:val="TOC3"/>
    <w:semiHidden/>
    <w:rsid w:val="00CF0AB6"/>
  </w:style>
  <w:style w:type="paragraph" w:styleId="TOC3">
    <w:name w:val="toc 3"/>
    <w:basedOn w:val="TOC2"/>
    <w:semiHidden/>
    <w:rsid w:val="00CF0AB6"/>
  </w:style>
  <w:style w:type="paragraph" w:styleId="TOC2">
    <w:name w:val="toc 2"/>
    <w:basedOn w:val="TOC1"/>
    <w:semiHidden/>
    <w:rsid w:val="00CF0AB6"/>
    <w:pPr>
      <w:spacing w:before="80"/>
      <w:ind w:left="1531" w:hanging="851"/>
    </w:pPr>
  </w:style>
  <w:style w:type="paragraph" w:styleId="TOC1">
    <w:name w:val="toc 1"/>
    <w:basedOn w:val="Normal"/>
    <w:semiHidden/>
    <w:rsid w:val="00CF0A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CF0AB6"/>
  </w:style>
  <w:style w:type="paragraph" w:styleId="TOC6">
    <w:name w:val="toc 6"/>
    <w:basedOn w:val="TOC4"/>
    <w:semiHidden/>
    <w:rsid w:val="00CF0AB6"/>
  </w:style>
  <w:style w:type="paragraph" w:styleId="TOC5">
    <w:name w:val="toc 5"/>
    <w:basedOn w:val="TOC4"/>
    <w:semiHidden/>
    <w:rsid w:val="00CF0AB6"/>
  </w:style>
  <w:style w:type="paragraph" w:customStyle="1" w:styleId="FigureNotitle">
    <w:name w:val="Figure_No &amp; title"/>
    <w:basedOn w:val="Normal"/>
    <w:next w:val="Normalaftertitle"/>
    <w:rsid w:val="00CF0AB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F0AB6"/>
    <w:pPr>
      <w:spacing w:before="360"/>
    </w:pPr>
  </w:style>
  <w:style w:type="paragraph" w:customStyle="1" w:styleId="TabletitleBR">
    <w:name w:val="Table_title_BR"/>
    <w:basedOn w:val="Normal"/>
    <w:next w:val="Tablehead"/>
    <w:rsid w:val="00CF0AB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CF0AB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CF0A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rsid w:val="00CF0AB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F0AB6"/>
  </w:style>
  <w:style w:type="paragraph" w:styleId="Index3">
    <w:name w:val="index 3"/>
    <w:basedOn w:val="Normal"/>
    <w:next w:val="Normal"/>
    <w:semiHidden/>
    <w:rsid w:val="00CF0AB6"/>
    <w:pPr>
      <w:ind w:left="566"/>
    </w:pPr>
  </w:style>
  <w:style w:type="paragraph" w:styleId="Index2">
    <w:name w:val="index 2"/>
    <w:basedOn w:val="Normal"/>
    <w:next w:val="Normal"/>
    <w:semiHidden/>
    <w:rsid w:val="00CF0AB6"/>
    <w:pPr>
      <w:ind w:left="283"/>
    </w:pPr>
  </w:style>
  <w:style w:type="paragraph" w:styleId="Index1">
    <w:name w:val="index 1"/>
    <w:basedOn w:val="Normal"/>
    <w:next w:val="Normal"/>
    <w:semiHidden/>
    <w:rsid w:val="00CF0AB6"/>
  </w:style>
  <w:style w:type="paragraph" w:customStyle="1" w:styleId="FiguretitleBR">
    <w:name w:val="Figure_title_BR"/>
    <w:basedOn w:val="TabletitleBR"/>
    <w:next w:val="Figurewithouttitle"/>
    <w:rsid w:val="00CF0AB6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CF0AB6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CF0AB6"/>
    <w:rPr>
      <w:position w:val="6"/>
      <w:sz w:val="18"/>
    </w:rPr>
  </w:style>
  <w:style w:type="paragraph" w:styleId="FootnoteText">
    <w:name w:val="footnote text"/>
    <w:basedOn w:val="Note"/>
    <w:semiHidden/>
    <w:rsid w:val="00CF0AB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F0AB6"/>
    <w:pPr>
      <w:spacing w:before="80"/>
    </w:pPr>
  </w:style>
  <w:style w:type="paragraph" w:customStyle="1" w:styleId="FooterQP">
    <w:name w:val="Footer_QP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CF0AB6"/>
    <w:pPr>
      <w:spacing w:before="80"/>
      <w:ind w:left="794" w:hanging="794"/>
    </w:pPr>
  </w:style>
  <w:style w:type="paragraph" w:customStyle="1" w:styleId="enumlev2">
    <w:name w:val="enumlev2"/>
    <w:basedOn w:val="enumlev1"/>
    <w:rsid w:val="00CF0AB6"/>
    <w:pPr>
      <w:ind w:left="1191" w:hanging="397"/>
    </w:pPr>
  </w:style>
  <w:style w:type="paragraph" w:customStyle="1" w:styleId="enumlev3">
    <w:name w:val="enumlev3"/>
    <w:basedOn w:val="enumlev2"/>
    <w:rsid w:val="00CF0AB6"/>
    <w:pPr>
      <w:ind w:left="1588"/>
    </w:pPr>
  </w:style>
  <w:style w:type="paragraph" w:customStyle="1" w:styleId="Equation">
    <w:name w:val="Equation"/>
    <w:basedOn w:val="Normal"/>
    <w:rsid w:val="00CF0A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CF0A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CF0AB6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F0AB6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CF0A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CF0A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CF0AB6"/>
  </w:style>
  <w:style w:type="character" w:styleId="Hyperlink">
    <w:name w:val="Hyperlink"/>
    <w:basedOn w:val="DefaultParagraphFont"/>
    <w:rsid w:val="00CF0AB6"/>
    <w:rPr>
      <w:color w:val="0000FF"/>
      <w:u w:val="single"/>
    </w:rPr>
  </w:style>
  <w:style w:type="paragraph" w:customStyle="1" w:styleId="Formal">
    <w:name w:val="Formal"/>
    <w:basedOn w:val="ASN1"/>
    <w:rsid w:val="00CF0AB6"/>
    <w:rPr>
      <w:b w:val="0"/>
    </w:rPr>
  </w:style>
  <w:style w:type="character" w:styleId="PageNumber">
    <w:name w:val="page number"/>
    <w:basedOn w:val="DefaultParagraphFont"/>
    <w:rsid w:val="00CF0AB6"/>
  </w:style>
  <w:style w:type="paragraph" w:customStyle="1" w:styleId="RecNoBR">
    <w:name w:val="Rec_No_BR"/>
    <w:basedOn w:val="Normal"/>
    <w:next w:val="Rectitle"/>
    <w:rsid w:val="00CF0AB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CF0AB6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F0A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F0AB6"/>
  </w:style>
  <w:style w:type="paragraph" w:customStyle="1" w:styleId="QuestionNoBR">
    <w:name w:val="Question_No_BR"/>
    <w:basedOn w:val="RecNoBR"/>
    <w:next w:val="Questiontitle"/>
    <w:rsid w:val="00CF0AB6"/>
  </w:style>
  <w:style w:type="paragraph" w:customStyle="1" w:styleId="Questiontitle">
    <w:name w:val="Question_title"/>
    <w:basedOn w:val="Rectitle"/>
    <w:next w:val="Questionref"/>
    <w:rsid w:val="00CF0AB6"/>
  </w:style>
  <w:style w:type="paragraph" w:customStyle="1" w:styleId="Questionref">
    <w:name w:val="Question_ref"/>
    <w:basedOn w:val="Recref"/>
    <w:next w:val="Questiondate"/>
    <w:rsid w:val="00CF0AB6"/>
  </w:style>
  <w:style w:type="paragraph" w:customStyle="1" w:styleId="Recref">
    <w:name w:val="Rec_ref"/>
    <w:basedOn w:val="Normal"/>
    <w:next w:val="Recdate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F0AB6"/>
  </w:style>
  <w:style w:type="paragraph" w:customStyle="1" w:styleId="RepNoBR">
    <w:name w:val="Rep_No_BR"/>
    <w:basedOn w:val="RecNoBR"/>
    <w:next w:val="Reptitle"/>
    <w:rsid w:val="00CF0AB6"/>
  </w:style>
  <w:style w:type="paragraph" w:customStyle="1" w:styleId="Reptitle">
    <w:name w:val="Rep_title"/>
    <w:basedOn w:val="Rectitle"/>
    <w:next w:val="Repref"/>
    <w:rsid w:val="00CF0AB6"/>
  </w:style>
  <w:style w:type="paragraph" w:customStyle="1" w:styleId="Repref">
    <w:name w:val="Rep_ref"/>
    <w:basedOn w:val="Recref"/>
    <w:next w:val="Repdate"/>
    <w:rsid w:val="00CF0AB6"/>
  </w:style>
  <w:style w:type="paragraph" w:customStyle="1" w:styleId="Repdate">
    <w:name w:val="Rep_date"/>
    <w:basedOn w:val="Recdate"/>
    <w:next w:val="Normalaftertitle"/>
    <w:rsid w:val="00CF0AB6"/>
  </w:style>
  <w:style w:type="paragraph" w:customStyle="1" w:styleId="ResNoBR">
    <w:name w:val="Res_No_BR"/>
    <w:basedOn w:val="RecNoBR"/>
    <w:next w:val="Restitle"/>
    <w:rsid w:val="00CF0AB6"/>
  </w:style>
  <w:style w:type="paragraph" w:customStyle="1" w:styleId="Restitle">
    <w:name w:val="Res_title"/>
    <w:basedOn w:val="Rectitle"/>
    <w:next w:val="Resref"/>
    <w:rsid w:val="00CF0AB6"/>
  </w:style>
  <w:style w:type="paragraph" w:customStyle="1" w:styleId="Resref">
    <w:name w:val="Res_ref"/>
    <w:basedOn w:val="Recref"/>
    <w:next w:val="Resdate"/>
    <w:rsid w:val="00CF0AB6"/>
  </w:style>
  <w:style w:type="paragraph" w:customStyle="1" w:styleId="Resdate">
    <w:name w:val="Res_date"/>
    <w:basedOn w:val="Recdate"/>
    <w:next w:val="Normalaftertitle"/>
    <w:rsid w:val="00CF0AB6"/>
  </w:style>
  <w:style w:type="character" w:customStyle="1" w:styleId="Artdef">
    <w:name w:val="Art_def"/>
    <w:basedOn w:val="DefaultParagraphFont"/>
    <w:rsid w:val="00CF0A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F0AB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F0AB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F0AB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F0AB6"/>
  </w:style>
  <w:style w:type="paragraph" w:customStyle="1" w:styleId="Call">
    <w:name w:val="Call"/>
    <w:basedOn w:val="Normal"/>
    <w:next w:val="Normal"/>
    <w:rsid w:val="00CF0A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F0AB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F0AB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CF0AB6"/>
    <w:rPr>
      <w:vertAlign w:val="superscript"/>
    </w:rPr>
  </w:style>
  <w:style w:type="paragraph" w:customStyle="1" w:styleId="Equationlegend">
    <w:name w:val="Equation_legend"/>
    <w:basedOn w:val="Normal"/>
    <w:rsid w:val="00CF0A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F0AB6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F0AB6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CF0A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F0AB6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F0AB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F0A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F0AB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F0AB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F0AB6"/>
  </w:style>
  <w:style w:type="character" w:customStyle="1" w:styleId="Recdef">
    <w:name w:val="Rec_def"/>
    <w:basedOn w:val="DefaultParagraphFont"/>
    <w:rsid w:val="00CF0AB6"/>
    <w:rPr>
      <w:b/>
    </w:rPr>
  </w:style>
  <w:style w:type="paragraph" w:customStyle="1" w:styleId="Reftext">
    <w:name w:val="Ref_text"/>
    <w:basedOn w:val="Normal"/>
    <w:rsid w:val="00CF0AB6"/>
    <w:pPr>
      <w:ind w:left="794" w:hanging="794"/>
    </w:pPr>
  </w:style>
  <w:style w:type="paragraph" w:customStyle="1" w:styleId="Reftitle">
    <w:name w:val="Ref_title"/>
    <w:basedOn w:val="Normal"/>
    <w:next w:val="Reftext"/>
    <w:rsid w:val="00CF0A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F0AB6"/>
  </w:style>
  <w:style w:type="character" w:customStyle="1" w:styleId="Resdef">
    <w:name w:val="Res_def"/>
    <w:basedOn w:val="DefaultParagraphFont"/>
    <w:rsid w:val="00CF0A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F0AB6"/>
  </w:style>
  <w:style w:type="paragraph" w:customStyle="1" w:styleId="SectionNo">
    <w:name w:val="Section_No"/>
    <w:basedOn w:val="Normal"/>
    <w:next w:val="Sectiontitle"/>
    <w:rsid w:val="00CF0AB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F0AB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F0AB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F0A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F0AB6"/>
    <w:rPr>
      <w:b/>
      <w:color w:val="auto"/>
    </w:rPr>
  </w:style>
  <w:style w:type="paragraph" w:customStyle="1" w:styleId="Tablelegend">
    <w:name w:val="Table_legend"/>
    <w:basedOn w:val="Normal"/>
    <w:rsid w:val="00CF0A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F0AB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F0A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F0A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F0AB6"/>
  </w:style>
  <w:style w:type="paragraph" w:customStyle="1" w:styleId="Title3">
    <w:name w:val="Title 3"/>
    <w:basedOn w:val="Title2"/>
    <w:next w:val="Title4"/>
    <w:rsid w:val="00CF0AB6"/>
    <w:rPr>
      <w:caps w:val="0"/>
    </w:rPr>
  </w:style>
  <w:style w:type="paragraph" w:customStyle="1" w:styleId="Title4">
    <w:name w:val="Title 4"/>
    <w:basedOn w:val="Title3"/>
    <w:next w:val="Heading1"/>
    <w:rsid w:val="00CF0AB6"/>
    <w:rPr>
      <w:b/>
    </w:rPr>
  </w:style>
  <w:style w:type="paragraph" w:customStyle="1" w:styleId="FigureNoBR">
    <w:name w:val="Figure_No_BR"/>
    <w:basedOn w:val="Normal"/>
    <w:next w:val="FiguretitleBR"/>
    <w:rsid w:val="00CF0A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NormalWeb">
    <w:name w:val="Normal (Web)"/>
    <w:basedOn w:val="Normal"/>
    <w:uiPriority w:val="99"/>
    <w:unhideWhenUsed/>
    <w:rsid w:val="003244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character" w:customStyle="1" w:styleId="AnnexNotitleChar">
    <w:name w:val="Annex_No &amp; title Char"/>
    <w:basedOn w:val="DefaultParagraphFont"/>
    <w:link w:val="AnnexNotitle"/>
    <w:rsid w:val="00BF11C4"/>
    <w:rPr>
      <w:rFonts w:ascii="Times New Roman" w:hAnsi="Times New Roman"/>
      <w:b/>
      <w:sz w:val="28"/>
      <w:lang w:val="es-ES_tradnl" w:eastAsia="en-US"/>
    </w:rPr>
  </w:style>
  <w:style w:type="character" w:customStyle="1" w:styleId="Rectitle0">
    <w:name w:val="Rec_title Знак"/>
    <w:basedOn w:val="DefaultParagraphFont"/>
    <w:link w:val="Rectitle"/>
    <w:locked/>
    <w:rsid w:val="00BF11C4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basedOn w:val="DefaultParagraphFont"/>
    <w:uiPriority w:val="99"/>
    <w:rsid w:val="00BF1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tu.int/ITU-T/dbase/patent/patent-policy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rsgd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31</TotalTime>
  <Pages>5</Pages>
  <Words>1165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7784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fernandv</cp:lastModifiedBy>
  <cp:revision>10</cp:revision>
  <cp:lastPrinted>2010-11-05T09:56:00Z</cp:lastPrinted>
  <dcterms:created xsi:type="dcterms:W3CDTF">2010-10-25T14:21:00Z</dcterms:created>
  <dcterms:modified xsi:type="dcterms:W3CDTF">2010-11-05T09:56:00Z</dcterms:modified>
</cp:coreProperties>
</file>