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847894" w:rsidRPr="00D35752" w:rsidTr="0058755D">
        <w:tc>
          <w:tcPr>
            <w:tcW w:w="8188" w:type="dxa"/>
            <w:vAlign w:val="center"/>
          </w:tcPr>
          <w:p w:rsidR="00847894" w:rsidRPr="00D35752" w:rsidRDefault="00847894" w:rsidP="0058755D">
            <w:pPr>
              <w:spacing w:before="0"/>
            </w:pPr>
            <w:r w:rsidRPr="0058755D">
              <w:rPr>
                <w:rFonts w:ascii="Futura Lt BT" w:hAnsi="Futura Lt BT"/>
                <w:sz w:val="44"/>
              </w:rPr>
              <w:t>I</w:t>
            </w:r>
            <w:r w:rsidRPr="0058755D">
              <w:rPr>
                <w:rFonts w:ascii="Futura Lt BT" w:hAnsi="Futura Lt BT"/>
                <w:sz w:val="36"/>
              </w:rPr>
              <w:t xml:space="preserve">NTERNATIONAL </w:t>
            </w:r>
            <w:r w:rsidRPr="0058755D">
              <w:rPr>
                <w:rFonts w:ascii="Futura Lt BT" w:hAnsi="Futura Lt BT"/>
                <w:sz w:val="44"/>
              </w:rPr>
              <w:t>T</w:t>
            </w:r>
            <w:r w:rsidRPr="0058755D">
              <w:rPr>
                <w:rFonts w:ascii="Futura Lt BT" w:hAnsi="Futura Lt BT"/>
                <w:sz w:val="36"/>
              </w:rPr>
              <w:t xml:space="preserve">ELECOMMUNICATION </w:t>
            </w:r>
            <w:smartTag w:uri="urn:schemas-microsoft-com:office:smarttags" w:element="place">
              <w:r w:rsidRPr="0058755D">
                <w:rPr>
                  <w:rFonts w:ascii="Futura Lt BT" w:hAnsi="Futura Lt BT"/>
                  <w:sz w:val="44"/>
                </w:rPr>
                <w:t>U</w:t>
              </w:r>
              <w:r w:rsidRPr="0058755D">
                <w:rPr>
                  <w:rFonts w:ascii="Futura Lt BT" w:hAnsi="Futura Lt BT"/>
                  <w:sz w:val="36"/>
                </w:rPr>
                <w:t>NION</w:t>
              </w:r>
            </w:smartTag>
          </w:p>
        </w:tc>
        <w:tc>
          <w:tcPr>
            <w:tcW w:w="1667" w:type="dxa"/>
          </w:tcPr>
          <w:p w:rsidR="00847894" w:rsidRPr="00D35752" w:rsidRDefault="00CB24F3" w:rsidP="0058755D">
            <w:pPr>
              <w:spacing w:before="0"/>
              <w:jc w:val="right"/>
            </w:pPr>
            <w:r>
              <w:rPr>
                <w:noProof/>
                <w:lang w:val="en-US" w:eastAsia="zh-CN"/>
              </w:rPr>
              <w:drawing>
                <wp:inline distT="0" distB="0" distL="0" distR="0">
                  <wp:extent cx="819150" cy="9048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srcRect/>
                          <a:stretch>
                            <a:fillRect/>
                          </a:stretch>
                        </pic:blipFill>
                        <pic:spPr bwMode="auto">
                          <a:xfrm>
                            <a:off x="0" y="0"/>
                            <a:ext cx="819150" cy="9048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847894">
        <w:trPr>
          <w:cantSplit/>
        </w:trPr>
        <w:tc>
          <w:tcPr>
            <w:tcW w:w="5075" w:type="dxa"/>
          </w:tcPr>
          <w:p w:rsidR="00847894" w:rsidRPr="00487BC6" w:rsidRDefault="00847894">
            <w:pPr>
              <w:rPr>
                <w:b/>
                <w:smallCaps/>
                <w:sz w:val="20"/>
                <w:lang w:val="fr-CH"/>
              </w:rPr>
            </w:pPr>
            <w:r w:rsidRPr="00487BC6">
              <w:rPr>
                <w:i/>
                <w:sz w:val="28"/>
                <w:lang w:val="fr-CH"/>
              </w:rPr>
              <w:t>Radiocommunication Bureau</w:t>
            </w:r>
          </w:p>
          <w:p w:rsidR="00847894" w:rsidRDefault="00847894">
            <w:pPr>
              <w:tabs>
                <w:tab w:val="clear" w:pos="794"/>
                <w:tab w:val="clear" w:pos="1191"/>
                <w:tab w:val="clear" w:pos="1588"/>
                <w:tab w:val="clear" w:pos="1985"/>
                <w:tab w:val="center" w:pos="1701"/>
              </w:tabs>
              <w:spacing w:before="0"/>
              <w:rPr>
                <w:b/>
                <w:smallCaps/>
                <w:sz w:val="20"/>
              </w:rPr>
            </w:pPr>
            <w:r w:rsidRPr="00487BC6">
              <w:rPr>
                <w:b/>
                <w:sz w:val="18"/>
                <w:lang w:val="fr-CH"/>
              </w:rPr>
              <w:tab/>
            </w:r>
            <w:r w:rsidRPr="00487BC6">
              <w:rPr>
                <w:i/>
                <w:sz w:val="18"/>
                <w:lang w:val="fr-CH"/>
              </w:rPr>
              <w:t xml:space="preserve">(Direct Fax N°. </w:t>
            </w:r>
            <w:r>
              <w:rPr>
                <w:i/>
                <w:sz w:val="18"/>
              </w:rPr>
              <w:t>+41 22 730 57 85)</w:t>
            </w:r>
          </w:p>
        </w:tc>
      </w:tr>
    </w:tbl>
    <w:p w:rsidR="00847894" w:rsidRDefault="00847894">
      <w:pPr>
        <w:tabs>
          <w:tab w:val="left" w:pos="7513"/>
        </w:tabs>
      </w:pPr>
    </w:p>
    <w:p w:rsidR="00847894" w:rsidRDefault="00847894">
      <w:pPr>
        <w:tabs>
          <w:tab w:val="left" w:pos="7513"/>
        </w:tabs>
      </w:pPr>
    </w:p>
    <w:tbl>
      <w:tblPr>
        <w:tblW w:w="10020" w:type="dxa"/>
        <w:tblLayout w:type="fixed"/>
        <w:tblLook w:val="000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0" w:name="dletter"/>
            <w:bookmarkEnd w:id="0"/>
            <w:r>
              <w:rPr>
                <w:b/>
              </w:rPr>
              <w:t>Administrative Circular</w:t>
            </w:r>
          </w:p>
          <w:p w:rsidR="00847894" w:rsidRPr="00487BC6" w:rsidRDefault="00847894" w:rsidP="000A6DA1">
            <w:pPr>
              <w:tabs>
                <w:tab w:val="clear" w:pos="794"/>
                <w:tab w:val="clear" w:pos="1191"/>
                <w:tab w:val="clear" w:pos="1588"/>
              </w:tabs>
              <w:spacing w:before="0"/>
              <w:jc w:val="center"/>
              <w:rPr>
                <w:b/>
                <w:bCs/>
              </w:rPr>
            </w:pPr>
            <w:bookmarkStart w:id="1" w:name="dnum"/>
            <w:bookmarkEnd w:id="1"/>
            <w:r>
              <w:rPr>
                <w:b/>
                <w:bCs/>
              </w:rPr>
              <w:t>CAR/</w:t>
            </w:r>
            <w:r w:rsidR="00863902">
              <w:rPr>
                <w:b/>
                <w:bCs/>
              </w:rPr>
              <w:t>299</w:t>
            </w:r>
          </w:p>
        </w:tc>
        <w:tc>
          <w:tcPr>
            <w:tcW w:w="6368" w:type="dxa"/>
          </w:tcPr>
          <w:p w:rsidR="00847894" w:rsidRPr="00487BC6" w:rsidRDefault="006B218D" w:rsidP="00863902">
            <w:pPr>
              <w:tabs>
                <w:tab w:val="left" w:pos="7513"/>
              </w:tabs>
              <w:jc w:val="right"/>
              <w:rPr>
                <w:bCs/>
              </w:rPr>
            </w:pPr>
            <w:bookmarkStart w:id="2" w:name="ddate"/>
            <w:bookmarkEnd w:id="2"/>
            <w:r>
              <w:rPr>
                <w:bCs/>
              </w:rPr>
              <w:t>17</w:t>
            </w:r>
            <w:r w:rsidR="00847894">
              <w:rPr>
                <w:bCs/>
              </w:rPr>
              <w:t xml:space="preserve"> September 2010</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487BC6">
      <w:pPr>
        <w:tabs>
          <w:tab w:val="clear" w:pos="794"/>
          <w:tab w:val="clear" w:pos="1191"/>
          <w:tab w:val="clear" w:pos="1588"/>
          <w:tab w:val="clear" w:pos="1985"/>
          <w:tab w:val="left" w:pos="709"/>
        </w:tabs>
        <w:spacing w:before="720"/>
        <w:ind w:left="709" w:hanging="709"/>
        <w:rPr>
          <w:b/>
          <w:bCs/>
        </w:rPr>
      </w:pPr>
      <w:r>
        <w:rPr>
          <w:b/>
        </w:rPr>
        <w:t>Subject</w:t>
      </w:r>
      <w:r>
        <w:t>:</w:t>
      </w:r>
      <w:r>
        <w:tab/>
      </w:r>
      <w:proofErr w:type="spellStart"/>
      <w:r>
        <w:rPr>
          <w:b/>
          <w:bCs/>
        </w:rPr>
        <w:t>Radiocommunication</w:t>
      </w:r>
      <w:proofErr w:type="spellEnd"/>
      <w:r>
        <w:rPr>
          <w:b/>
          <w:bCs/>
        </w:rPr>
        <w:t xml:space="preserve"> Study Group 4</w:t>
      </w:r>
    </w:p>
    <w:p w:rsidR="00847894" w:rsidRDefault="00847894" w:rsidP="000A6DA1">
      <w:pPr>
        <w:numPr>
          <w:ilvl w:val="0"/>
          <w:numId w:val="3"/>
        </w:numPr>
        <w:tabs>
          <w:tab w:val="clear" w:pos="1588"/>
          <w:tab w:val="left" w:pos="1418"/>
        </w:tabs>
        <w:spacing w:before="240"/>
        <w:ind w:left="1780" w:hanging="357"/>
        <w:rPr>
          <w:b/>
        </w:rPr>
      </w:pPr>
      <w:r w:rsidRPr="00E60D3B">
        <w:rPr>
          <w:b/>
        </w:rPr>
        <w:t xml:space="preserve">Proposed adoption of </w:t>
      </w:r>
      <w:r>
        <w:rPr>
          <w:b/>
        </w:rPr>
        <w:t xml:space="preserve">1 draft new Recommendation and 2 draft revised Recommendations </w:t>
      </w:r>
      <w:r w:rsidRPr="00E60D3B">
        <w:rPr>
          <w:b/>
        </w:rPr>
        <w:t xml:space="preserve">and </w:t>
      </w:r>
      <w:r>
        <w:rPr>
          <w:b/>
        </w:rPr>
        <w:t xml:space="preserve">their </w:t>
      </w:r>
      <w:r w:rsidRPr="00E60D3B">
        <w:rPr>
          <w:b/>
        </w:rPr>
        <w:t>simultaneous approval by correspondence in accordanc</w:t>
      </w:r>
      <w:r>
        <w:rPr>
          <w:b/>
        </w:rPr>
        <w:t>e with § 10.3 of Resolution ITU</w:t>
      </w:r>
      <w:r>
        <w:rPr>
          <w:b/>
        </w:rPr>
        <w:noBreakHyphen/>
        <w:t>R </w:t>
      </w:r>
      <w:r w:rsidRPr="00E60D3B">
        <w:rPr>
          <w:b/>
        </w:rPr>
        <w:t>1-</w:t>
      </w:r>
      <w:r>
        <w:rPr>
          <w:b/>
        </w:rPr>
        <w:t>5</w:t>
      </w:r>
      <w:r w:rsidRPr="00E60D3B">
        <w:rPr>
          <w:b/>
        </w:rPr>
        <w:t xml:space="preserve"> (Procedure for </w:t>
      </w:r>
      <w:r>
        <w:rPr>
          <w:b/>
        </w:rPr>
        <w:t>the simultaneous adoption and </w:t>
      </w:r>
      <w:r w:rsidRPr="00E60D3B">
        <w:rPr>
          <w:b/>
        </w:rPr>
        <w:t>approval by correspondence)</w:t>
      </w:r>
    </w:p>
    <w:p w:rsidR="00847894" w:rsidRDefault="00847894" w:rsidP="00487BC6">
      <w:pPr>
        <w:numPr>
          <w:ilvl w:val="0"/>
          <w:numId w:val="3"/>
        </w:numPr>
        <w:tabs>
          <w:tab w:val="clear" w:pos="1588"/>
          <w:tab w:val="left" w:pos="1418"/>
        </w:tabs>
        <w:spacing w:before="240"/>
        <w:ind w:left="1780" w:hanging="357"/>
        <w:rPr>
          <w:b/>
        </w:rPr>
      </w:pPr>
      <w:r>
        <w:rPr>
          <w:b/>
        </w:rPr>
        <w:t>Proposed suppression of 5 Recommendations</w:t>
      </w:r>
    </w:p>
    <w:p w:rsidR="00847894" w:rsidRDefault="00847894" w:rsidP="00487BC6"/>
    <w:p w:rsidR="00847894" w:rsidRDefault="00847894">
      <w:pPr>
        <w:pStyle w:val="Normalaftertitle"/>
      </w:pPr>
      <w:r>
        <w:t xml:space="preserve">At the meeting of </w:t>
      </w:r>
      <w:proofErr w:type="spellStart"/>
      <w:r>
        <w:t>Radiocommunication</w:t>
      </w:r>
      <w:proofErr w:type="spellEnd"/>
      <w:r>
        <w:t xml:space="preserve"> Study Group 4, held on 16 July 2010, the Study Group decided to seek adoption of 1 draft new Recommendation and 2 draft revised Recommendations by correspondence (§ 10.2.3 of Resolution ITU-R 1-5) and further decided to apply the procedure for simultaneous adoption and approval by correspondence (PSAA), (§ 10.3 of Resolution ITU</w:t>
      </w:r>
      <w:r>
        <w:noBreakHyphen/>
        <w:t>R 1</w:t>
      </w:r>
      <w:r>
        <w:noBreakHyphen/>
        <w:t>5). The titles and summaries of the draft Recommendations are given in Annex 1. Furthermore, the Study Group proposed the suppression of 5 Recommendations which are listed in Annex 2.</w:t>
      </w:r>
    </w:p>
    <w:p w:rsidR="00847894" w:rsidRDefault="00847894" w:rsidP="006B218D">
      <w:r>
        <w:t xml:space="preserve">The consideration period shall extend for </w:t>
      </w:r>
      <w:r w:rsidRPr="007D3CB6">
        <w:t>3 months ending on</w:t>
      </w:r>
      <w:r>
        <w:t xml:space="preserve"> </w:t>
      </w:r>
      <w:r w:rsidR="006B218D">
        <w:rPr>
          <w:u w:val="single"/>
        </w:rPr>
        <w:t>17</w:t>
      </w:r>
      <w:r>
        <w:rPr>
          <w:u w:val="single"/>
        </w:rPr>
        <w:t xml:space="preserve"> December 2010</w:t>
      </w:r>
      <w:r w:rsidRPr="00AB7229">
        <w:t>.</w:t>
      </w:r>
      <w:r>
        <w:t xml:space="preserve"> If within this period no objections are received from Member States, the draft Recommendations shall be considered to be adopted by Study Group 4. Furthermore, since the PSAA procedure has been followed, the draft Recommendations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After the above-mentioned deadline, the results of the PSA</w:t>
      </w:r>
      <w:r w:rsidR="00B82628">
        <w:t xml:space="preserve">A procedure shall be announced </w:t>
      </w:r>
      <w:r>
        <w:t xml:space="preserve">in an Administrative Circular (CACE) and the approved Recommendations published as soon as practicable. </w:t>
      </w:r>
    </w:p>
    <w:p w:rsidR="00847894" w:rsidRDefault="00847894" w:rsidP="00487BC6">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 xml:space="preserve">R/ISO/IEC is available at </w:t>
      </w:r>
      <w:hyperlink r:id="rId9"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Default="00847894" w:rsidP="00487BC6">
      <w:pPr>
        <w:pStyle w:val="BodyTextIndent"/>
        <w:spacing w:after="0"/>
        <w:ind w:left="5761"/>
      </w:pPr>
      <w:r>
        <w:t>Valery Timofeev</w:t>
      </w:r>
      <w:r>
        <w:br/>
        <w:t xml:space="preserve">Director, </w:t>
      </w:r>
      <w:proofErr w:type="spellStart"/>
      <w:r>
        <w:t>Radiocommunication</w:t>
      </w:r>
      <w:proofErr w:type="spellEnd"/>
      <w:r>
        <w:t xml:space="preserve"> Bureau</w:t>
      </w: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lang w:val="en-US"/>
        </w:rPr>
      </w:pPr>
      <w:r w:rsidRPr="00D321EA">
        <w:rPr>
          <w:b/>
          <w:bCs/>
          <w:lang w:val="en-US"/>
        </w:rPr>
        <w:t>Annex</w:t>
      </w:r>
      <w:r>
        <w:rPr>
          <w:b/>
          <w:bCs/>
          <w:lang w:val="en-US"/>
        </w:rPr>
        <w:t xml:space="preserve"> 1</w:t>
      </w:r>
      <w:r w:rsidRPr="00D321EA">
        <w:rPr>
          <w:b/>
          <w:bCs/>
          <w:lang w:val="en-US"/>
        </w:rPr>
        <w:t>:</w:t>
      </w:r>
      <w:r w:rsidRPr="00D321EA">
        <w:rPr>
          <w:lang w:val="en-US"/>
        </w:rPr>
        <w:t xml:space="preserve"> </w:t>
      </w:r>
      <w:r w:rsidRPr="00D321EA">
        <w:rPr>
          <w:lang w:val="en-US"/>
        </w:rPr>
        <w:tab/>
        <w:t>Title</w:t>
      </w:r>
      <w:r>
        <w:rPr>
          <w:lang w:val="en-US"/>
        </w:rPr>
        <w:t>s</w:t>
      </w:r>
      <w:r w:rsidRPr="00D321EA">
        <w:rPr>
          <w:lang w:val="en-US"/>
        </w:rPr>
        <w:t xml:space="preserve"> and summar</w:t>
      </w:r>
      <w:r>
        <w:rPr>
          <w:lang w:val="en-US"/>
        </w:rPr>
        <w:t>ies of the draft Recommendations</w:t>
      </w:r>
    </w:p>
    <w:p w:rsidR="00847894" w:rsidRPr="00D321EA" w:rsidRDefault="00847894" w:rsidP="00487BC6">
      <w:pPr>
        <w:ind w:left="1191" w:hanging="1191"/>
        <w:rPr>
          <w:lang w:val="en-US"/>
        </w:rPr>
      </w:pPr>
      <w:r>
        <w:rPr>
          <w:b/>
          <w:bCs/>
          <w:lang w:val="en-US"/>
        </w:rPr>
        <w:t>Annex 2:</w:t>
      </w:r>
      <w:r>
        <w:rPr>
          <w:lang w:val="en-US"/>
        </w:rPr>
        <w:tab/>
        <w:t>Recommendation</w:t>
      </w:r>
      <w:r w:rsidR="00F738CA">
        <w:rPr>
          <w:lang w:val="en-US"/>
        </w:rPr>
        <w:t>s</w:t>
      </w:r>
      <w:r>
        <w:rPr>
          <w:lang w:val="en-US"/>
        </w:rPr>
        <w:t xml:space="preserve"> proposed for suppression</w:t>
      </w:r>
    </w:p>
    <w:p w:rsidR="00847894" w:rsidRDefault="00847894" w:rsidP="00487BC6">
      <w:pPr>
        <w:ind w:left="1191" w:hanging="1191"/>
        <w:rPr>
          <w:b/>
          <w:bCs/>
          <w:lang w:val="en-US"/>
        </w:rPr>
      </w:pPr>
    </w:p>
    <w:p w:rsidR="00847894" w:rsidRPr="00E543EB" w:rsidRDefault="00847894" w:rsidP="000A6DA1">
      <w:pPr>
        <w:tabs>
          <w:tab w:val="clear" w:pos="1191"/>
          <w:tab w:val="clear" w:pos="1588"/>
          <w:tab w:val="clear" w:pos="1985"/>
          <w:tab w:val="left" w:pos="2268"/>
        </w:tabs>
        <w:ind w:left="2268" w:hanging="2268"/>
        <w:rPr>
          <w:u w:val="single"/>
          <w:lang w:val="en-US"/>
        </w:rPr>
      </w:pPr>
      <w:r w:rsidRPr="00E543EB">
        <w:rPr>
          <w:b/>
          <w:bCs/>
          <w:lang w:val="en-US"/>
        </w:rPr>
        <w:t>Document</w:t>
      </w:r>
      <w:r>
        <w:rPr>
          <w:b/>
          <w:bCs/>
          <w:lang w:val="en-US"/>
        </w:rPr>
        <w:t>s</w:t>
      </w:r>
      <w:r w:rsidRPr="00E543EB">
        <w:rPr>
          <w:b/>
          <w:bCs/>
          <w:lang w:val="en-US"/>
        </w:rPr>
        <w:t xml:space="preserve"> attached:</w:t>
      </w:r>
      <w:r>
        <w:rPr>
          <w:lang w:val="en-US"/>
        </w:rPr>
        <w:tab/>
      </w:r>
      <w:r w:rsidRPr="00E543EB">
        <w:rPr>
          <w:lang w:val="en-US"/>
        </w:rPr>
        <w:t>Document</w:t>
      </w:r>
      <w:r>
        <w:rPr>
          <w:lang w:val="en-US"/>
        </w:rPr>
        <w:t>s</w:t>
      </w:r>
      <w:r w:rsidRPr="00E543EB">
        <w:rPr>
          <w:lang w:val="en-US"/>
        </w:rPr>
        <w:t xml:space="preserve"> </w:t>
      </w:r>
      <w:r>
        <w:rPr>
          <w:lang w:val="en-US"/>
        </w:rPr>
        <w:t xml:space="preserve">4/136(Rev.1), 4/134(Rev.1), 4/135(Rev.1) </w:t>
      </w:r>
      <w:r w:rsidRPr="00E543EB">
        <w:rPr>
          <w:lang w:val="en-US"/>
        </w:rPr>
        <w:t>on CD-ROM</w:t>
      </w:r>
    </w:p>
    <w:p w:rsidR="00847894" w:rsidRPr="00E543EB" w:rsidRDefault="00847894" w:rsidP="00487BC6">
      <w:pPr>
        <w:tabs>
          <w:tab w:val="left" w:pos="284"/>
          <w:tab w:val="left" w:pos="568"/>
        </w:tabs>
        <w:spacing w:before="60" w:after="60"/>
        <w:rPr>
          <w:sz w:val="22"/>
          <w:u w:val="single"/>
          <w:lang w:val="en-US"/>
        </w:rPr>
      </w:pPr>
    </w:p>
    <w:p w:rsidR="00847894" w:rsidRDefault="00847894"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proofErr w:type="spellStart"/>
      <w:r w:rsidRPr="008704AD">
        <w:rPr>
          <w:sz w:val="18"/>
          <w:szCs w:val="18"/>
        </w:rPr>
        <w:t>Radiommunication</w:t>
      </w:r>
      <w:proofErr w:type="spellEnd"/>
      <w:r w:rsidRPr="008704AD">
        <w:rPr>
          <w:sz w:val="18"/>
          <w:szCs w:val="18"/>
        </w:rPr>
        <w:t xml:space="preserve"> Sector Members participating in the work of </w:t>
      </w:r>
      <w:proofErr w:type="spellStart"/>
      <w:r w:rsidRPr="008704AD">
        <w:rPr>
          <w:sz w:val="18"/>
          <w:szCs w:val="18"/>
        </w:rPr>
        <w:t>Radiocommunication</w:t>
      </w:r>
      <w:proofErr w:type="spellEnd"/>
      <w:r w:rsidRPr="008704AD">
        <w:rPr>
          <w:sz w:val="18"/>
          <w:szCs w:val="18"/>
        </w:rPr>
        <w:t xml:space="preserve"> Study Group 4</w:t>
      </w:r>
    </w:p>
    <w:p w:rsidR="00847894" w:rsidRPr="008704AD" w:rsidRDefault="00847894" w:rsidP="00487BC6">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w:t>
      </w:r>
      <w:proofErr w:type="spellStart"/>
      <w:r w:rsidRPr="008704AD">
        <w:rPr>
          <w:sz w:val="18"/>
          <w:szCs w:val="18"/>
        </w:rPr>
        <w:t>Radiocommunication</w:t>
      </w:r>
      <w:proofErr w:type="spellEnd"/>
      <w:r w:rsidRPr="008704AD">
        <w:rPr>
          <w:sz w:val="18"/>
          <w:szCs w:val="18"/>
        </w:rPr>
        <w:t xml:space="preserve"> Study Group 4</w:t>
      </w:r>
    </w:p>
    <w:p w:rsidR="00847894" w:rsidRDefault="00847894" w:rsidP="00487BC6">
      <w:pPr>
        <w:pStyle w:val="AnnexNotitle"/>
      </w:pPr>
      <w:r>
        <w:br w:type="page"/>
        <w:t>Annex 1</w:t>
      </w:r>
      <w:r>
        <w:br/>
      </w:r>
      <w:r>
        <w:br/>
        <w:t>Titles and summaries of the draft Recommendations</w:t>
      </w:r>
    </w:p>
    <w:p w:rsidR="00847894" w:rsidRDefault="00847894" w:rsidP="00487BC6"/>
    <w:p w:rsidR="00847894" w:rsidRDefault="00847894">
      <w:pPr>
        <w:pStyle w:val="RecNo"/>
        <w:tabs>
          <w:tab w:val="right" w:pos="9639"/>
        </w:tabs>
        <w:rPr>
          <w:b w:val="0"/>
          <w:bCs/>
          <w:sz w:val="24"/>
          <w:szCs w:val="24"/>
        </w:rPr>
      </w:pPr>
      <w:r w:rsidRPr="003B681F">
        <w:rPr>
          <w:b w:val="0"/>
          <w:bCs/>
          <w:sz w:val="24"/>
          <w:szCs w:val="24"/>
          <w:u w:val="single"/>
        </w:rPr>
        <w:t>Draft new Recommendation ITU-R S.[MULTI-CARRIER]</w:t>
      </w:r>
      <w:r w:rsidRPr="00044939">
        <w:rPr>
          <w:b w:val="0"/>
          <w:bCs/>
          <w:sz w:val="24"/>
          <w:szCs w:val="24"/>
        </w:rPr>
        <w:tab/>
        <w:t>Doc. 4/</w:t>
      </w:r>
      <w:r>
        <w:rPr>
          <w:b w:val="0"/>
          <w:bCs/>
          <w:sz w:val="24"/>
          <w:szCs w:val="24"/>
        </w:rPr>
        <w:t>136</w:t>
      </w:r>
      <w:r w:rsidRPr="00044939">
        <w:rPr>
          <w:b w:val="0"/>
          <w:bCs/>
          <w:sz w:val="24"/>
          <w:szCs w:val="24"/>
        </w:rPr>
        <w:t>(Rev.1)</w:t>
      </w:r>
    </w:p>
    <w:p w:rsidR="00847894" w:rsidRPr="00D13B36" w:rsidRDefault="00847894" w:rsidP="00F03842">
      <w:pPr>
        <w:pStyle w:val="Rectitle"/>
      </w:pPr>
      <w:r w:rsidRPr="00D13B36">
        <w:rPr>
          <w:lang w:eastAsia="ko-KR"/>
        </w:rPr>
        <w:t xml:space="preserve">Multi-carrier based </w:t>
      </w:r>
      <w:r w:rsidRPr="00240332">
        <w:t>transmission</w:t>
      </w:r>
      <w:r w:rsidRPr="00D13B36">
        <w:rPr>
          <w:lang w:eastAsia="ko-KR"/>
        </w:rPr>
        <w:t xml:space="preserve"> t</w:t>
      </w:r>
      <w:r>
        <w:rPr>
          <w:lang w:eastAsia="ko-KR"/>
        </w:rPr>
        <w:t>echniques for satellite systems</w:t>
      </w:r>
    </w:p>
    <w:p w:rsidR="00847894" w:rsidRDefault="00847894" w:rsidP="00F03842">
      <w:pPr>
        <w:rPr>
          <w:lang w:eastAsia="ko-KR"/>
        </w:rPr>
      </w:pPr>
      <w:r>
        <w:t xml:space="preserve">The </w:t>
      </w:r>
      <w:r w:rsidRPr="00214D82">
        <w:t xml:space="preserve">draft </w:t>
      </w:r>
      <w:r>
        <w:t>new</w:t>
      </w:r>
      <w:r w:rsidRPr="00214D82">
        <w:t xml:space="preserve"> Recommendation ITU-R </w:t>
      </w:r>
      <w:r>
        <w:t>S</w:t>
      </w:r>
      <w:r w:rsidRPr="00C60EC9">
        <w:rPr>
          <w:lang w:eastAsia="ko-KR"/>
        </w:rPr>
        <w:t>.[</w:t>
      </w:r>
      <w:r>
        <w:rPr>
          <w:lang w:eastAsia="ko-KR"/>
        </w:rPr>
        <w:t>MULTI</w:t>
      </w:r>
      <w:r w:rsidRPr="00C60EC9">
        <w:rPr>
          <w:lang w:eastAsia="ko-KR"/>
        </w:rPr>
        <w:t>-</w:t>
      </w:r>
      <w:r>
        <w:rPr>
          <w:lang w:eastAsia="ko-KR"/>
        </w:rPr>
        <w:t>CARRIER</w:t>
      </w:r>
      <w:r w:rsidRPr="00C60EC9">
        <w:rPr>
          <w:lang w:eastAsia="ko-KR"/>
        </w:rPr>
        <w:t>]</w:t>
      </w:r>
      <w:r>
        <w:rPr>
          <w:lang w:eastAsia="ko-KR"/>
        </w:rPr>
        <w:t xml:space="preserve"> </w:t>
      </w:r>
      <w:r w:rsidRPr="001011A8">
        <w:t>presents an overview of multi</w:t>
      </w:r>
      <w:r>
        <w:rPr>
          <w:lang w:eastAsia="ko-KR"/>
        </w:rPr>
        <w:noBreakHyphen/>
      </w:r>
      <w:r w:rsidRPr="001011A8">
        <w:rPr>
          <w:lang w:eastAsia="ko-KR"/>
        </w:rPr>
        <w:t>carrier based transmission techniques over satellite links</w:t>
      </w:r>
      <w:r w:rsidRPr="001011A8">
        <w:t xml:space="preserve">, giving guidance for the utilization of </w:t>
      </w:r>
      <w:r w:rsidRPr="001011A8">
        <w:rPr>
          <w:lang w:eastAsia="ko-KR"/>
        </w:rPr>
        <w:t>multi-carrier code division multiple access (MC-CDMA) and c</w:t>
      </w:r>
      <w:r w:rsidRPr="001011A8">
        <w:t xml:space="preserve">arrier </w:t>
      </w:r>
      <w:proofErr w:type="spellStart"/>
      <w:r w:rsidRPr="001011A8">
        <w:t>interferometry</w:t>
      </w:r>
      <w:proofErr w:type="spellEnd"/>
      <w:r w:rsidRPr="001011A8">
        <w:t xml:space="preserve"> </w:t>
      </w:r>
      <w:r w:rsidRPr="001011A8">
        <w:rPr>
          <w:lang w:eastAsia="ko-KR"/>
        </w:rPr>
        <w:t>orthogonal frequency division multiplexing (CI-</w:t>
      </w:r>
      <w:r w:rsidRPr="001011A8">
        <w:t>OFDM</w:t>
      </w:r>
      <w:r w:rsidRPr="001011A8">
        <w:rPr>
          <w:lang w:eastAsia="ko-KR"/>
        </w:rPr>
        <w:t>) schemes for satellite communication systems as well as providing simulation results.</w:t>
      </w:r>
    </w:p>
    <w:p w:rsidR="00847894" w:rsidRPr="00D13B36" w:rsidRDefault="00847894" w:rsidP="00F03842">
      <w:pPr>
        <w:rPr>
          <w:lang w:eastAsia="ko-KR"/>
        </w:rPr>
      </w:pPr>
    </w:p>
    <w:p w:rsidR="00847894" w:rsidRDefault="00847894">
      <w:pPr>
        <w:pStyle w:val="RecNo"/>
        <w:tabs>
          <w:tab w:val="right" w:pos="9639"/>
        </w:tabs>
        <w:rPr>
          <w:b w:val="0"/>
          <w:bCs/>
          <w:sz w:val="24"/>
          <w:szCs w:val="24"/>
        </w:rPr>
      </w:pPr>
      <w:r w:rsidRPr="003B681F">
        <w:rPr>
          <w:b w:val="0"/>
          <w:bCs/>
          <w:sz w:val="24"/>
          <w:szCs w:val="24"/>
          <w:u w:val="single"/>
        </w:rPr>
        <w:t>Draft revision of Recommendation ITU-R M.633-3</w:t>
      </w:r>
      <w:r w:rsidRPr="00044939">
        <w:rPr>
          <w:b w:val="0"/>
          <w:bCs/>
          <w:sz w:val="24"/>
          <w:szCs w:val="24"/>
        </w:rPr>
        <w:tab/>
        <w:t>Doc. 4/</w:t>
      </w:r>
      <w:r>
        <w:rPr>
          <w:b w:val="0"/>
          <w:bCs/>
          <w:sz w:val="24"/>
          <w:szCs w:val="24"/>
        </w:rPr>
        <w:t>134</w:t>
      </w:r>
      <w:r w:rsidRPr="00044939">
        <w:rPr>
          <w:b w:val="0"/>
          <w:bCs/>
          <w:sz w:val="24"/>
          <w:szCs w:val="24"/>
        </w:rPr>
        <w:t>(Rev.1)</w:t>
      </w:r>
    </w:p>
    <w:p w:rsidR="00847894" w:rsidRDefault="00847894" w:rsidP="00F03842">
      <w:pPr>
        <w:pStyle w:val="Rectitle"/>
        <w:spacing w:before="120"/>
        <w:rPr>
          <w:lang w:val="en-US"/>
        </w:rPr>
      </w:pPr>
      <w:r>
        <w:rPr>
          <w:lang w:val="en-US"/>
        </w:rPr>
        <w:t xml:space="preserve">Transmission characteristics of a satellite emergency position-indicating radio beacon (satellite EPIRB) system operating through a </w:t>
      </w:r>
      <w:r>
        <w:rPr>
          <w:lang w:val="en-US"/>
        </w:rPr>
        <w:br/>
        <w:t>satellite system in the 406 MHz band</w:t>
      </w:r>
      <w:r w:rsidRPr="00DE04F5">
        <w:rPr>
          <w:lang w:val="en-US"/>
        </w:rPr>
        <w:t xml:space="preserve"> </w:t>
      </w:r>
    </w:p>
    <w:p w:rsidR="00847894" w:rsidRDefault="00847894" w:rsidP="00F03842">
      <w:pPr>
        <w:rPr>
          <w:lang w:val="en-US"/>
        </w:rPr>
      </w:pPr>
      <w:r>
        <w:t xml:space="preserve">Recommendation ITU-R M.633 provides the electrical specifications for 406 MHz distress beacons. It is important to </w:t>
      </w:r>
      <w:proofErr w:type="spellStart"/>
      <w:r>
        <w:t>Cospas-Sarsat</w:t>
      </w:r>
      <w:proofErr w:type="spellEnd"/>
      <w:r>
        <w:t xml:space="preserve"> that this specification be accurate and up-to-date because some international organizations (e.g. IMO) require conformance to Recommendation ITU-R M.633 and not the </w:t>
      </w:r>
      <w:proofErr w:type="spellStart"/>
      <w:r>
        <w:t>Cospas-Sarsat</w:t>
      </w:r>
      <w:proofErr w:type="spellEnd"/>
      <w:r>
        <w:t xml:space="preserve"> beacon specification (Document C/S T.001). The currently approved version of the Recommendation ITU-R M.633-3, has not been updated since 2004. The current version is not consistent with the latest version of Document C/S T.001 and shows availability of </w:t>
      </w:r>
      <w:proofErr w:type="spellStart"/>
      <w:r>
        <w:t>Cospas</w:t>
      </w:r>
      <w:r>
        <w:noBreakHyphen/>
        <w:t>Sarsat</w:t>
      </w:r>
      <w:proofErr w:type="spellEnd"/>
      <w:r>
        <w:t xml:space="preserve"> satellites until 2008. The </w:t>
      </w:r>
      <w:proofErr w:type="spellStart"/>
      <w:r>
        <w:t>Cospas-Sarsat</w:t>
      </w:r>
      <w:proofErr w:type="spellEnd"/>
      <w:r>
        <w:t xml:space="preserve"> Strategic Plan adopted in 2008 indicates long term objectives over 20 years, including the integration to the </w:t>
      </w:r>
      <w:proofErr w:type="spellStart"/>
      <w:r>
        <w:t>Cospas-Sarsat</w:t>
      </w:r>
      <w:proofErr w:type="spellEnd"/>
      <w:r>
        <w:t xml:space="preserve"> system of new satellite constellations in Medium altitude Earth Orbit (MEOSAR).</w:t>
      </w:r>
      <w:r>
        <w:rPr>
          <w:lang w:val="en-US"/>
        </w:rPr>
        <w:t xml:space="preserve"> </w:t>
      </w:r>
    </w:p>
    <w:p w:rsidR="00847894" w:rsidRDefault="00847894" w:rsidP="00F03842">
      <w:pPr>
        <w:rPr>
          <w:lang w:val="en-US"/>
        </w:rPr>
      </w:pPr>
      <w:r w:rsidRPr="008D5C5B">
        <w:rPr>
          <w:lang w:val="en-US"/>
        </w:rPr>
        <w:t xml:space="preserve">It is also proposed to include references to the recently adopted amendments to the ICAO Convention which regulate the carriage of 406 MHz </w:t>
      </w:r>
      <w:r>
        <w:rPr>
          <w:lang w:val="en-US"/>
        </w:rPr>
        <w:t>Emergency Locator Transmitters (</w:t>
      </w:r>
      <w:r w:rsidRPr="008D5C5B">
        <w:rPr>
          <w:lang w:val="en-US"/>
        </w:rPr>
        <w:t>ELTs</w:t>
      </w:r>
      <w:r>
        <w:rPr>
          <w:lang w:val="en-US"/>
        </w:rPr>
        <w:t>)</w:t>
      </w:r>
      <w:r w:rsidRPr="008D5C5B">
        <w:rPr>
          <w:lang w:val="en-US"/>
        </w:rPr>
        <w:t>, complementing similar IMO references.</w:t>
      </w:r>
    </w:p>
    <w:p w:rsidR="00847894" w:rsidRDefault="00847894" w:rsidP="00F03842">
      <w:r>
        <w:t xml:space="preserve">Following the trend in international and national regulations, it is also suggested that Recommendation ITU-R M.633 make reference to the latest version of Document C/S T.001 when referring to the 406 MHz distress beacon requirements. </w:t>
      </w:r>
    </w:p>
    <w:p w:rsidR="00847894" w:rsidRDefault="00847894"/>
    <w:p w:rsidR="003B681F" w:rsidRDefault="003B681F">
      <w:pPr>
        <w:tabs>
          <w:tab w:val="clear" w:pos="794"/>
          <w:tab w:val="clear" w:pos="1191"/>
          <w:tab w:val="clear" w:pos="1588"/>
          <w:tab w:val="clear" w:pos="1985"/>
        </w:tabs>
        <w:overflowPunct/>
        <w:autoSpaceDE/>
        <w:autoSpaceDN/>
        <w:adjustRightInd/>
        <w:spacing w:before="0"/>
        <w:textAlignment w:val="auto"/>
        <w:rPr>
          <w:bCs/>
          <w:szCs w:val="24"/>
          <w:u w:val="single"/>
        </w:rPr>
      </w:pPr>
      <w:r>
        <w:rPr>
          <w:b/>
          <w:bCs/>
          <w:szCs w:val="24"/>
          <w:u w:val="single"/>
        </w:rPr>
        <w:br w:type="page"/>
      </w:r>
    </w:p>
    <w:p w:rsidR="00847894" w:rsidRDefault="00847894">
      <w:pPr>
        <w:pStyle w:val="RecNo"/>
        <w:tabs>
          <w:tab w:val="right" w:pos="9639"/>
        </w:tabs>
        <w:rPr>
          <w:b w:val="0"/>
          <w:bCs/>
          <w:sz w:val="24"/>
          <w:szCs w:val="24"/>
        </w:rPr>
      </w:pPr>
      <w:r w:rsidRPr="003B681F">
        <w:rPr>
          <w:b w:val="0"/>
          <w:bCs/>
          <w:sz w:val="24"/>
          <w:szCs w:val="24"/>
          <w:u w:val="single"/>
        </w:rPr>
        <w:t>Draft revision of Recommendation ITU-R M.1731</w:t>
      </w:r>
      <w:r w:rsidRPr="00044939">
        <w:rPr>
          <w:b w:val="0"/>
          <w:bCs/>
          <w:sz w:val="24"/>
          <w:szCs w:val="24"/>
        </w:rPr>
        <w:tab/>
        <w:t>Doc. 4/</w:t>
      </w:r>
      <w:r>
        <w:rPr>
          <w:b w:val="0"/>
          <w:bCs/>
          <w:sz w:val="24"/>
          <w:szCs w:val="24"/>
        </w:rPr>
        <w:t>135</w:t>
      </w:r>
      <w:r w:rsidRPr="00044939">
        <w:rPr>
          <w:b w:val="0"/>
          <w:bCs/>
          <w:sz w:val="24"/>
          <w:szCs w:val="24"/>
        </w:rPr>
        <w:t>(Rev.1)</w:t>
      </w:r>
    </w:p>
    <w:p w:rsidR="00847894" w:rsidRPr="00EC28DA" w:rsidRDefault="00847894" w:rsidP="00F03842">
      <w:pPr>
        <w:pStyle w:val="Rectitle"/>
      </w:pPr>
      <w:r w:rsidRPr="00EC28DA">
        <w:t xml:space="preserve">Protection criteria for </w:t>
      </w:r>
      <w:proofErr w:type="spellStart"/>
      <w:r w:rsidRPr="00EC28DA">
        <w:t>Cospas-Sarsat</w:t>
      </w:r>
      <w:proofErr w:type="spellEnd"/>
      <w:r w:rsidRPr="00EC28DA">
        <w:t xml:space="preserve"> local user terminals</w:t>
      </w:r>
      <w:r w:rsidRPr="00EC28DA">
        <w:br/>
        <w:t>in the band 1 544-1 545 MHz</w:t>
      </w:r>
    </w:p>
    <w:p w:rsidR="00847894" w:rsidRPr="00EC28DA" w:rsidRDefault="00847894" w:rsidP="00F03842">
      <w:r w:rsidRPr="00EC28DA">
        <w:t>This proposed revision addresses specifically the following elements:</w:t>
      </w:r>
    </w:p>
    <w:p w:rsidR="00847894" w:rsidRPr="00EC28DA" w:rsidRDefault="00847894" w:rsidP="00F03842">
      <w:pPr>
        <w:pStyle w:val="enumlev1"/>
      </w:pPr>
      <w:r w:rsidRPr="00EC28DA">
        <w:t>a)</w:t>
      </w:r>
      <w:r w:rsidRPr="00EC28DA">
        <w:tab/>
        <w:t xml:space="preserve">addition of a new item g) in the </w:t>
      </w:r>
      <w:r w:rsidRPr="00EC28DA">
        <w:rPr>
          <w:i/>
        </w:rPr>
        <w:t>considering</w:t>
      </w:r>
      <w:r w:rsidRPr="00EC28DA">
        <w:t xml:space="preserve"> section deali</w:t>
      </w:r>
      <w:r w:rsidR="00A115DF">
        <w:t xml:space="preserve">ng with the operation of </w:t>
      </w:r>
      <w:proofErr w:type="spellStart"/>
      <w:r w:rsidR="00A115DF">
        <w:t>Cospas</w:t>
      </w:r>
      <w:r w:rsidR="00A115DF">
        <w:noBreakHyphen/>
      </w:r>
      <w:r w:rsidRPr="00EC28DA">
        <w:t>Sarsat</w:t>
      </w:r>
      <w:proofErr w:type="spellEnd"/>
      <w:r w:rsidRPr="00EC28DA">
        <w:t xml:space="preserve"> medium Earth orbit local user terminals (</w:t>
      </w:r>
      <w:proofErr w:type="spellStart"/>
      <w:r w:rsidRPr="00EC28DA">
        <w:t>MEOLUTs</w:t>
      </w:r>
      <w:proofErr w:type="spellEnd"/>
      <w:r w:rsidRPr="00EC28DA">
        <w:t>);</w:t>
      </w:r>
    </w:p>
    <w:p w:rsidR="00847894" w:rsidRPr="00EC28DA" w:rsidRDefault="00847894" w:rsidP="00F03842">
      <w:pPr>
        <w:pStyle w:val="enumlev1"/>
      </w:pPr>
      <w:r w:rsidRPr="00EC28DA">
        <w:t>b)</w:t>
      </w:r>
      <w:r w:rsidRPr="00EC28DA">
        <w:tab/>
        <w:t xml:space="preserve">addition of a new item h) in the </w:t>
      </w:r>
      <w:r w:rsidRPr="00EC28DA">
        <w:rPr>
          <w:i/>
        </w:rPr>
        <w:t xml:space="preserve">considering </w:t>
      </w:r>
      <w:r w:rsidRPr="00EC28DA">
        <w:t xml:space="preserve">section in order to reference the new Annex 6, which contains the </w:t>
      </w:r>
      <w:proofErr w:type="spellStart"/>
      <w:r w:rsidRPr="00EC28DA">
        <w:t>Cospas-Sarsat</w:t>
      </w:r>
      <w:proofErr w:type="spellEnd"/>
      <w:r w:rsidRPr="00EC28DA">
        <w:t xml:space="preserve"> link budgets for LEO, MEO and GEO;</w:t>
      </w:r>
    </w:p>
    <w:p w:rsidR="00847894" w:rsidRPr="00EC28DA" w:rsidRDefault="00847894" w:rsidP="00F03842">
      <w:pPr>
        <w:pStyle w:val="enumlev1"/>
      </w:pPr>
      <w:r w:rsidRPr="00EC28DA">
        <w:t>c)</w:t>
      </w:r>
      <w:r w:rsidRPr="00EC28DA">
        <w:tab/>
        <w:t xml:space="preserve">addition of a new item 5 in the </w:t>
      </w:r>
      <w:r w:rsidRPr="00EC28DA">
        <w:rPr>
          <w:i/>
        </w:rPr>
        <w:t xml:space="preserve">recommends </w:t>
      </w:r>
      <w:r w:rsidRPr="00EC28DA">
        <w:t xml:space="preserve">section in order to reference the new Annex 5, which used for the analysis of interference to </w:t>
      </w:r>
      <w:proofErr w:type="spellStart"/>
      <w:r w:rsidRPr="00EC28DA">
        <w:t>Cospas-Sarsat</w:t>
      </w:r>
      <w:proofErr w:type="spellEnd"/>
      <w:r w:rsidRPr="00EC28DA">
        <w:t xml:space="preserve"> </w:t>
      </w:r>
      <w:proofErr w:type="spellStart"/>
      <w:r w:rsidRPr="00EC28DA">
        <w:t>MEOLUTs</w:t>
      </w:r>
      <w:proofErr w:type="spellEnd"/>
      <w:r w:rsidRPr="00EC28DA">
        <w:t xml:space="preserve"> that operate with GALILEO satellites.</w:t>
      </w:r>
    </w:p>
    <w:p w:rsidR="00847894" w:rsidRDefault="00847894"/>
    <w:p w:rsidR="00FD198E" w:rsidRDefault="002143DD">
      <w:pPr>
        <w:jc w:val="center"/>
        <w:rPr>
          <w:b/>
          <w:bCs/>
          <w:sz w:val="28"/>
          <w:szCs w:val="28"/>
        </w:rPr>
      </w:pPr>
      <w:r>
        <w:rPr>
          <w:b/>
          <w:bCs/>
          <w:sz w:val="28"/>
          <w:szCs w:val="28"/>
        </w:rPr>
        <w:br w:type="page"/>
      </w:r>
      <w:r w:rsidR="002065EA" w:rsidRPr="002065EA">
        <w:rPr>
          <w:b/>
          <w:bCs/>
          <w:sz w:val="28"/>
          <w:szCs w:val="28"/>
        </w:rPr>
        <w:t>Annex 2</w:t>
      </w:r>
    </w:p>
    <w:p w:rsidR="00FD198E" w:rsidRDefault="00847894">
      <w:pPr>
        <w:jc w:val="center"/>
      </w:pPr>
      <w:r>
        <w:t>(Source: Documents 4/117 and 4/127)</w:t>
      </w:r>
    </w:p>
    <w:p w:rsidR="00FD198E" w:rsidRDefault="00847894">
      <w:pPr>
        <w:jc w:val="center"/>
        <w:rPr>
          <w:b/>
          <w:bCs/>
          <w:sz w:val="28"/>
          <w:szCs w:val="28"/>
        </w:rPr>
      </w:pPr>
      <w:r>
        <w:rPr>
          <w:b/>
          <w:bCs/>
          <w:sz w:val="28"/>
          <w:szCs w:val="28"/>
        </w:rPr>
        <w:t>Recommendations proposed for suppression</w:t>
      </w:r>
    </w:p>
    <w:p w:rsidR="00FD198E" w:rsidRDefault="00FD198E">
      <w:pPr>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6"/>
        <w:gridCol w:w="7059"/>
      </w:tblGrid>
      <w:tr w:rsidR="00847894" w:rsidRPr="00FD198E" w:rsidTr="00122E36">
        <w:trPr>
          <w:jc w:val="center"/>
        </w:trPr>
        <w:tc>
          <w:tcPr>
            <w:tcW w:w="2822" w:type="dxa"/>
            <w:vAlign w:val="center"/>
          </w:tcPr>
          <w:p w:rsidR="00847894" w:rsidRPr="00122E36" w:rsidRDefault="00122E36" w:rsidP="00122E36">
            <w:pPr>
              <w:pStyle w:val="Tablehead"/>
              <w:rPr>
                <w:shd w:val="pct15" w:color="auto" w:fill="FFFFFF"/>
              </w:rPr>
            </w:pPr>
            <w:r w:rsidRPr="00122E36">
              <w:t>Recommendation</w:t>
            </w:r>
            <w:r w:rsidRPr="00122E36">
              <w:br/>
              <w:t>ITU</w:t>
            </w:r>
            <w:r w:rsidRPr="00122E36">
              <w:noBreakHyphen/>
              <w:t>R</w:t>
            </w:r>
          </w:p>
        </w:tc>
        <w:tc>
          <w:tcPr>
            <w:tcW w:w="7195" w:type="dxa"/>
            <w:vAlign w:val="center"/>
          </w:tcPr>
          <w:p w:rsidR="00847894" w:rsidRPr="00122E36" w:rsidRDefault="00122E36" w:rsidP="00122E36">
            <w:pPr>
              <w:pStyle w:val="Tablehead"/>
              <w:rPr>
                <w:shd w:val="pct15" w:color="auto" w:fill="FFFFFF"/>
              </w:rPr>
            </w:pPr>
            <w:r w:rsidRPr="00122E36">
              <w:t>Title</w:t>
            </w:r>
          </w:p>
        </w:tc>
      </w:tr>
      <w:tr w:rsidR="00847894" w:rsidTr="00BA63E8">
        <w:trPr>
          <w:jc w:val="center"/>
        </w:trPr>
        <w:tc>
          <w:tcPr>
            <w:tcW w:w="2822" w:type="dxa"/>
          </w:tcPr>
          <w:p w:rsidR="00847894" w:rsidRPr="00FD198E" w:rsidRDefault="00122E36" w:rsidP="00122E36">
            <w:pPr>
              <w:pStyle w:val="Tabletext"/>
              <w:jc w:val="center"/>
              <w:rPr>
                <w:bCs/>
                <w:shd w:val="pct15" w:color="auto" w:fill="FFFFFF"/>
              </w:rPr>
            </w:pPr>
            <w:r>
              <w:rPr>
                <w:lang w:val="en-US"/>
              </w:rPr>
              <w:t>BO.786</w:t>
            </w:r>
          </w:p>
        </w:tc>
        <w:tc>
          <w:tcPr>
            <w:tcW w:w="7195" w:type="dxa"/>
          </w:tcPr>
          <w:p w:rsidR="00847894" w:rsidRPr="00847894" w:rsidRDefault="00847894" w:rsidP="00122E36">
            <w:pPr>
              <w:pStyle w:val="Tabletext"/>
              <w:rPr>
                <w:bCs/>
                <w:shd w:val="pct15" w:color="auto" w:fill="FFFFFF"/>
              </w:rPr>
            </w:pPr>
            <w:r w:rsidRPr="00122E36">
              <w:rPr>
                <w:bCs/>
                <w:lang w:val="en-US"/>
              </w:rPr>
              <w:t>MUSE system for HDTV broadcasting-satellite services</w:t>
            </w:r>
          </w:p>
        </w:tc>
      </w:tr>
      <w:tr w:rsidR="00847894" w:rsidTr="00BA63E8">
        <w:trPr>
          <w:jc w:val="center"/>
        </w:trPr>
        <w:tc>
          <w:tcPr>
            <w:tcW w:w="2822" w:type="dxa"/>
            <w:vAlign w:val="center"/>
          </w:tcPr>
          <w:p w:rsidR="00847894" w:rsidRPr="00847894" w:rsidRDefault="00847894" w:rsidP="00122E36">
            <w:pPr>
              <w:pStyle w:val="Tabletext"/>
              <w:jc w:val="center"/>
              <w:rPr>
                <w:bCs/>
                <w:shd w:val="pct15" w:color="auto" w:fill="FFFFFF"/>
              </w:rPr>
            </w:pPr>
            <w:r>
              <w:rPr>
                <w:lang w:val="en-US" w:eastAsia="ja-JP"/>
              </w:rPr>
              <w:t>S</w:t>
            </w:r>
            <w:r w:rsidRPr="00AD0930">
              <w:rPr>
                <w:lang w:val="en-US" w:eastAsia="ja-JP"/>
              </w:rPr>
              <w:t>F.</w:t>
            </w:r>
            <w:r>
              <w:rPr>
                <w:lang w:val="en-US" w:eastAsia="ja-JP"/>
              </w:rPr>
              <w:t>1482</w:t>
            </w:r>
          </w:p>
        </w:tc>
        <w:tc>
          <w:tcPr>
            <w:tcW w:w="7195" w:type="dxa"/>
            <w:vAlign w:val="center"/>
          </w:tcPr>
          <w:p w:rsidR="00847894" w:rsidRPr="00847894" w:rsidRDefault="00847894" w:rsidP="00122E36">
            <w:pPr>
              <w:pStyle w:val="Tabletext"/>
              <w:rPr>
                <w:bCs/>
                <w:shd w:val="pct15" w:color="auto" w:fill="FFFFFF"/>
                <w:lang w:val="en-US"/>
              </w:rPr>
            </w:pPr>
            <w:r w:rsidRPr="00B33B76">
              <w:rPr>
                <w:lang w:val="en-US"/>
              </w:rPr>
              <w:t>Maximum allowable values of power flux-density (pfd) produced at the Earth’s surface by non-GSO satellites in the fixed-satellite service (FSS) operating in the 10.7</w:t>
            </w:r>
            <w:r w:rsidRPr="00B33B76">
              <w:rPr>
                <w:lang w:val="en-US"/>
              </w:rPr>
              <w:noBreakHyphen/>
              <w:t>12.75 GHz band</w:t>
            </w:r>
          </w:p>
        </w:tc>
      </w:tr>
      <w:tr w:rsidR="00847894" w:rsidTr="00BA63E8">
        <w:trPr>
          <w:jc w:val="center"/>
        </w:trPr>
        <w:tc>
          <w:tcPr>
            <w:tcW w:w="2822" w:type="dxa"/>
          </w:tcPr>
          <w:p w:rsidR="00847894" w:rsidRPr="00847894" w:rsidRDefault="002065EA" w:rsidP="00122E36">
            <w:pPr>
              <w:pStyle w:val="Tabletext"/>
              <w:jc w:val="center"/>
              <w:rPr>
                <w:bCs/>
                <w:szCs w:val="24"/>
                <w:shd w:val="pct15" w:color="auto" w:fill="FFFFFF"/>
              </w:rPr>
            </w:pPr>
            <w:r w:rsidRPr="002065EA">
              <w:rPr>
                <w:sz w:val="24"/>
                <w:szCs w:val="24"/>
                <w:lang w:val="en-US" w:eastAsia="ja-JP"/>
              </w:rPr>
              <w:t>SF.1483</w:t>
            </w:r>
          </w:p>
        </w:tc>
        <w:tc>
          <w:tcPr>
            <w:tcW w:w="7195" w:type="dxa"/>
            <w:vAlign w:val="center"/>
          </w:tcPr>
          <w:p w:rsidR="00847894" w:rsidRPr="00847894" w:rsidRDefault="00847894" w:rsidP="00122E36">
            <w:pPr>
              <w:pStyle w:val="Tabletext"/>
              <w:rPr>
                <w:bCs/>
                <w:shd w:val="pct15" w:color="auto" w:fill="FFFFFF"/>
                <w:lang w:val="en-US"/>
              </w:rPr>
            </w:pPr>
            <w:r w:rsidRPr="00B33B76">
              <w:rPr>
                <w:lang w:val="en-US"/>
              </w:rPr>
              <w:t>Maximum allowable values of power flux-density (pfd) produced at the Earth’s surface by non-GSO satellites in the fixed-satellite service (FSS) operating in the 17.7</w:t>
            </w:r>
            <w:r w:rsidRPr="00B33B76">
              <w:rPr>
                <w:lang w:val="en-US"/>
              </w:rPr>
              <w:noBreakHyphen/>
              <w:t>19.3 GHz band</w:t>
            </w:r>
          </w:p>
        </w:tc>
      </w:tr>
      <w:tr w:rsidR="00847894" w:rsidTr="00BA63E8">
        <w:trPr>
          <w:jc w:val="center"/>
        </w:trPr>
        <w:tc>
          <w:tcPr>
            <w:tcW w:w="2822" w:type="dxa"/>
          </w:tcPr>
          <w:p w:rsidR="00847894" w:rsidRPr="00847894" w:rsidRDefault="002065EA" w:rsidP="00122E36">
            <w:pPr>
              <w:pStyle w:val="Tabletext"/>
              <w:jc w:val="center"/>
              <w:rPr>
                <w:bCs/>
                <w:szCs w:val="24"/>
                <w:shd w:val="pct15" w:color="auto" w:fill="FFFFFF"/>
              </w:rPr>
            </w:pPr>
            <w:r w:rsidRPr="002065EA">
              <w:rPr>
                <w:sz w:val="24"/>
                <w:szCs w:val="24"/>
                <w:lang w:val="en-US" w:eastAsia="ja-JP"/>
              </w:rPr>
              <w:t>SF.1484-1</w:t>
            </w:r>
          </w:p>
        </w:tc>
        <w:tc>
          <w:tcPr>
            <w:tcW w:w="7195" w:type="dxa"/>
            <w:vAlign w:val="center"/>
          </w:tcPr>
          <w:p w:rsidR="00847894" w:rsidRPr="00847894" w:rsidRDefault="00847894" w:rsidP="00122E36">
            <w:pPr>
              <w:pStyle w:val="Tabletext"/>
              <w:rPr>
                <w:bCs/>
                <w:shd w:val="pct15" w:color="auto" w:fill="FFFFFF"/>
                <w:lang w:val="en-US"/>
              </w:rPr>
            </w:pPr>
            <w:r w:rsidRPr="00B33B76">
              <w:rPr>
                <w:lang w:val="en-US"/>
              </w:rPr>
              <w:t>Maximum allowable values of power flux-density at the surface of the Earth produced by non-geosta</w:t>
            </w:r>
            <w:r>
              <w:rPr>
                <w:lang w:val="en-US"/>
              </w:rPr>
              <w:t xml:space="preserve">tionary satellites in the </w:t>
            </w:r>
            <w:proofErr w:type="spellStart"/>
            <w:r>
              <w:rPr>
                <w:lang w:val="en-US"/>
              </w:rPr>
              <w:t>fixed</w:t>
            </w:r>
            <w:r>
              <w:rPr>
                <w:lang w:val="en-US"/>
              </w:rPr>
              <w:noBreakHyphen/>
            </w:r>
            <w:r w:rsidRPr="00B33B76">
              <w:rPr>
                <w:lang w:val="en-US"/>
              </w:rPr>
              <w:t>satellite</w:t>
            </w:r>
            <w:proofErr w:type="spellEnd"/>
            <w:r w:rsidRPr="00B33B76">
              <w:rPr>
                <w:lang w:val="en-US"/>
              </w:rPr>
              <w:t xml:space="preserve"> service operating in the 37.5</w:t>
            </w:r>
            <w:r w:rsidRPr="00B33B76">
              <w:rPr>
                <w:lang w:val="en-US"/>
              </w:rPr>
              <w:noBreakHyphen/>
              <w:t>42.5 GHz band to protect the fixed service</w:t>
            </w:r>
          </w:p>
        </w:tc>
      </w:tr>
      <w:tr w:rsidR="00847894" w:rsidTr="00BA63E8">
        <w:trPr>
          <w:jc w:val="center"/>
        </w:trPr>
        <w:tc>
          <w:tcPr>
            <w:tcW w:w="2822" w:type="dxa"/>
          </w:tcPr>
          <w:p w:rsidR="00847894" w:rsidRPr="00847894" w:rsidRDefault="002065EA" w:rsidP="00122E36">
            <w:pPr>
              <w:pStyle w:val="Tabletext"/>
              <w:jc w:val="center"/>
              <w:rPr>
                <w:bCs/>
                <w:szCs w:val="24"/>
                <w:shd w:val="pct15" w:color="auto" w:fill="FFFFFF"/>
              </w:rPr>
            </w:pPr>
            <w:r w:rsidRPr="002065EA">
              <w:rPr>
                <w:sz w:val="24"/>
                <w:szCs w:val="24"/>
                <w:lang w:val="en-US" w:eastAsia="ja-JP"/>
              </w:rPr>
              <w:t>SF.1573</w:t>
            </w:r>
          </w:p>
        </w:tc>
        <w:tc>
          <w:tcPr>
            <w:tcW w:w="7195" w:type="dxa"/>
            <w:vAlign w:val="center"/>
          </w:tcPr>
          <w:p w:rsidR="00847894" w:rsidRPr="00847894" w:rsidRDefault="00847894" w:rsidP="00122E36">
            <w:pPr>
              <w:pStyle w:val="Tabletext"/>
              <w:rPr>
                <w:bCs/>
                <w:shd w:val="pct15" w:color="auto" w:fill="FFFFFF"/>
                <w:lang w:val="en-US"/>
              </w:rPr>
            </w:pPr>
            <w:r w:rsidRPr="00B33B76">
              <w:rPr>
                <w:lang w:val="en-US"/>
              </w:rPr>
              <w:t>Maximum allowable values of power flux-density at the surface of the Earth by geostationary satellites in the fixed-satellite service operating in the 37.5</w:t>
            </w:r>
            <w:r w:rsidRPr="00B33B76">
              <w:rPr>
                <w:lang w:val="en-US"/>
              </w:rPr>
              <w:noBreakHyphen/>
              <w:t>42.5 GHz band to protect the fixed service</w:t>
            </w:r>
          </w:p>
        </w:tc>
      </w:tr>
    </w:tbl>
    <w:p w:rsidR="00847894" w:rsidRDefault="00847894" w:rsidP="00F62B5F">
      <w:pPr>
        <w:rPr>
          <w:lang w:eastAsia="ja-JP"/>
        </w:rPr>
      </w:pPr>
    </w:p>
    <w:p w:rsidR="00847894" w:rsidRDefault="00847894" w:rsidP="00487BC6"/>
    <w:p w:rsidR="00847894" w:rsidRDefault="00847894" w:rsidP="00E578B5">
      <w:pPr>
        <w:jc w:val="center"/>
      </w:pPr>
      <w:r>
        <w:t>______________</w:t>
      </w:r>
      <w:bookmarkStart w:id="3" w:name="ddistribution"/>
      <w:bookmarkEnd w:id="3"/>
    </w:p>
    <w:sectPr w:rsidR="00847894" w:rsidSect="00833BEA">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15" w:rsidRDefault="00274515">
      <w:r>
        <w:separator/>
      </w:r>
    </w:p>
  </w:endnote>
  <w:endnote w:type="continuationSeparator" w:id="0">
    <w:p w:rsidR="00274515" w:rsidRDefault="00274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76" w:rsidRDefault="008317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15" w:rsidRPr="00AC50B7" w:rsidRDefault="002B68D0" w:rsidP="00831776">
    <w:pPr>
      <w:pStyle w:val="Footer"/>
    </w:pPr>
    <w:fldSimple w:instr=" FILENAME  \p  \* MERGEFORMAT ">
      <w:r w:rsidR="003B681F">
        <w:t>Y:\AP</w:t>
      </w:r>
      <w:r w:rsidR="00831776">
        <w:t>P\BR\CIRCS_DMS\CAR\200\299\299e</w:t>
      </w:r>
      <w:r w:rsidR="003B681F">
        <w:t>.docx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274515">
      <w:trPr>
        <w:cantSplit/>
      </w:trPr>
      <w:tc>
        <w:tcPr>
          <w:tcW w:w="1062" w:type="pct"/>
          <w:tcBorders>
            <w:top w:val="single" w:sz="6" w:space="0" w:color="auto"/>
          </w:tcBorders>
          <w:tcMar>
            <w:top w:w="57" w:type="dxa"/>
          </w:tcMar>
        </w:tcPr>
        <w:p w:rsidR="00274515" w:rsidRDefault="00274515">
          <w:pPr>
            <w:pStyle w:val="itu"/>
          </w:pPr>
          <w:r>
            <w:t>Place des Nations</w:t>
          </w:r>
        </w:p>
      </w:tc>
      <w:tc>
        <w:tcPr>
          <w:tcW w:w="1583" w:type="pct"/>
          <w:tcBorders>
            <w:top w:val="single" w:sz="6" w:space="0" w:color="auto"/>
          </w:tcBorders>
          <w:tcMar>
            <w:top w:w="57" w:type="dxa"/>
          </w:tcMar>
        </w:tcPr>
        <w:p w:rsidR="00274515" w:rsidRDefault="00274515">
          <w:pPr>
            <w:pStyle w:val="itu"/>
          </w:pPr>
          <w:r>
            <w:t>Telephone</w:t>
          </w:r>
          <w:r>
            <w:tab/>
            <w:t>+41 22 730 51 11</w:t>
          </w:r>
        </w:p>
      </w:tc>
      <w:tc>
        <w:tcPr>
          <w:tcW w:w="1224" w:type="pct"/>
          <w:tcBorders>
            <w:top w:val="single" w:sz="6" w:space="0" w:color="auto"/>
          </w:tcBorders>
          <w:tcMar>
            <w:top w:w="57" w:type="dxa"/>
          </w:tcMar>
        </w:tcPr>
        <w:p w:rsidR="00274515" w:rsidRDefault="0027451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74515" w:rsidRDefault="00274515">
          <w:pPr>
            <w:pStyle w:val="itu"/>
          </w:pPr>
          <w:r>
            <w:t>E-mail:</w:t>
          </w:r>
          <w:r>
            <w:tab/>
            <w:t>itumail@itu.int</w:t>
          </w:r>
        </w:p>
      </w:tc>
    </w:tr>
    <w:tr w:rsidR="00274515">
      <w:trPr>
        <w:cantSplit/>
      </w:trPr>
      <w:tc>
        <w:tcPr>
          <w:tcW w:w="1062" w:type="pct"/>
        </w:tcPr>
        <w:p w:rsidR="00274515" w:rsidRDefault="0027451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274515" w:rsidRDefault="00274515">
          <w:pPr>
            <w:pStyle w:val="itu"/>
          </w:pPr>
          <w:proofErr w:type="spellStart"/>
          <w:r>
            <w:t>Telefax</w:t>
          </w:r>
          <w:proofErr w:type="spellEnd"/>
          <w:r>
            <w:tab/>
            <w:t>Gr3:</w:t>
          </w:r>
          <w:r>
            <w:tab/>
            <w:t>+41 22 733 72 56</w:t>
          </w:r>
        </w:p>
      </w:tc>
      <w:tc>
        <w:tcPr>
          <w:tcW w:w="1224" w:type="pct"/>
        </w:tcPr>
        <w:p w:rsidR="00274515" w:rsidRDefault="00274515">
          <w:pPr>
            <w:pStyle w:val="itu"/>
          </w:pPr>
          <w:r>
            <w:t>Telegram ITU GENEVE</w:t>
          </w:r>
        </w:p>
      </w:tc>
      <w:tc>
        <w:tcPr>
          <w:tcW w:w="1131" w:type="pct"/>
        </w:tcPr>
        <w:p w:rsidR="00274515" w:rsidRDefault="00274515">
          <w:pPr>
            <w:pStyle w:val="itu"/>
          </w:pPr>
          <w:r>
            <w:tab/>
          </w:r>
          <w:hyperlink r:id="rId1" w:history="1">
            <w:r>
              <w:t>http://www.itu.int/</w:t>
            </w:r>
          </w:hyperlink>
        </w:p>
      </w:tc>
    </w:tr>
    <w:tr w:rsidR="00274515">
      <w:trPr>
        <w:cantSplit/>
      </w:trPr>
      <w:tc>
        <w:tcPr>
          <w:tcW w:w="1062" w:type="pct"/>
        </w:tcPr>
        <w:p w:rsidR="00274515" w:rsidRDefault="00274515">
          <w:pPr>
            <w:pStyle w:val="itu"/>
          </w:pPr>
          <w:smartTag w:uri="urn:schemas-microsoft-com:office:smarttags" w:element="country-region">
            <w:smartTag w:uri="urn:schemas-microsoft-com:office:smarttags" w:element="place">
              <w:r>
                <w:t>Switzerland</w:t>
              </w:r>
            </w:smartTag>
          </w:smartTag>
        </w:p>
      </w:tc>
      <w:tc>
        <w:tcPr>
          <w:tcW w:w="1583" w:type="pct"/>
        </w:tcPr>
        <w:p w:rsidR="00274515" w:rsidRDefault="00274515">
          <w:pPr>
            <w:pStyle w:val="itu"/>
          </w:pPr>
          <w:r>
            <w:tab/>
            <w:t>Gr4:</w:t>
          </w:r>
          <w:r>
            <w:tab/>
            <w:t>+41 22 730 65 00</w:t>
          </w:r>
        </w:p>
      </w:tc>
      <w:tc>
        <w:tcPr>
          <w:tcW w:w="1224" w:type="pct"/>
        </w:tcPr>
        <w:p w:rsidR="00274515" w:rsidRDefault="00274515">
          <w:pPr>
            <w:pStyle w:val="itu"/>
          </w:pPr>
        </w:p>
      </w:tc>
      <w:tc>
        <w:tcPr>
          <w:tcW w:w="1131" w:type="pct"/>
        </w:tcPr>
        <w:p w:rsidR="00274515" w:rsidRDefault="00274515">
          <w:pPr>
            <w:pStyle w:val="itu"/>
          </w:pPr>
        </w:p>
      </w:tc>
    </w:tr>
  </w:tbl>
  <w:p w:rsidR="00274515" w:rsidRPr="009E1957" w:rsidRDefault="00274515"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15" w:rsidRDefault="00274515">
      <w:r>
        <w:t>____________________</w:t>
      </w:r>
    </w:p>
  </w:footnote>
  <w:footnote w:type="continuationSeparator" w:id="0">
    <w:p w:rsidR="00274515" w:rsidRDefault="00274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76" w:rsidRDefault="008317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15" w:rsidRDefault="00274515">
    <w:pPr>
      <w:pStyle w:val="Header"/>
      <w:rPr>
        <w:rStyle w:val="PageNumber"/>
      </w:rPr>
    </w:pPr>
    <w:r>
      <w:rPr>
        <w:lang w:val="en-US"/>
      </w:rPr>
      <w:t xml:space="preserve">- </w:t>
    </w:r>
    <w:r w:rsidR="002B68D0">
      <w:rPr>
        <w:rStyle w:val="PageNumber"/>
      </w:rPr>
      <w:fldChar w:fldCharType="begin"/>
    </w:r>
    <w:r>
      <w:rPr>
        <w:rStyle w:val="PageNumber"/>
      </w:rPr>
      <w:instrText xml:space="preserve"> PAGE </w:instrText>
    </w:r>
    <w:r w:rsidR="002B68D0">
      <w:rPr>
        <w:rStyle w:val="PageNumber"/>
      </w:rPr>
      <w:fldChar w:fldCharType="separate"/>
    </w:r>
    <w:r w:rsidR="00831776">
      <w:rPr>
        <w:rStyle w:val="PageNumber"/>
        <w:noProof/>
      </w:rPr>
      <w:t>2</w:t>
    </w:r>
    <w:r w:rsidR="002B68D0">
      <w:rPr>
        <w:rStyle w:val="PageNumber"/>
      </w:rPr>
      <w:fldChar w:fldCharType="end"/>
    </w:r>
    <w:r>
      <w:rPr>
        <w:rStyle w:val="PageNumber"/>
      </w:rPr>
      <w:t xml:space="preserve"> -</w:t>
    </w:r>
  </w:p>
  <w:p w:rsidR="00274515" w:rsidRPr="001E15AA" w:rsidRDefault="00274515">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76" w:rsidRDefault="008317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A6DA1"/>
    <w:rsid w:val="00010177"/>
    <w:rsid w:val="000126A7"/>
    <w:rsid w:val="00016557"/>
    <w:rsid w:val="00044939"/>
    <w:rsid w:val="000756BD"/>
    <w:rsid w:val="000A6DA1"/>
    <w:rsid w:val="000B4B35"/>
    <w:rsid w:val="000E15C1"/>
    <w:rsid w:val="000E64DA"/>
    <w:rsid w:val="000F2DDF"/>
    <w:rsid w:val="000F527D"/>
    <w:rsid w:val="001011A8"/>
    <w:rsid w:val="00122E36"/>
    <w:rsid w:val="00172697"/>
    <w:rsid w:val="001E15AA"/>
    <w:rsid w:val="002065EA"/>
    <w:rsid w:val="00210B45"/>
    <w:rsid w:val="002143DD"/>
    <w:rsid w:val="00214D82"/>
    <w:rsid w:val="00227F65"/>
    <w:rsid w:val="00240332"/>
    <w:rsid w:val="00263DC2"/>
    <w:rsid w:val="00274515"/>
    <w:rsid w:val="00276534"/>
    <w:rsid w:val="00280EFE"/>
    <w:rsid w:val="00292226"/>
    <w:rsid w:val="002B68D0"/>
    <w:rsid w:val="002F3630"/>
    <w:rsid w:val="00377095"/>
    <w:rsid w:val="003B681F"/>
    <w:rsid w:val="003D3993"/>
    <w:rsid w:val="0044634B"/>
    <w:rsid w:val="00487BC6"/>
    <w:rsid w:val="004A5AB1"/>
    <w:rsid w:val="004A5ECE"/>
    <w:rsid w:val="004C1881"/>
    <w:rsid w:val="004F26AE"/>
    <w:rsid w:val="0050011A"/>
    <w:rsid w:val="0050552C"/>
    <w:rsid w:val="00551C72"/>
    <w:rsid w:val="0055431B"/>
    <w:rsid w:val="00571169"/>
    <w:rsid w:val="00575F05"/>
    <w:rsid w:val="0058755D"/>
    <w:rsid w:val="00595800"/>
    <w:rsid w:val="005B451E"/>
    <w:rsid w:val="005E24BD"/>
    <w:rsid w:val="005F130D"/>
    <w:rsid w:val="005F33F7"/>
    <w:rsid w:val="005F7F4C"/>
    <w:rsid w:val="006136BC"/>
    <w:rsid w:val="00675065"/>
    <w:rsid w:val="00685BC1"/>
    <w:rsid w:val="006B218D"/>
    <w:rsid w:val="006B3F95"/>
    <w:rsid w:val="006C53FF"/>
    <w:rsid w:val="0071106C"/>
    <w:rsid w:val="00746900"/>
    <w:rsid w:val="007820B4"/>
    <w:rsid w:val="007D3CB6"/>
    <w:rsid w:val="00811467"/>
    <w:rsid w:val="00824D6F"/>
    <w:rsid w:val="00831776"/>
    <w:rsid w:val="00833BEA"/>
    <w:rsid w:val="00847894"/>
    <w:rsid w:val="00863902"/>
    <w:rsid w:val="008704AD"/>
    <w:rsid w:val="00881D43"/>
    <w:rsid w:val="008C0CBA"/>
    <w:rsid w:val="008D4874"/>
    <w:rsid w:val="008D5C5B"/>
    <w:rsid w:val="009003C3"/>
    <w:rsid w:val="0093382A"/>
    <w:rsid w:val="0093717D"/>
    <w:rsid w:val="0093776F"/>
    <w:rsid w:val="00960812"/>
    <w:rsid w:val="009676DC"/>
    <w:rsid w:val="009746CA"/>
    <w:rsid w:val="009846D5"/>
    <w:rsid w:val="009B6861"/>
    <w:rsid w:val="009D4009"/>
    <w:rsid w:val="009D7217"/>
    <w:rsid w:val="009E14F3"/>
    <w:rsid w:val="009E1957"/>
    <w:rsid w:val="009F6713"/>
    <w:rsid w:val="00A06093"/>
    <w:rsid w:val="00A115DF"/>
    <w:rsid w:val="00AB07C5"/>
    <w:rsid w:val="00AB1815"/>
    <w:rsid w:val="00AB7229"/>
    <w:rsid w:val="00AC50B7"/>
    <w:rsid w:val="00AD0930"/>
    <w:rsid w:val="00B33B76"/>
    <w:rsid w:val="00B470FC"/>
    <w:rsid w:val="00B57344"/>
    <w:rsid w:val="00B82628"/>
    <w:rsid w:val="00B87E04"/>
    <w:rsid w:val="00BA63E8"/>
    <w:rsid w:val="00BB215B"/>
    <w:rsid w:val="00BB50A7"/>
    <w:rsid w:val="00BC118A"/>
    <w:rsid w:val="00BC231B"/>
    <w:rsid w:val="00C17B60"/>
    <w:rsid w:val="00C36C69"/>
    <w:rsid w:val="00C60EC9"/>
    <w:rsid w:val="00C950AA"/>
    <w:rsid w:val="00CB2215"/>
    <w:rsid w:val="00CB24F3"/>
    <w:rsid w:val="00CB3F8D"/>
    <w:rsid w:val="00D13B36"/>
    <w:rsid w:val="00D321EA"/>
    <w:rsid w:val="00D35752"/>
    <w:rsid w:val="00D463D0"/>
    <w:rsid w:val="00D61395"/>
    <w:rsid w:val="00D744B4"/>
    <w:rsid w:val="00DB2ECA"/>
    <w:rsid w:val="00DE04F5"/>
    <w:rsid w:val="00E543EB"/>
    <w:rsid w:val="00E578B5"/>
    <w:rsid w:val="00E6096F"/>
    <w:rsid w:val="00E60D3B"/>
    <w:rsid w:val="00EA11F8"/>
    <w:rsid w:val="00EB7112"/>
    <w:rsid w:val="00EC28DA"/>
    <w:rsid w:val="00EC710F"/>
    <w:rsid w:val="00F03842"/>
    <w:rsid w:val="00F334A2"/>
    <w:rsid w:val="00F60193"/>
    <w:rsid w:val="00F62B5F"/>
    <w:rsid w:val="00F738CA"/>
    <w:rsid w:val="00F74933"/>
    <w:rsid w:val="00F91E0D"/>
    <w:rsid w:val="00FC6453"/>
    <w:rsid w:val="00FD198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04885-FF3D-442C-89AD-3160C9D8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121</TotalTime>
  <Pages>5</Pages>
  <Words>916</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rolston</cp:lastModifiedBy>
  <cp:revision>9</cp:revision>
  <cp:lastPrinted>2010-09-15T11:42:00Z</cp:lastPrinted>
  <dcterms:created xsi:type="dcterms:W3CDTF">2010-09-09T09:04:00Z</dcterms:created>
  <dcterms:modified xsi:type="dcterms:W3CDTF">2010-09-17T12:18:00Z</dcterms:modified>
</cp:coreProperties>
</file>