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835"/>
      </w:tblGrid>
      <w:tr w:rsidR="00E53DCE" w:rsidRPr="007B3DB1" w14:paraId="0C54E57A" w14:textId="77777777" w:rsidTr="00306452">
        <w:trPr>
          <w:jc w:val="center"/>
        </w:trPr>
        <w:tc>
          <w:tcPr>
            <w:tcW w:w="9889" w:type="dxa"/>
            <w:gridSpan w:val="3"/>
          </w:tcPr>
          <w:p w14:paraId="43724635" w14:textId="77777777" w:rsidR="00E53DCE" w:rsidRDefault="00A96D3A" w:rsidP="006160CB">
            <w:pPr>
              <w:spacing w:before="0"/>
              <w:jc w:val="left"/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</w:pPr>
            <w:r w:rsidRPr="00415CFA">
              <w:rPr>
                <w:rFonts w:cstheme="minorHAnsi"/>
                <w:b/>
                <w:bCs/>
                <w:color w:val="808080"/>
                <w:sz w:val="28"/>
                <w:szCs w:val="28"/>
                <w:lang w:val="es-ES_tradnl"/>
              </w:rPr>
              <w:t>Oficina de Radiocomunicaciones (BR)</w:t>
            </w:r>
          </w:p>
          <w:p w14:paraId="11FC4649" w14:textId="77777777" w:rsidR="00E53DCE" w:rsidRDefault="00E53DCE" w:rsidP="006160CB">
            <w:pPr>
              <w:spacing w:before="0"/>
              <w:jc w:val="left"/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</w:pPr>
          </w:p>
          <w:p w14:paraId="162108A2" w14:textId="77777777" w:rsidR="00E53DCE" w:rsidRPr="00AF70DA" w:rsidRDefault="00E53DCE" w:rsidP="006160CB">
            <w:pPr>
              <w:spacing w:before="0"/>
              <w:jc w:val="left"/>
              <w:rPr>
                <w:rFonts w:cs="Times New Roman Bold"/>
                <w:b/>
                <w:bCs/>
                <w:color w:val="808080"/>
                <w:sz w:val="28"/>
                <w:szCs w:val="28"/>
                <w:lang w:val="en-GB"/>
              </w:rPr>
            </w:pPr>
          </w:p>
        </w:tc>
      </w:tr>
      <w:tr w:rsidR="00E53DCE" w:rsidRPr="0033029C" w14:paraId="439436C6" w14:textId="77777777" w:rsidTr="00306452">
        <w:trPr>
          <w:jc w:val="center"/>
        </w:trPr>
        <w:tc>
          <w:tcPr>
            <w:tcW w:w="7054" w:type="dxa"/>
            <w:gridSpan w:val="2"/>
          </w:tcPr>
          <w:p w14:paraId="2FF43CC2" w14:textId="1040FD89" w:rsidR="00E53DCE" w:rsidRPr="001B3D4D" w:rsidRDefault="00A96D3A" w:rsidP="006160CB">
            <w:pPr>
              <w:spacing w:before="0"/>
              <w:jc w:val="left"/>
              <w:rPr>
                <w:szCs w:val="24"/>
                <w:lang w:val="es-ES"/>
              </w:rPr>
            </w:pPr>
            <w:r w:rsidRPr="001B3D4D">
              <w:rPr>
                <w:szCs w:val="24"/>
                <w:lang w:val="es-ES"/>
              </w:rPr>
              <w:t>Circular Administrativa</w:t>
            </w:r>
          </w:p>
          <w:p w14:paraId="47CBA43C" w14:textId="7D0AB818" w:rsidR="00E53DCE" w:rsidRPr="001B3D4D" w:rsidRDefault="001B3D4D" w:rsidP="006160CB">
            <w:pPr>
              <w:spacing w:before="0"/>
              <w:jc w:val="left"/>
              <w:rPr>
                <w:b/>
                <w:bCs/>
                <w:szCs w:val="24"/>
                <w:lang w:val="es-ES"/>
              </w:rPr>
            </w:pPr>
            <w:r w:rsidRPr="001B3D4D">
              <w:rPr>
                <w:b/>
                <w:bCs/>
                <w:szCs w:val="24"/>
                <w:lang w:val="es-ES"/>
              </w:rPr>
              <w:t>CACE/</w:t>
            </w:r>
            <w:r w:rsidR="00421D0E">
              <w:rPr>
                <w:b/>
                <w:bCs/>
                <w:szCs w:val="24"/>
                <w:lang w:val="es-ES"/>
              </w:rPr>
              <w:t>1203</w:t>
            </w:r>
          </w:p>
        </w:tc>
        <w:tc>
          <w:tcPr>
            <w:tcW w:w="2835" w:type="dxa"/>
          </w:tcPr>
          <w:p w14:paraId="6A686FC1" w14:textId="2BF45D00" w:rsidR="00E53DCE" w:rsidRPr="002B7EE0" w:rsidRDefault="00421D0E" w:rsidP="006160CB">
            <w:pPr>
              <w:spacing w:before="0"/>
              <w:jc w:val="right"/>
              <w:rPr>
                <w:szCs w:val="24"/>
                <w:lang w:val="fr-FR"/>
              </w:rPr>
            </w:pPr>
            <w:r w:rsidRPr="006948A5">
              <w:rPr>
                <w:bCs/>
                <w:szCs w:val="24"/>
                <w:lang w:val="fr-FR"/>
              </w:rPr>
              <w:t xml:space="preserve">26 de </w:t>
            </w:r>
            <w:proofErr w:type="spellStart"/>
            <w:r w:rsidRPr="006948A5">
              <w:rPr>
                <w:bCs/>
                <w:szCs w:val="24"/>
                <w:lang w:val="fr-FR"/>
              </w:rPr>
              <w:t>agosto</w:t>
            </w:r>
            <w:proofErr w:type="spellEnd"/>
            <w:r w:rsidRPr="006948A5">
              <w:rPr>
                <w:bCs/>
                <w:szCs w:val="24"/>
                <w:lang w:val="fr-FR"/>
              </w:rPr>
              <w:t xml:space="preserve"> de 2026</w:t>
            </w:r>
          </w:p>
        </w:tc>
      </w:tr>
      <w:tr w:rsidR="00E53DCE" w:rsidRPr="0033029C" w14:paraId="0F0CE8F0" w14:textId="77777777" w:rsidTr="00306452">
        <w:trPr>
          <w:jc w:val="center"/>
        </w:trPr>
        <w:tc>
          <w:tcPr>
            <w:tcW w:w="9889" w:type="dxa"/>
            <w:gridSpan w:val="3"/>
          </w:tcPr>
          <w:p w14:paraId="280626D8" w14:textId="77777777" w:rsidR="00E53DCE" w:rsidRPr="0033029C" w:rsidRDefault="00E53DCE" w:rsidP="006160CB">
            <w:pPr>
              <w:spacing w:before="0"/>
              <w:jc w:val="left"/>
              <w:rPr>
                <w:rFonts w:cs="Arial"/>
                <w:szCs w:val="24"/>
                <w:lang w:val="en-GB"/>
              </w:rPr>
            </w:pPr>
          </w:p>
        </w:tc>
      </w:tr>
      <w:tr w:rsidR="00E53DCE" w:rsidRPr="0033029C" w14:paraId="28D5AEC3" w14:textId="77777777" w:rsidTr="00306452">
        <w:trPr>
          <w:jc w:val="center"/>
        </w:trPr>
        <w:tc>
          <w:tcPr>
            <w:tcW w:w="9889" w:type="dxa"/>
            <w:gridSpan w:val="3"/>
          </w:tcPr>
          <w:p w14:paraId="7D510910" w14:textId="77777777" w:rsidR="00E53DCE" w:rsidRPr="0033029C" w:rsidRDefault="00E53DCE" w:rsidP="006160CB">
            <w:pPr>
              <w:spacing w:before="0"/>
              <w:jc w:val="left"/>
              <w:rPr>
                <w:szCs w:val="24"/>
              </w:rPr>
            </w:pPr>
          </w:p>
        </w:tc>
      </w:tr>
      <w:tr w:rsidR="00E53DCE" w:rsidRPr="00F873BE" w14:paraId="476EC6B5" w14:textId="77777777" w:rsidTr="00306452">
        <w:trPr>
          <w:jc w:val="center"/>
        </w:trPr>
        <w:tc>
          <w:tcPr>
            <w:tcW w:w="9889" w:type="dxa"/>
            <w:gridSpan w:val="3"/>
          </w:tcPr>
          <w:p w14:paraId="5654F9CC" w14:textId="2DF00062" w:rsidR="00517315" w:rsidRDefault="00517315" w:rsidP="00517315">
            <w:pPr>
              <w:spacing w:before="0"/>
              <w:jc w:val="left"/>
              <w:rPr>
                <w:b/>
                <w:bCs/>
                <w:szCs w:val="24"/>
                <w:lang w:val="es-ES_tradnl"/>
              </w:rPr>
            </w:pPr>
            <w:r>
              <w:rPr>
                <w:b/>
                <w:bCs/>
                <w:lang w:val="es-ES_tradnl"/>
              </w:rPr>
              <w:t>A las Administraciones de los Estados Miembros de la UIT, a los Miembros del Sector de Radiocomunicaciones, a los Asociados del UIT-R y a las Instituciones Académicas de la UIT que participan en los trabajos de la Comisión de Estudio 1 de Radiocomunicaciones</w:t>
            </w:r>
          </w:p>
          <w:p w14:paraId="5A99556B" w14:textId="369C2AE2" w:rsidR="00517315" w:rsidRPr="00517315" w:rsidRDefault="00517315" w:rsidP="006160CB">
            <w:pPr>
              <w:spacing w:before="0"/>
              <w:jc w:val="left"/>
              <w:rPr>
                <w:b/>
                <w:bCs/>
                <w:szCs w:val="24"/>
                <w:lang w:val="es-ES_tradnl"/>
              </w:rPr>
            </w:pPr>
          </w:p>
        </w:tc>
      </w:tr>
      <w:tr w:rsidR="00E53DCE" w:rsidRPr="00F873BE" w14:paraId="00142067" w14:textId="77777777" w:rsidTr="00306452">
        <w:trPr>
          <w:jc w:val="center"/>
        </w:trPr>
        <w:tc>
          <w:tcPr>
            <w:tcW w:w="9889" w:type="dxa"/>
            <w:gridSpan w:val="3"/>
          </w:tcPr>
          <w:p w14:paraId="7FC9E99D" w14:textId="77777777" w:rsidR="00E53DCE" w:rsidRPr="0033029C" w:rsidRDefault="00E53DCE" w:rsidP="006160CB">
            <w:pPr>
              <w:spacing w:before="0"/>
              <w:jc w:val="left"/>
              <w:rPr>
                <w:szCs w:val="24"/>
                <w:lang w:val="es-ES"/>
              </w:rPr>
            </w:pPr>
          </w:p>
        </w:tc>
      </w:tr>
      <w:tr w:rsidR="00E53DCE" w:rsidRPr="00F873BE" w14:paraId="6D64D6EA" w14:textId="77777777" w:rsidTr="00306452">
        <w:trPr>
          <w:jc w:val="center"/>
        </w:trPr>
        <w:tc>
          <w:tcPr>
            <w:tcW w:w="9889" w:type="dxa"/>
            <w:gridSpan w:val="3"/>
          </w:tcPr>
          <w:p w14:paraId="1F2BC658" w14:textId="77777777" w:rsidR="00E53DCE" w:rsidRPr="0033029C" w:rsidRDefault="00E53DCE" w:rsidP="006160CB">
            <w:pPr>
              <w:spacing w:before="0"/>
              <w:jc w:val="left"/>
              <w:rPr>
                <w:szCs w:val="24"/>
                <w:lang w:val="es-ES"/>
              </w:rPr>
            </w:pPr>
          </w:p>
        </w:tc>
      </w:tr>
      <w:tr w:rsidR="00E53DCE" w:rsidRPr="00EC074C" w14:paraId="0C91699A" w14:textId="77777777" w:rsidTr="00306452">
        <w:trPr>
          <w:jc w:val="center"/>
        </w:trPr>
        <w:tc>
          <w:tcPr>
            <w:tcW w:w="1526" w:type="dxa"/>
          </w:tcPr>
          <w:p w14:paraId="5095B848" w14:textId="77777777" w:rsidR="00E53DCE" w:rsidRPr="0033029C" w:rsidRDefault="00311970" w:rsidP="006160CB">
            <w:pPr>
              <w:tabs>
                <w:tab w:val="clear" w:pos="1588"/>
                <w:tab w:val="left" w:pos="1560"/>
              </w:tabs>
              <w:spacing w:befor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Asunto</w:t>
            </w:r>
            <w:proofErr w:type="spellEnd"/>
            <w:r w:rsidRPr="0033029C">
              <w:rPr>
                <w:szCs w:val="24"/>
              </w:rPr>
              <w:t>:</w:t>
            </w:r>
          </w:p>
        </w:tc>
        <w:tc>
          <w:tcPr>
            <w:tcW w:w="8363" w:type="dxa"/>
            <w:gridSpan w:val="2"/>
            <w:vMerge w:val="restart"/>
          </w:tcPr>
          <w:p w14:paraId="247BC714" w14:textId="77777777" w:rsidR="00421D0E" w:rsidRPr="005C21F3" w:rsidRDefault="00421D0E" w:rsidP="00421D0E">
            <w:pPr>
              <w:tabs>
                <w:tab w:val="clear" w:pos="794"/>
                <w:tab w:val="clear" w:pos="1588"/>
                <w:tab w:val="clear" w:pos="1985"/>
                <w:tab w:val="left" w:pos="454"/>
                <w:tab w:val="left" w:pos="1418"/>
              </w:tabs>
              <w:spacing w:before="0"/>
              <w:ind w:left="459" w:hanging="459"/>
              <w:rPr>
                <w:b/>
                <w:bCs/>
                <w:lang w:val="es-ES"/>
              </w:rPr>
            </w:pPr>
            <w:r>
              <w:rPr>
                <w:b/>
                <w:bCs/>
                <w:color w:val="000000"/>
                <w:lang w:val="es-ES"/>
              </w:rPr>
              <w:t>Comisión de Estudio 1 de Radiocomunicaciones (Gestión del espectro)</w:t>
            </w:r>
          </w:p>
          <w:p w14:paraId="1ACB83F1" w14:textId="432396AC" w:rsidR="00E53DCE" w:rsidRPr="00421D0E" w:rsidRDefault="00421D0E" w:rsidP="00012BE8">
            <w:pPr>
              <w:tabs>
                <w:tab w:val="clear" w:pos="1588"/>
                <w:tab w:val="left" w:pos="1560"/>
              </w:tabs>
              <w:spacing w:before="120"/>
              <w:ind w:left="794" w:hanging="794"/>
              <w:rPr>
                <w:b/>
                <w:bCs/>
                <w:szCs w:val="24"/>
                <w:lang w:val="es-ES"/>
              </w:rPr>
            </w:pPr>
            <w:r>
              <w:rPr>
                <w:b/>
                <w:bCs/>
                <w:color w:val="000000"/>
                <w:lang w:val="es-ES"/>
              </w:rPr>
              <w:t>–</w:t>
            </w:r>
            <w:r>
              <w:rPr>
                <w:color w:val="000000"/>
                <w:lang w:val="es-ES"/>
              </w:rPr>
              <w:tab/>
            </w:r>
            <w:r>
              <w:rPr>
                <w:b/>
                <w:bCs/>
                <w:color w:val="000000"/>
                <w:lang w:val="es-ES"/>
              </w:rPr>
              <w:t xml:space="preserve">Propuesta de aprobación de </w:t>
            </w:r>
            <w:r w:rsidR="00B55706">
              <w:rPr>
                <w:b/>
                <w:bCs/>
                <w:color w:val="000000"/>
                <w:lang w:val="es-ES"/>
              </w:rPr>
              <w:t>2</w:t>
            </w:r>
            <w:r>
              <w:rPr>
                <w:b/>
                <w:bCs/>
                <w:color w:val="000000"/>
                <w:lang w:val="es-ES"/>
              </w:rPr>
              <w:t xml:space="preserve"> proyectos de Recomendaci</w:t>
            </w:r>
            <w:r w:rsidR="00EC074C" w:rsidRPr="00EC074C">
              <w:rPr>
                <w:b/>
                <w:bCs/>
                <w:lang w:val="es-ES"/>
              </w:rPr>
              <w:t>ó</w:t>
            </w:r>
            <w:r>
              <w:rPr>
                <w:b/>
                <w:bCs/>
                <w:color w:val="000000"/>
                <w:lang w:val="es-ES"/>
              </w:rPr>
              <w:t>n UIT-R revisada</w:t>
            </w:r>
          </w:p>
        </w:tc>
      </w:tr>
      <w:tr w:rsidR="00E53DCE" w:rsidRPr="00EC074C" w14:paraId="05515000" w14:textId="77777777" w:rsidTr="00306452">
        <w:trPr>
          <w:jc w:val="center"/>
        </w:trPr>
        <w:tc>
          <w:tcPr>
            <w:tcW w:w="1526" w:type="dxa"/>
          </w:tcPr>
          <w:p w14:paraId="418D0380" w14:textId="77777777" w:rsidR="00E53DCE" w:rsidRPr="00421D0E" w:rsidRDefault="00E53DCE" w:rsidP="006160CB">
            <w:pPr>
              <w:tabs>
                <w:tab w:val="clear" w:pos="1588"/>
                <w:tab w:val="left" w:pos="1560"/>
              </w:tabs>
              <w:spacing w:before="0"/>
              <w:jc w:val="left"/>
              <w:rPr>
                <w:b/>
                <w:bCs/>
                <w:szCs w:val="24"/>
                <w:lang w:val="es-ES"/>
              </w:rPr>
            </w:pPr>
          </w:p>
        </w:tc>
        <w:tc>
          <w:tcPr>
            <w:tcW w:w="8363" w:type="dxa"/>
            <w:gridSpan w:val="2"/>
            <w:vMerge/>
          </w:tcPr>
          <w:p w14:paraId="59CC1513" w14:textId="77777777" w:rsidR="00E53DCE" w:rsidRPr="00421D0E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4"/>
                <w:lang w:val="es-ES"/>
              </w:rPr>
            </w:pPr>
          </w:p>
        </w:tc>
      </w:tr>
      <w:tr w:rsidR="00E53DCE" w:rsidRPr="00EC074C" w14:paraId="42E2A42C" w14:textId="77777777" w:rsidTr="00306452">
        <w:trPr>
          <w:jc w:val="center"/>
        </w:trPr>
        <w:tc>
          <w:tcPr>
            <w:tcW w:w="1526" w:type="dxa"/>
          </w:tcPr>
          <w:p w14:paraId="1B76B82A" w14:textId="77777777" w:rsidR="00E53DCE" w:rsidRPr="00421D0E" w:rsidRDefault="00E53DCE" w:rsidP="006160CB">
            <w:pPr>
              <w:tabs>
                <w:tab w:val="clear" w:pos="1588"/>
                <w:tab w:val="left" w:pos="1560"/>
              </w:tabs>
              <w:spacing w:before="0"/>
              <w:jc w:val="left"/>
              <w:rPr>
                <w:b/>
                <w:bCs/>
                <w:szCs w:val="24"/>
                <w:lang w:val="es-ES"/>
              </w:rPr>
            </w:pPr>
          </w:p>
        </w:tc>
        <w:tc>
          <w:tcPr>
            <w:tcW w:w="8363" w:type="dxa"/>
            <w:gridSpan w:val="2"/>
            <w:vMerge/>
          </w:tcPr>
          <w:p w14:paraId="3483E485" w14:textId="77777777" w:rsidR="00E53DCE" w:rsidRPr="00421D0E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4"/>
                <w:lang w:val="es-ES"/>
              </w:rPr>
            </w:pPr>
          </w:p>
        </w:tc>
      </w:tr>
      <w:tr w:rsidR="00E53DCE" w:rsidRPr="00EC074C" w14:paraId="0850F296" w14:textId="77777777" w:rsidTr="00306452">
        <w:trPr>
          <w:jc w:val="center"/>
        </w:trPr>
        <w:tc>
          <w:tcPr>
            <w:tcW w:w="9889" w:type="dxa"/>
            <w:gridSpan w:val="3"/>
          </w:tcPr>
          <w:p w14:paraId="0BC10E5E" w14:textId="77777777" w:rsidR="00E53DCE" w:rsidRPr="00421D0E" w:rsidRDefault="00E53DCE" w:rsidP="00E53DCE">
            <w:pPr>
              <w:tabs>
                <w:tab w:val="clear" w:pos="1588"/>
                <w:tab w:val="left" w:pos="1560"/>
              </w:tabs>
              <w:spacing w:before="0"/>
              <w:jc w:val="left"/>
              <w:rPr>
                <w:szCs w:val="24"/>
                <w:lang w:val="es-ES"/>
              </w:rPr>
            </w:pPr>
          </w:p>
        </w:tc>
      </w:tr>
      <w:tr w:rsidR="00E53DCE" w:rsidRPr="00EC074C" w14:paraId="0663E7D7" w14:textId="77777777" w:rsidTr="00306452">
        <w:trPr>
          <w:jc w:val="center"/>
        </w:trPr>
        <w:tc>
          <w:tcPr>
            <w:tcW w:w="9889" w:type="dxa"/>
            <w:gridSpan w:val="3"/>
          </w:tcPr>
          <w:p w14:paraId="24770E14" w14:textId="77777777" w:rsidR="00E53DCE" w:rsidRPr="00421D0E" w:rsidRDefault="00E53DCE" w:rsidP="006160CB">
            <w:pPr>
              <w:spacing w:before="0"/>
              <w:jc w:val="left"/>
              <w:rPr>
                <w:b/>
                <w:bCs/>
                <w:szCs w:val="24"/>
                <w:lang w:val="es-ES"/>
              </w:rPr>
            </w:pPr>
          </w:p>
        </w:tc>
      </w:tr>
    </w:tbl>
    <w:p w14:paraId="2E116BAD" w14:textId="1685287C" w:rsidR="00421D0E" w:rsidRPr="00517315" w:rsidRDefault="00421D0E" w:rsidP="00517315">
      <w:pPr>
        <w:pStyle w:val="Normalaftertitle"/>
        <w:rPr>
          <w:lang w:val="es-ES"/>
        </w:rPr>
      </w:pPr>
      <w:r w:rsidRPr="005C21F3">
        <w:rPr>
          <w:lang w:val="es-ES"/>
        </w:rPr>
        <w:t xml:space="preserve">En la reunión de la Comisión de Estudio 1 de Radiocomunicaciones celebrada el 11 de junio de 2026, la Comisión de Estudio decidió solicitar la adopción de </w:t>
      </w:r>
      <w:r w:rsidR="00B55706">
        <w:rPr>
          <w:lang w:val="es-ES"/>
        </w:rPr>
        <w:t>2</w:t>
      </w:r>
      <w:r w:rsidRPr="005C21F3">
        <w:rPr>
          <w:lang w:val="es-ES"/>
        </w:rPr>
        <w:t xml:space="preserve"> proyectos de Recomendación UIT-R revisada </w:t>
      </w:r>
      <w:r>
        <w:rPr>
          <w:lang w:val="es-ES"/>
        </w:rPr>
        <w:t xml:space="preserve">por correspondencia, </w:t>
      </w:r>
      <w:r w:rsidRPr="005C21F3">
        <w:rPr>
          <w:lang w:val="es-ES"/>
        </w:rPr>
        <w:t>de conformidad con el § A2.6.2.2.3 de la Resolución UIT-R 1-9</w:t>
      </w:r>
      <w:r>
        <w:rPr>
          <w:lang w:val="es-ES"/>
        </w:rPr>
        <w:t>. Las Recomendaciones han sido adoptadas por la</w:t>
      </w:r>
      <w:r w:rsidR="00B625E6">
        <w:rPr>
          <w:lang w:val="es-ES"/>
        </w:rPr>
        <w:t xml:space="preserve"> </w:t>
      </w:r>
      <w:r w:rsidRPr="005C21F3">
        <w:rPr>
          <w:lang w:val="es-ES"/>
        </w:rPr>
        <w:t xml:space="preserve">Comisión de Estudio </w:t>
      </w:r>
      <w:r>
        <w:rPr>
          <w:lang w:val="es-ES"/>
        </w:rPr>
        <w:t xml:space="preserve">1 y debe aplicarse el procedimiento de aprobación del </w:t>
      </w:r>
      <w:r w:rsidRPr="009D4FF9">
        <w:rPr>
          <w:lang w:val="es-ES"/>
        </w:rPr>
        <w:t>§ A2.6.2.3 de la Resolución UIT-R 1-9</w:t>
      </w:r>
      <w:r w:rsidRPr="005C21F3">
        <w:rPr>
          <w:lang w:val="es-ES"/>
        </w:rPr>
        <w:t>. Los títulos y los resúmenes de los proyectos de Recomendación figuran en el Anexo a la presente Carta.</w:t>
      </w:r>
      <w:r w:rsidR="00517315">
        <w:rPr>
          <w:lang w:val="es-ES"/>
        </w:rPr>
        <w:t xml:space="preserve"> </w:t>
      </w:r>
      <w:r>
        <w:rPr>
          <w:lang w:val="es-ES"/>
        </w:rPr>
        <w:t xml:space="preserve">Todo Estado Miembro que formule una objeción a la aprobación de un proyecto de Recomendación debe informar al </w:t>
      </w:r>
      <w:proofErr w:type="gramStart"/>
      <w:r>
        <w:rPr>
          <w:lang w:val="es-ES"/>
        </w:rPr>
        <w:t>Director</w:t>
      </w:r>
      <w:proofErr w:type="gramEnd"/>
      <w:r>
        <w:rPr>
          <w:lang w:val="es-ES"/>
        </w:rPr>
        <w:t xml:space="preserve"> y a la Presidencia de la Comisión de Estudio de los motivos de dicha objeción.</w:t>
      </w:r>
      <w:bookmarkStart w:id="0" w:name="_Hlk116571750"/>
      <w:bookmarkEnd w:id="0"/>
    </w:p>
    <w:p w14:paraId="6D5CAA7B" w14:textId="77777777" w:rsidR="00421D0E" w:rsidRPr="00D57A16" w:rsidRDefault="00421D0E" w:rsidP="002D1328">
      <w:pPr>
        <w:rPr>
          <w:lang w:val="es-ES"/>
        </w:rPr>
      </w:pPr>
      <w:r w:rsidRPr="00D57A16">
        <w:rPr>
          <w:lang w:val="es-ES"/>
        </w:rPr>
        <w:t xml:space="preserve">Como indica la Circular Administrativa </w:t>
      </w:r>
      <w:hyperlink r:id="rId8" w:history="1">
        <w:r w:rsidRPr="00D57A16">
          <w:rPr>
            <w:rStyle w:val="Hyperlink"/>
            <w:lang w:val="es-ES"/>
          </w:rPr>
          <w:t>CACE/1195</w:t>
        </w:r>
      </w:hyperlink>
      <w:r w:rsidRPr="00D57A16">
        <w:rPr>
          <w:lang w:val="es-ES"/>
        </w:rPr>
        <w:t xml:space="preserve"> de 19 de junio de 2026, el periodo de consulta para la adopción de las Recomendaciones finalizó el 19 de agosto de 2026.</w:t>
      </w:r>
    </w:p>
    <w:p w14:paraId="17051A56" w14:textId="77777777" w:rsidR="00421D0E" w:rsidRPr="00D57A16" w:rsidRDefault="00421D0E" w:rsidP="002D1328">
      <w:pPr>
        <w:rPr>
          <w:lang w:val="es-ES"/>
        </w:rPr>
      </w:pPr>
      <w:r w:rsidRPr="00D57A16">
        <w:rPr>
          <w:lang w:val="es-ES"/>
        </w:rPr>
        <w:t>Teniendo en cuenta las disposiciones del § A2.6.2.3 de la Resolución UIT-R 1-9, se solicita a los Estados Miembros que informen a la Secretaría (</w:t>
      </w:r>
      <w:hyperlink r:id="rId9" w:history="1">
        <w:r w:rsidRPr="00D57A16">
          <w:rPr>
            <w:rStyle w:val="Hyperlink"/>
            <w:lang w:val="es-ES"/>
          </w:rPr>
          <w:t>brsgd@itu.int</w:t>
        </w:r>
      </w:hyperlink>
      <w:r w:rsidRPr="00D57A16">
        <w:rPr>
          <w:lang w:val="es-ES"/>
        </w:rPr>
        <w:t xml:space="preserve">) antes del </w:t>
      </w:r>
      <w:r w:rsidRPr="006948A5">
        <w:rPr>
          <w:u w:val="single"/>
          <w:lang w:val="es-ES"/>
        </w:rPr>
        <w:t>26 de octubre de 2026</w:t>
      </w:r>
      <w:r w:rsidRPr="00D57A16">
        <w:rPr>
          <w:lang w:val="es-ES"/>
        </w:rPr>
        <w:t xml:space="preserve"> si aprueban o no las propuestas mencionadas.</w:t>
      </w:r>
    </w:p>
    <w:p w14:paraId="39D00D37" w14:textId="67E1F1E9" w:rsidR="00421D0E" w:rsidRPr="005C21F3" w:rsidRDefault="00421D0E" w:rsidP="002D1328">
      <w:pPr>
        <w:rPr>
          <w:lang w:val="es-ES"/>
        </w:rPr>
      </w:pPr>
      <w:r w:rsidRPr="00D57A16">
        <w:rPr>
          <w:lang w:val="es-ES"/>
        </w:rPr>
        <w:t>Tras la fecha límite mencionada, los resultados de esta consulta se comunicarán mediante Circular Administrativa y las Recomendaciones aprobadas se publicarán tan pronto como sea posible (véase</w:t>
      </w:r>
      <w:r w:rsidR="00B625E6">
        <w:rPr>
          <w:lang w:val="es-ES"/>
        </w:rPr>
        <w:t> </w:t>
      </w:r>
      <w:hyperlink r:id="rId10" w:history="1">
        <w:r w:rsidR="00B625E6" w:rsidRPr="0021035D">
          <w:rPr>
            <w:rStyle w:val="Hyperlink"/>
            <w:rFonts w:asciiTheme="minorHAnsi" w:hAnsiTheme="minorHAnsi" w:cstheme="minorHAnsi"/>
            <w:lang w:val="es-ES"/>
          </w:rPr>
          <w:t>https://www.itu.int/pub/R-REC</w:t>
        </w:r>
      </w:hyperlink>
      <w:r w:rsidRPr="00D57A16">
        <w:rPr>
          <w:lang w:val="es-ES"/>
        </w:rPr>
        <w:t>).</w:t>
      </w:r>
    </w:p>
    <w:p w14:paraId="7D97C4C1" w14:textId="77777777" w:rsidR="00421D0E" w:rsidRPr="005C21F3" w:rsidRDefault="00421D0E" w:rsidP="00421D0E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 w:line="240" w:lineRule="auto"/>
        <w:jc w:val="left"/>
        <w:textAlignment w:val="auto"/>
        <w:rPr>
          <w:lang w:val="es-ES"/>
        </w:rPr>
      </w:pPr>
      <w:r w:rsidRPr="005C21F3">
        <w:rPr>
          <w:lang w:val="es-ES"/>
        </w:rPr>
        <w:br w:type="page"/>
      </w:r>
    </w:p>
    <w:p w14:paraId="42640EC8" w14:textId="2A4C8ADF" w:rsidR="00421D0E" w:rsidRPr="00E9241B" w:rsidRDefault="00421D0E" w:rsidP="00421D0E">
      <w:pPr>
        <w:rPr>
          <w:lang w:val="es-ES"/>
        </w:rPr>
      </w:pPr>
      <w:r>
        <w:rPr>
          <w:lang w:val="es-ES"/>
        </w:rPr>
        <w:lastRenderedPageBreak/>
        <w:t xml:space="preserve">Se solicita a toda organización miembro de la UIT que tenga conocimiento de una patente, de su propiedad o de propiedad ajena, que abarque de forma íntegra o parcial elementos de los proyectos de Recomendación que figuran en la presente carta, que comunique esa información a la Secretaría tan pronto como sea posible. La Política común en materia de patentes para UIT-T/UIT-R/ISO/CEI puede consultarse en </w:t>
      </w:r>
      <w:hyperlink r:id="rId11" w:history="1">
        <w:r>
          <w:rPr>
            <w:rStyle w:val="Hyperlink"/>
            <w:lang w:val="es-ES"/>
          </w:rPr>
          <w:t>https://www.itu.int/es/ITU-T/ipr/Pages/policy.aspx</w:t>
        </w:r>
      </w:hyperlink>
      <w:r>
        <w:rPr>
          <w:lang w:val="es-ES"/>
        </w:rPr>
        <w:t>.</w:t>
      </w:r>
      <w:hyperlink r:id="rId12" w:history="1"/>
    </w:p>
    <w:p w14:paraId="6EFF2B40" w14:textId="73D2A82D" w:rsidR="00031E64" w:rsidRDefault="001B3D4D" w:rsidP="00B37958">
      <w:pPr>
        <w:spacing w:before="1200" w:line="240" w:lineRule="auto"/>
        <w:jc w:val="left"/>
        <w:rPr>
          <w:szCs w:val="24"/>
          <w:lang w:val="es-ES"/>
        </w:rPr>
      </w:pPr>
      <w:r w:rsidRPr="00421D0E">
        <w:rPr>
          <w:rFonts w:asciiTheme="minorHAnsi" w:hAnsiTheme="minorHAnsi" w:cstheme="minorHAnsi"/>
          <w:lang w:val="es-ES"/>
        </w:rPr>
        <w:t>Mario Maniewicz</w:t>
      </w:r>
      <w:r w:rsidR="00E53DCE" w:rsidRPr="0033029C">
        <w:rPr>
          <w:szCs w:val="24"/>
          <w:lang w:val="es-ES"/>
        </w:rPr>
        <w:br/>
      </w:r>
      <w:proofErr w:type="gramStart"/>
      <w:r w:rsidR="00A96D3A" w:rsidRPr="0033029C">
        <w:rPr>
          <w:szCs w:val="24"/>
          <w:lang w:val="es-ES"/>
        </w:rPr>
        <w:t>Director</w:t>
      </w:r>
      <w:proofErr w:type="gramEnd"/>
    </w:p>
    <w:p w14:paraId="6633014D" w14:textId="3FED426B" w:rsidR="00421D0E" w:rsidRPr="005C21F3" w:rsidRDefault="00421D0E" w:rsidP="00B37958">
      <w:pPr>
        <w:tabs>
          <w:tab w:val="clear" w:pos="794"/>
          <w:tab w:val="clear" w:pos="1191"/>
          <w:tab w:val="left" w:pos="1701"/>
          <w:tab w:val="left" w:pos="2835"/>
        </w:tabs>
        <w:spacing w:before="2400" w:after="240"/>
        <w:rPr>
          <w:u w:val="single"/>
          <w:lang w:val="es-ES"/>
        </w:rPr>
      </w:pPr>
      <w:r>
        <w:rPr>
          <w:b/>
          <w:bCs/>
          <w:lang w:val="es-ES"/>
        </w:rPr>
        <w:t>Anexo:</w:t>
      </w:r>
      <w:r>
        <w:rPr>
          <w:lang w:val="es-ES"/>
        </w:rPr>
        <w:tab/>
        <w:t>Títulos y resúmenes de los proyectos de Recomendación</w:t>
      </w:r>
    </w:p>
    <w:p w14:paraId="4DC5C156" w14:textId="0C19D1A0" w:rsidR="00421D0E" w:rsidRPr="009943FF" w:rsidRDefault="00421D0E" w:rsidP="00B37958">
      <w:pPr>
        <w:spacing w:before="1080"/>
        <w:rPr>
          <w:lang w:val="es-ES"/>
        </w:rPr>
      </w:pPr>
      <w:r>
        <w:rPr>
          <w:b/>
          <w:bCs/>
          <w:lang w:val="es-ES"/>
        </w:rPr>
        <w:t>Documentos:</w:t>
      </w:r>
      <w:r>
        <w:rPr>
          <w:lang w:val="es-ES"/>
        </w:rPr>
        <w:tab/>
        <w:t>Documentos 1/77(Rev.1) y 1/85</w:t>
      </w:r>
    </w:p>
    <w:p w14:paraId="3696DC54" w14:textId="558B96EE" w:rsidR="00421D0E" w:rsidRPr="00E9241B" w:rsidRDefault="00421D0E" w:rsidP="00421D0E">
      <w:pPr>
        <w:tabs>
          <w:tab w:val="clear" w:pos="1588"/>
          <w:tab w:val="left" w:pos="2552"/>
        </w:tabs>
        <w:spacing w:before="120"/>
        <w:jc w:val="left"/>
        <w:rPr>
          <w:lang w:val="es-ES"/>
        </w:rPr>
      </w:pPr>
      <w:r>
        <w:rPr>
          <w:lang w:val="es-ES"/>
        </w:rPr>
        <w:t>Estos documentos están disponibles en formato electrónico en:</w:t>
      </w:r>
      <w:r>
        <w:rPr>
          <w:lang w:val="es-ES"/>
        </w:rPr>
        <w:br/>
      </w:r>
      <w:hyperlink r:id="rId13" w:history="1">
        <w:r w:rsidR="001B660C">
          <w:rPr>
            <w:rStyle w:val="Hyperlink"/>
            <w:lang w:val="es-ES"/>
          </w:rPr>
          <w:t>https://www.itu.int/md/R23-SG01-C</w:t>
        </w:r>
      </w:hyperlink>
      <w:hyperlink r:id="rId14" w:history="1"/>
    </w:p>
    <w:p w14:paraId="548F656C" w14:textId="77777777" w:rsidR="00421D0E" w:rsidRPr="00E9241B" w:rsidRDefault="00421D0E" w:rsidP="00421D0E">
      <w:pPr>
        <w:tabs>
          <w:tab w:val="clear" w:pos="1588"/>
          <w:tab w:val="left" w:pos="2552"/>
        </w:tabs>
        <w:spacing w:before="120"/>
        <w:jc w:val="left"/>
        <w:rPr>
          <w:sz w:val="16"/>
          <w:u w:val="single"/>
          <w:lang w:val="es-ES"/>
        </w:rPr>
      </w:pPr>
      <w:r w:rsidRPr="00E9241B">
        <w:rPr>
          <w:sz w:val="16"/>
          <w:u w:val="single"/>
          <w:lang w:val="es-ES"/>
        </w:rPr>
        <w:br w:type="page"/>
      </w:r>
    </w:p>
    <w:p w14:paraId="768B9D22" w14:textId="77777777" w:rsidR="00421D0E" w:rsidRPr="005C21F3" w:rsidRDefault="00421D0E" w:rsidP="00421D0E">
      <w:pPr>
        <w:pStyle w:val="AnnexNoTitle"/>
        <w:rPr>
          <w:sz w:val="28"/>
          <w:szCs w:val="28"/>
          <w:lang w:val="es-ES"/>
        </w:rPr>
      </w:pPr>
      <w:r w:rsidRPr="00124DDF">
        <w:rPr>
          <w:bCs/>
          <w:sz w:val="28"/>
          <w:szCs w:val="24"/>
          <w:lang w:val="es-ES"/>
        </w:rPr>
        <w:lastRenderedPageBreak/>
        <w:t>Anexo</w:t>
      </w:r>
      <w:r>
        <w:rPr>
          <w:bCs/>
          <w:sz w:val="28"/>
          <w:szCs w:val="24"/>
          <w:lang w:val="es-ES"/>
        </w:rPr>
        <w:br/>
      </w:r>
      <w:r w:rsidRPr="00124DDF">
        <w:rPr>
          <w:bCs/>
          <w:sz w:val="28"/>
          <w:szCs w:val="24"/>
          <w:lang w:val="es-ES"/>
        </w:rPr>
        <w:br/>
        <w:t>Títulos y resúmenes de los proyectos de Recomendación</w:t>
      </w:r>
      <w:r>
        <w:rPr>
          <w:bCs/>
          <w:sz w:val="28"/>
          <w:szCs w:val="24"/>
          <w:lang w:val="es-ES"/>
        </w:rPr>
        <w:br/>
        <w:t>adoptados por la Comisión de Estudio 1 de Radiocomunicaciones</w:t>
      </w:r>
    </w:p>
    <w:p w14:paraId="65180FDE" w14:textId="52971DA6" w:rsidR="00421D0E" w:rsidRPr="005C21F3" w:rsidRDefault="00421D0E" w:rsidP="00421D0E">
      <w:pPr>
        <w:tabs>
          <w:tab w:val="clear" w:pos="794"/>
          <w:tab w:val="clear" w:pos="1191"/>
          <w:tab w:val="clear" w:pos="1588"/>
          <w:tab w:val="clear" w:pos="1985"/>
          <w:tab w:val="right" w:pos="9639"/>
        </w:tabs>
        <w:spacing w:before="480"/>
        <w:rPr>
          <w:lang w:val="es-ES"/>
        </w:rPr>
      </w:pPr>
      <w:r>
        <w:rPr>
          <w:u w:val="single"/>
          <w:lang w:val="es-ES"/>
        </w:rPr>
        <w:t>Proyecto de revisión de la Recomendación UIT-R SM.443-4</w:t>
      </w:r>
      <w:r>
        <w:rPr>
          <w:lang w:val="es-ES"/>
        </w:rPr>
        <w:tab/>
        <w:t>Doc</w:t>
      </w:r>
      <w:r w:rsidR="00B37958">
        <w:rPr>
          <w:lang w:val="es-ES"/>
        </w:rPr>
        <w:t xml:space="preserve">. </w:t>
      </w:r>
      <w:r>
        <w:rPr>
          <w:lang w:val="es-ES"/>
        </w:rPr>
        <w:t>1/77(Rev.1)</w:t>
      </w:r>
    </w:p>
    <w:p w14:paraId="1027FAEB" w14:textId="025DE496" w:rsidR="009D6F8D" w:rsidRPr="004D01EC" w:rsidRDefault="009D6F8D" w:rsidP="004D01EC">
      <w:pPr>
        <w:pStyle w:val="Rectitle"/>
        <w:rPr>
          <w:lang w:val="es-ES"/>
        </w:rPr>
      </w:pPr>
      <w:r w:rsidRPr="004D01EC">
        <w:rPr>
          <w:rStyle w:val="Strong"/>
          <w:b/>
          <w:bCs w:val="0"/>
          <w:lang w:val="es-ES"/>
        </w:rPr>
        <w:t xml:space="preserve">Mediciones de anchura de banda en las estaciones </w:t>
      </w:r>
      <w:r w:rsidR="009D5C63">
        <w:rPr>
          <w:rStyle w:val="Strong"/>
          <w:b/>
          <w:bCs w:val="0"/>
          <w:lang w:val="es-ES"/>
        </w:rPr>
        <w:br/>
      </w:r>
      <w:r w:rsidRPr="004D01EC">
        <w:rPr>
          <w:rStyle w:val="Strong"/>
          <w:b/>
          <w:bCs w:val="0"/>
          <w:lang w:val="es-ES"/>
        </w:rPr>
        <w:t>de comprobación</w:t>
      </w:r>
      <w:r w:rsidR="009D5C63">
        <w:rPr>
          <w:rStyle w:val="Strong"/>
          <w:b/>
          <w:bCs w:val="0"/>
          <w:lang w:val="es-ES"/>
        </w:rPr>
        <w:t xml:space="preserve"> </w:t>
      </w:r>
      <w:r w:rsidRPr="004D01EC">
        <w:rPr>
          <w:rStyle w:val="Strong"/>
          <w:b/>
          <w:bCs w:val="0"/>
          <w:lang w:val="es-ES"/>
        </w:rPr>
        <w:t>técnica de las emisiones</w:t>
      </w:r>
    </w:p>
    <w:p w14:paraId="2C97FD0B" w14:textId="77777777" w:rsidR="00421D0E" w:rsidRPr="005C21F3" w:rsidRDefault="00421D0E" w:rsidP="00421D0E">
      <w:pPr>
        <w:rPr>
          <w:lang w:val="es-ES"/>
        </w:rPr>
      </w:pPr>
      <w:r>
        <w:rPr>
          <w:lang w:val="es-ES"/>
        </w:rPr>
        <w:t xml:space="preserve">En esta revisión se aclara el alcance, el </w:t>
      </w:r>
      <w:r w:rsidRPr="00124DDF">
        <w:rPr>
          <w:i/>
          <w:iCs/>
          <w:lang w:val="es-ES"/>
        </w:rPr>
        <w:t>considerando</w:t>
      </w:r>
      <w:r>
        <w:rPr>
          <w:lang w:val="es-ES"/>
        </w:rPr>
        <w:t xml:space="preserve"> y </w:t>
      </w:r>
      <w:proofErr w:type="spellStart"/>
      <w:r>
        <w:rPr>
          <w:lang w:val="es-ES"/>
        </w:rPr>
        <w:t>el</w:t>
      </w:r>
      <w:proofErr w:type="spellEnd"/>
      <w:r>
        <w:rPr>
          <w:lang w:val="es-ES"/>
        </w:rPr>
        <w:t xml:space="preserve"> </w:t>
      </w:r>
      <w:r w:rsidRPr="00124DDF">
        <w:rPr>
          <w:i/>
          <w:iCs/>
          <w:lang w:val="es-ES"/>
        </w:rPr>
        <w:t>recomienda</w:t>
      </w:r>
      <w:r>
        <w:rPr>
          <w:lang w:val="es-ES"/>
        </w:rPr>
        <w:t xml:space="preserve">, y se añade la sección </w:t>
      </w:r>
      <w:r w:rsidRPr="00124DDF">
        <w:rPr>
          <w:i/>
          <w:iCs/>
          <w:lang w:val="es-ES"/>
        </w:rPr>
        <w:t>observando</w:t>
      </w:r>
      <w:r>
        <w:rPr>
          <w:lang w:val="es-ES"/>
        </w:rPr>
        <w:t>. «Directrices para mediciones de anchura de banda» se trasladó al cuerpo principal de la revisión. Se añadieron secciones adicionales para abreviaturas/glosario y textos del UIT-R conexos. Se introdujeron mejoras en los procedimientos de medición. El término «interferencia» se cambió por «espectro interferente» para incluir las emisiones resultantes de dispositivos de comunicación y de otros dispositivos. Se añadió más información sobre las señales de medición con distintos anchos de banda (es decir, AAS, IMT-2020/5G). La revisión también incluye una sección ampliada en la que se describe el uso del método de x dB. El Anexo 3 se reestructuró para incluir tres métodos de estimación de la anchura de banda ocupada utilizando el método de x dB. También se hizo referencia al Informe UIT-R SM.2048 porque contiene información útil para encontrar la referencia de 0 dB y los factores de conversión para muchas clases diferentes de emisiones.</w:t>
      </w:r>
    </w:p>
    <w:p w14:paraId="5DD34D69" w14:textId="14BC92D1" w:rsidR="00421D0E" w:rsidRPr="005C21F3" w:rsidRDefault="00421D0E" w:rsidP="00421D0E">
      <w:pPr>
        <w:tabs>
          <w:tab w:val="clear" w:pos="794"/>
          <w:tab w:val="clear" w:pos="1191"/>
          <w:tab w:val="clear" w:pos="1588"/>
          <w:tab w:val="clear" w:pos="1985"/>
          <w:tab w:val="right" w:pos="9639"/>
        </w:tabs>
        <w:spacing w:before="480"/>
        <w:rPr>
          <w:lang w:val="es-ES"/>
        </w:rPr>
      </w:pPr>
      <w:r>
        <w:rPr>
          <w:u w:val="single"/>
          <w:lang w:val="es-ES"/>
        </w:rPr>
        <w:t>Proyecto de revisión de la Recomendación UIT-R SM.2151-0</w:t>
      </w:r>
      <w:r>
        <w:rPr>
          <w:lang w:val="es-ES"/>
        </w:rPr>
        <w:tab/>
        <w:t>Doc</w:t>
      </w:r>
      <w:r w:rsidR="00B37958">
        <w:rPr>
          <w:lang w:val="es-ES"/>
        </w:rPr>
        <w:t>.</w:t>
      </w:r>
      <w:r>
        <w:rPr>
          <w:lang w:val="es-ES"/>
        </w:rPr>
        <w:t xml:space="preserve"> 1/85</w:t>
      </w:r>
    </w:p>
    <w:p w14:paraId="682AF59B" w14:textId="79ED041F" w:rsidR="009D6F8D" w:rsidRPr="004D01EC" w:rsidRDefault="004D01EC" w:rsidP="004D01EC">
      <w:pPr>
        <w:pStyle w:val="Rectitle"/>
        <w:rPr>
          <w:lang w:val="es-ES"/>
        </w:rPr>
      </w:pPr>
      <w:r w:rsidRPr="004D01EC">
        <w:rPr>
          <w:lang w:val="es-ES"/>
        </w:rPr>
        <w:t>Directrices sobre las gamas de frecuencias para la explotación de la transmisión inalámbrica de potencia por medio de haces de radiofrecuencias</w:t>
      </w:r>
      <w:r w:rsidR="009D5C63">
        <w:rPr>
          <w:lang w:val="es-ES"/>
        </w:rPr>
        <w:t xml:space="preserve"> </w:t>
      </w:r>
      <w:r w:rsidRPr="004D01EC">
        <w:rPr>
          <w:lang w:val="es-ES"/>
        </w:rPr>
        <w:t xml:space="preserve">para </w:t>
      </w:r>
      <w:r w:rsidR="009D5C63">
        <w:rPr>
          <w:lang w:val="es-ES"/>
        </w:rPr>
        <w:br/>
      </w:r>
      <w:r w:rsidRPr="004D01EC">
        <w:rPr>
          <w:lang w:val="es-ES"/>
        </w:rPr>
        <w:t>dispositivos móviles y portátiles y redes de sensores</w:t>
      </w:r>
    </w:p>
    <w:p w14:paraId="523676EA" w14:textId="77777777" w:rsidR="00421D0E" w:rsidRPr="005C21F3" w:rsidRDefault="00421D0E" w:rsidP="00CC1E28">
      <w:pPr>
        <w:pStyle w:val="enumlev1"/>
        <w:spacing w:before="160"/>
        <w:rPr>
          <w:lang w:val="es-ES"/>
        </w:rPr>
      </w:pPr>
      <w:r>
        <w:rPr>
          <w:lang w:val="es-ES"/>
        </w:rPr>
        <w:t>–</w:t>
      </w:r>
      <w:r>
        <w:rPr>
          <w:lang w:val="es-ES"/>
        </w:rPr>
        <w:tab/>
        <w:t>Actualizaciones para seguir el formato obligatorio de las Recomendaciones.</w:t>
      </w:r>
    </w:p>
    <w:p w14:paraId="0E7CCD92" w14:textId="77777777" w:rsidR="00421D0E" w:rsidRPr="005C21F3" w:rsidRDefault="00421D0E" w:rsidP="00421D0E">
      <w:pPr>
        <w:pStyle w:val="enumlev1"/>
        <w:rPr>
          <w:lang w:val="es-ES"/>
        </w:rPr>
      </w:pPr>
      <w:r>
        <w:rPr>
          <w:lang w:val="es-ES"/>
        </w:rPr>
        <w:t>–</w:t>
      </w:r>
      <w:r>
        <w:rPr>
          <w:lang w:val="es-ES"/>
        </w:rPr>
        <w:tab/>
        <w:t xml:space="preserve">Supresión de ICNIRP y OMS de la sección de Abreviaturas y Glosario debido a la supresión de los acrónimos «ICNIRP» y «OMS» del </w:t>
      </w:r>
      <w:r>
        <w:rPr>
          <w:i/>
          <w:iCs/>
          <w:lang w:val="es-ES"/>
        </w:rPr>
        <w:t xml:space="preserve">considerando </w:t>
      </w:r>
      <w:r w:rsidRPr="00AE7007">
        <w:rPr>
          <w:i/>
          <w:iCs/>
          <w:lang w:val="es-ES"/>
        </w:rPr>
        <w:t>g)</w:t>
      </w:r>
      <w:r>
        <w:rPr>
          <w:lang w:val="es-ES"/>
        </w:rPr>
        <w:t>.</w:t>
      </w:r>
    </w:p>
    <w:p w14:paraId="64E7165B" w14:textId="77777777" w:rsidR="00421D0E" w:rsidRPr="005C21F3" w:rsidRDefault="00421D0E" w:rsidP="00421D0E">
      <w:pPr>
        <w:pStyle w:val="enumlev1"/>
        <w:rPr>
          <w:lang w:val="es-ES"/>
        </w:rPr>
      </w:pPr>
      <w:r>
        <w:rPr>
          <w:lang w:val="es-ES"/>
        </w:rPr>
        <w:t>–</w:t>
      </w:r>
      <w:r>
        <w:rPr>
          <w:lang w:val="es-ES"/>
        </w:rPr>
        <w:tab/>
        <w:t xml:space="preserve">Supresión del </w:t>
      </w:r>
      <w:r w:rsidRPr="00233FBF">
        <w:rPr>
          <w:i/>
          <w:iCs/>
          <w:lang w:val="es-ES"/>
        </w:rPr>
        <w:t>considerando</w:t>
      </w:r>
      <w:r>
        <w:rPr>
          <w:lang w:val="es-ES"/>
        </w:rPr>
        <w:t xml:space="preserve"> </w:t>
      </w:r>
      <w:r w:rsidRPr="00AE7007">
        <w:rPr>
          <w:i/>
          <w:iCs/>
          <w:lang w:val="es-ES"/>
        </w:rPr>
        <w:t>h</w:t>
      </w:r>
      <w:r w:rsidRPr="00B625E6">
        <w:rPr>
          <w:i/>
          <w:iCs/>
          <w:lang w:val="es-ES"/>
        </w:rPr>
        <w:t>).</w:t>
      </w:r>
    </w:p>
    <w:p w14:paraId="1051835E" w14:textId="77777777" w:rsidR="00421D0E" w:rsidRPr="005C21F3" w:rsidRDefault="00421D0E" w:rsidP="00421D0E">
      <w:pPr>
        <w:pStyle w:val="enumlev1"/>
        <w:rPr>
          <w:lang w:val="es-ES"/>
        </w:rPr>
      </w:pPr>
      <w:r>
        <w:rPr>
          <w:lang w:val="es-ES"/>
        </w:rPr>
        <w:t>–</w:t>
      </w:r>
      <w:r>
        <w:rPr>
          <w:lang w:val="es-ES"/>
        </w:rPr>
        <w:tab/>
        <w:t xml:space="preserve">Traslado del </w:t>
      </w:r>
      <w:r>
        <w:rPr>
          <w:i/>
          <w:iCs/>
          <w:lang w:val="es-ES"/>
        </w:rPr>
        <w:t xml:space="preserve">reconociendo </w:t>
      </w:r>
      <w:r w:rsidRPr="00AE7007">
        <w:rPr>
          <w:i/>
          <w:iCs/>
          <w:lang w:val="es-ES"/>
        </w:rPr>
        <w:t>c)</w:t>
      </w:r>
      <w:r>
        <w:rPr>
          <w:lang w:val="es-ES"/>
        </w:rPr>
        <w:t xml:space="preserve"> al </w:t>
      </w:r>
      <w:r>
        <w:rPr>
          <w:i/>
          <w:iCs/>
          <w:lang w:val="es-ES"/>
        </w:rPr>
        <w:t xml:space="preserve">considerando </w:t>
      </w:r>
      <w:r w:rsidRPr="00AE7007">
        <w:rPr>
          <w:i/>
          <w:iCs/>
          <w:lang w:val="es-ES"/>
        </w:rPr>
        <w:t>h)</w:t>
      </w:r>
      <w:r>
        <w:rPr>
          <w:lang w:val="es-ES"/>
        </w:rPr>
        <w:t xml:space="preserve"> sin modificaciones para armonizarlo con las directrices de la Recomendación.</w:t>
      </w:r>
    </w:p>
    <w:p w14:paraId="22296C9D" w14:textId="77777777" w:rsidR="00421D0E" w:rsidRPr="005C21F3" w:rsidRDefault="00421D0E" w:rsidP="00421D0E">
      <w:pPr>
        <w:pStyle w:val="enumlev1"/>
        <w:rPr>
          <w:lang w:val="es-ES"/>
        </w:rPr>
      </w:pPr>
      <w:r>
        <w:rPr>
          <w:lang w:val="es-ES"/>
        </w:rPr>
        <w:t>–</w:t>
      </w:r>
      <w:r>
        <w:rPr>
          <w:lang w:val="es-ES"/>
        </w:rPr>
        <w:tab/>
        <w:t xml:space="preserve">Adición de un nuevo </w:t>
      </w:r>
      <w:r>
        <w:rPr>
          <w:i/>
          <w:iCs/>
          <w:lang w:val="es-ES"/>
        </w:rPr>
        <w:t>reconociendo j</w:t>
      </w:r>
      <w:r w:rsidRPr="00AE7007">
        <w:rPr>
          <w:i/>
          <w:iCs/>
          <w:lang w:val="es-ES"/>
        </w:rPr>
        <w:t>)</w:t>
      </w:r>
      <w:r>
        <w:rPr>
          <w:lang w:val="es-ES"/>
        </w:rPr>
        <w:t xml:space="preserve"> para reconocer la atribución al servicio primario y el número </w:t>
      </w:r>
      <w:r>
        <w:rPr>
          <w:b/>
          <w:bCs/>
          <w:lang w:val="es-ES"/>
        </w:rPr>
        <w:t xml:space="preserve">5.340 </w:t>
      </w:r>
      <w:r>
        <w:rPr>
          <w:lang w:val="es-ES"/>
        </w:rPr>
        <w:t>del Reglamento de Radiocomunicaciones (RR).</w:t>
      </w:r>
    </w:p>
    <w:p w14:paraId="2A38971B" w14:textId="77777777" w:rsidR="00421D0E" w:rsidRPr="005C21F3" w:rsidRDefault="00421D0E" w:rsidP="00421D0E">
      <w:pPr>
        <w:pStyle w:val="enumlev1"/>
        <w:rPr>
          <w:lang w:val="es-ES"/>
        </w:rPr>
      </w:pPr>
      <w:r>
        <w:rPr>
          <w:lang w:val="es-ES"/>
        </w:rPr>
        <w:t>–</w:t>
      </w:r>
      <w:r>
        <w:rPr>
          <w:lang w:val="es-ES"/>
        </w:rPr>
        <w:tab/>
        <w:t xml:space="preserve">Desplazamiento de los </w:t>
      </w:r>
      <w:r>
        <w:rPr>
          <w:i/>
          <w:iCs/>
          <w:lang w:val="es-ES"/>
        </w:rPr>
        <w:t>observando</w:t>
      </w:r>
      <w:r>
        <w:rPr>
          <w:lang w:val="es-ES"/>
        </w:rPr>
        <w:t xml:space="preserve"> </w:t>
      </w:r>
      <w:r>
        <w:rPr>
          <w:i/>
          <w:iCs/>
          <w:lang w:val="es-ES"/>
        </w:rPr>
        <w:t>b</w:t>
      </w:r>
      <w:r w:rsidRPr="00B625E6">
        <w:rPr>
          <w:i/>
          <w:iCs/>
          <w:lang w:val="es-ES"/>
        </w:rPr>
        <w:t>)</w:t>
      </w:r>
      <w:r>
        <w:rPr>
          <w:lang w:val="es-ES"/>
        </w:rPr>
        <w:t xml:space="preserve"> y </w:t>
      </w:r>
      <w:r>
        <w:rPr>
          <w:i/>
          <w:iCs/>
          <w:lang w:val="es-ES"/>
        </w:rPr>
        <w:t>c</w:t>
      </w:r>
      <w:r w:rsidRPr="00B625E6">
        <w:rPr>
          <w:i/>
          <w:iCs/>
          <w:lang w:val="es-ES"/>
        </w:rPr>
        <w:t>)</w:t>
      </w:r>
      <w:r>
        <w:rPr>
          <w:lang w:val="es-ES"/>
        </w:rPr>
        <w:t xml:space="preserve"> para que pasen a ser los nuevos</w:t>
      </w:r>
      <w:r>
        <w:rPr>
          <w:i/>
          <w:iCs/>
          <w:lang w:val="es-ES"/>
        </w:rPr>
        <w:t xml:space="preserve"> reconociendo</w:t>
      </w:r>
      <w:r>
        <w:rPr>
          <w:lang w:val="es-ES"/>
        </w:rPr>
        <w:t xml:space="preserve"> </w:t>
      </w:r>
      <w:r>
        <w:rPr>
          <w:i/>
          <w:iCs/>
          <w:lang w:val="es-ES"/>
        </w:rPr>
        <w:t>k</w:t>
      </w:r>
      <w:r w:rsidRPr="00AE7007">
        <w:rPr>
          <w:i/>
          <w:iCs/>
          <w:lang w:val="es-ES"/>
        </w:rPr>
        <w:t>)</w:t>
      </w:r>
      <w:r>
        <w:rPr>
          <w:lang w:val="es-ES"/>
        </w:rPr>
        <w:t xml:space="preserve"> y</w:t>
      </w:r>
      <w:r>
        <w:rPr>
          <w:i/>
          <w:iCs/>
          <w:lang w:val="es-ES"/>
        </w:rPr>
        <w:t> l</w:t>
      </w:r>
      <w:r w:rsidRPr="00AE7007">
        <w:rPr>
          <w:i/>
          <w:iCs/>
          <w:lang w:val="es-ES"/>
        </w:rPr>
        <w:t>)</w:t>
      </w:r>
      <w:r>
        <w:rPr>
          <w:lang w:val="es-ES"/>
        </w:rPr>
        <w:t xml:space="preserve"> para armonizar las directrices de la Recomendación.</w:t>
      </w:r>
    </w:p>
    <w:p w14:paraId="5809B901" w14:textId="77777777" w:rsidR="00421D0E" w:rsidRPr="005C21F3" w:rsidRDefault="00421D0E" w:rsidP="00421D0E">
      <w:pPr>
        <w:pStyle w:val="enumlev1"/>
        <w:rPr>
          <w:lang w:val="es-ES"/>
        </w:rPr>
      </w:pPr>
      <w:r>
        <w:rPr>
          <w:lang w:val="es-ES"/>
        </w:rPr>
        <w:t>–</w:t>
      </w:r>
      <w:r>
        <w:rPr>
          <w:lang w:val="es-ES"/>
        </w:rPr>
        <w:tab/>
        <w:t>Adición de una nueva gama de frecuencias, 24,1-24,15 GHz, al Cuadro 1 sobre la base de la finalización de los estudios de repercusiones del Informe UIT-R SM.2505.</w:t>
      </w:r>
    </w:p>
    <w:p w14:paraId="080B3F2C" w14:textId="77777777" w:rsidR="00421D0E" w:rsidRPr="005C21F3" w:rsidRDefault="00421D0E" w:rsidP="00421D0E">
      <w:pPr>
        <w:pStyle w:val="enumlev1"/>
        <w:rPr>
          <w:lang w:val="es-ES"/>
        </w:rPr>
      </w:pPr>
      <w:r>
        <w:rPr>
          <w:lang w:val="es-ES"/>
        </w:rPr>
        <w:t>–</w:t>
      </w:r>
      <w:r>
        <w:rPr>
          <w:lang w:val="es-ES"/>
        </w:rPr>
        <w:tab/>
        <w:t>Adición de una nueva Nota 3 basada en los resultados de los estudios de repercusión debajo del Cuadro 1.</w:t>
      </w:r>
    </w:p>
    <w:p w14:paraId="5F0EF866" w14:textId="77777777" w:rsidR="00421D0E" w:rsidRPr="00F036CF" w:rsidRDefault="00421D0E" w:rsidP="00411C49">
      <w:pPr>
        <w:pStyle w:val="Reasons"/>
        <w:rPr>
          <w:lang w:val="es-ES"/>
        </w:rPr>
      </w:pPr>
    </w:p>
    <w:p w14:paraId="5C5C4336" w14:textId="77777777" w:rsidR="00421D0E" w:rsidRDefault="00421D0E">
      <w:pPr>
        <w:jc w:val="center"/>
      </w:pPr>
      <w:r>
        <w:t>______________</w:t>
      </w:r>
    </w:p>
    <w:sectPr w:rsidR="00421D0E" w:rsidSect="00FB7102">
      <w:headerReference w:type="even" r:id="rId15"/>
      <w:headerReference w:type="default" r:id="rId16"/>
      <w:headerReference w:type="first" r:id="rId17"/>
      <w:footerReference w:type="first" r:id="rId18"/>
      <w:pgSz w:w="11907" w:h="16834" w:code="9"/>
      <w:pgMar w:top="1134" w:right="1134" w:bottom="992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5FA35" w14:textId="77777777" w:rsidR="00633734" w:rsidRDefault="00633734">
      <w:r>
        <w:separator/>
      </w:r>
    </w:p>
  </w:endnote>
  <w:endnote w:type="continuationSeparator" w:id="0">
    <w:p w14:paraId="7DDFE5A0" w14:textId="77777777" w:rsidR="00633734" w:rsidRDefault="00633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2F124" w14:textId="77777777" w:rsidR="005370F0" w:rsidRPr="00035EC3" w:rsidRDefault="00CF7B6D" w:rsidP="00132DD2">
    <w:pPr>
      <w:pStyle w:val="Footer"/>
      <w:spacing w:before="0" w:line="240" w:lineRule="auto"/>
      <w:jc w:val="center"/>
      <w:rPr>
        <w:sz w:val="19"/>
        <w:szCs w:val="19"/>
        <w:lang w:val="es-ES"/>
      </w:rPr>
    </w:pPr>
    <w:r w:rsidRPr="00353E34">
      <w:rPr>
        <w:color w:val="4F81BD" w:themeColor="accent1"/>
        <w:sz w:val="19"/>
        <w:szCs w:val="19"/>
        <w:lang w:val="es-ES"/>
      </w:rPr>
      <w:t>Unión Internacional de Telecomunicaciones • Place des Nations, CH-1211 Ginebra 20, Suiza</w:t>
    </w:r>
    <w:r w:rsidRPr="00353E34">
      <w:rPr>
        <w:color w:val="4F81BD" w:themeColor="accent1"/>
        <w:sz w:val="19"/>
        <w:szCs w:val="19"/>
        <w:lang w:val="es-ES"/>
      </w:rPr>
      <w:br/>
      <w:t xml:space="preserve">Tel.: +41 22 730 5111 • Correo-e: </w:t>
    </w:r>
    <w:hyperlink r:id="rId1" w:history="1">
      <w:r w:rsidR="00353E34" w:rsidRPr="000B33D5">
        <w:rPr>
          <w:rStyle w:val="Hyperlink"/>
          <w:sz w:val="19"/>
          <w:szCs w:val="19"/>
          <w:lang w:val="es-ES"/>
        </w:rPr>
        <w:t>brmail@itu.int</w:t>
      </w:r>
    </w:hyperlink>
    <w:r w:rsidRPr="00353E34">
      <w:rPr>
        <w:color w:val="4F81BD" w:themeColor="accent1"/>
        <w:sz w:val="19"/>
        <w:szCs w:val="19"/>
        <w:lang w:val="es-ES"/>
      </w:rPr>
      <w:t xml:space="preserve"> </w:t>
    </w:r>
    <w:r w:rsidRPr="00353E34">
      <w:rPr>
        <w:color w:val="4F81BD"/>
        <w:sz w:val="19"/>
        <w:szCs w:val="19"/>
        <w:lang w:val="es-ES"/>
      </w:rPr>
      <w:t xml:space="preserve">• Fax: +41 22 733 7256 • </w:t>
    </w:r>
    <w:hyperlink r:id="rId2" w:history="1">
      <w:r w:rsidRPr="00353E34">
        <w:rPr>
          <w:rStyle w:val="Hyperlink"/>
          <w:sz w:val="19"/>
          <w:szCs w:val="19"/>
          <w:lang w:val="es-ES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38494" w14:textId="77777777" w:rsidR="00633734" w:rsidRDefault="00633734">
      <w:r>
        <w:t>____________________</w:t>
      </w:r>
    </w:p>
  </w:footnote>
  <w:footnote w:type="continuationSeparator" w:id="0">
    <w:p w14:paraId="3DFCDAB9" w14:textId="77777777" w:rsidR="00633734" w:rsidRDefault="00633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55083" w14:textId="3C5E54E9" w:rsidR="00E915AF" w:rsidRPr="00D239B4" w:rsidRDefault="00D97EF5" w:rsidP="002D1328">
    <w:pPr>
      <w:pStyle w:val="Header"/>
      <w:jc w:val="center"/>
      <w:rPr>
        <w:sz w:val="18"/>
        <w:szCs w:val="16"/>
      </w:rPr>
    </w:pPr>
    <w:r>
      <w:rPr>
        <w:sz w:val="18"/>
        <w:szCs w:val="16"/>
      </w:rPr>
      <w:t xml:space="preserve">- </w:t>
    </w:r>
    <w:r w:rsidR="001B42C9" w:rsidRPr="00D239B4">
      <w:rPr>
        <w:rStyle w:val="PageNumber"/>
        <w:sz w:val="18"/>
        <w:szCs w:val="16"/>
      </w:rPr>
      <w:fldChar w:fldCharType="begin"/>
    </w:r>
    <w:r w:rsidR="00E915AF" w:rsidRPr="00D239B4">
      <w:rPr>
        <w:rStyle w:val="PageNumber"/>
        <w:sz w:val="18"/>
        <w:szCs w:val="16"/>
      </w:rPr>
      <w:instrText xml:space="preserve"> PAGE </w:instrText>
    </w:r>
    <w:r w:rsidR="001B42C9" w:rsidRPr="00D239B4">
      <w:rPr>
        <w:rStyle w:val="PageNumber"/>
        <w:sz w:val="18"/>
        <w:szCs w:val="16"/>
      </w:rPr>
      <w:fldChar w:fldCharType="separate"/>
    </w:r>
    <w:r w:rsidR="00535FEF">
      <w:rPr>
        <w:rStyle w:val="PageNumber"/>
        <w:noProof/>
        <w:sz w:val="18"/>
        <w:szCs w:val="16"/>
      </w:rPr>
      <w:t>2</w:t>
    </w:r>
    <w:r w:rsidR="001B42C9" w:rsidRPr="00D239B4">
      <w:rPr>
        <w:rStyle w:val="PageNumber"/>
        <w:sz w:val="18"/>
        <w:szCs w:val="16"/>
      </w:rPr>
      <w:fldChar w:fldCharType="end"/>
    </w:r>
    <w:r>
      <w:rPr>
        <w:rStyle w:val="PageNumber"/>
        <w:sz w:val="18"/>
        <w:szCs w:val="16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6CF9F" w14:textId="09EC4065" w:rsidR="00E915AF" w:rsidRPr="00EB6DFB" w:rsidRDefault="00EB6DFB" w:rsidP="002D1328">
    <w:pPr>
      <w:pStyle w:val="Header"/>
      <w:jc w:val="center"/>
      <w:rPr>
        <w:sz w:val="18"/>
        <w:szCs w:val="16"/>
      </w:rPr>
    </w:pPr>
    <w:r>
      <w:rPr>
        <w:sz w:val="18"/>
        <w:szCs w:val="16"/>
      </w:rPr>
      <w:t xml:space="preserve">- </w:t>
    </w:r>
    <w:r w:rsidRPr="00D239B4">
      <w:rPr>
        <w:rStyle w:val="PageNumber"/>
        <w:sz w:val="18"/>
        <w:szCs w:val="16"/>
      </w:rPr>
      <w:fldChar w:fldCharType="begin"/>
    </w:r>
    <w:r w:rsidRPr="00D239B4">
      <w:rPr>
        <w:rStyle w:val="PageNumber"/>
        <w:sz w:val="18"/>
        <w:szCs w:val="16"/>
      </w:rPr>
      <w:instrText xml:space="preserve"> PAGE </w:instrText>
    </w:r>
    <w:r w:rsidRPr="00D239B4">
      <w:rPr>
        <w:rStyle w:val="PageNumber"/>
        <w:sz w:val="18"/>
        <w:szCs w:val="16"/>
      </w:rPr>
      <w:fldChar w:fldCharType="separate"/>
    </w:r>
    <w:r>
      <w:rPr>
        <w:rStyle w:val="PageNumber"/>
        <w:sz w:val="18"/>
        <w:szCs w:val="16"/>
      </w:rPr>
      <w:t>2</w:t>
    </w:r>
    <w:r w:rsidRPr="00D239B4">
      <w:rPr>
        <w:rStyle w:val="PageNumber"/>
        <w:sz w:val="18"/>
        <w:szCs w:val="16"/>
      </w:rPr>
      <w:fldChar w:fldCharType="end"/>
    </w:r>
    <w:r>
      <w:rPr>
        <w:rStyle w:val="PageNumber"/>
        <w:sz w:val="18"/>
        <w:szCs w:val="16"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29"/>
    </w:tblGrid>
    <w:tr w:rsidR="002D1328" w14:paraId="14A486F6" w14:textId="77777777" w:rsidTr="002D1328">
      <w:tc>
        <w:tcPr>
          <w:tcW w:w="9629" w:type="dxa"/>
        </w:tcPr>
        <w:p w14:paraId="3C72A158" w14:textId="7D5BFB3A" w:rsidR="002D1328" w:rsidRDefault="002D1328" w:rsidP="001B3D4D">
          <w:pPr>
            <w:pStyle w:val="Header"/>
          </w:pPr>
          <w:r w:rsidRPr="00A35CB8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634C90B9" wp14:editId="078A89DE">
                <wp:simplePos x="0" y="0"/>
                <wp:positionH relativeFrom="column">
                  <wp:posOffset>5140960</wp:posOffset>
                </wp:positionH>
                <wp:positionV relativeFrom="paragraph">
                  <wp:posOffset>41275</wp:posOffset>
                </wp:positionV>
                <wp:extent cx="847725" cy="895350"/>
                <wp:effectExtent l="0" t="0" r="9525" b="0"/>
                <wp:wrapSquare wrapText="bothSides"/>
                <wp:docPr id="438929699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A35CB8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E185281" wp14:editId="637D8530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895350" cy="895350"/>
                <wp:effectExtent l="0" t="0" r="0" b="0"/>
                <wp:wrapSquare wrapText="bothSides"/>
                <wp:docPr id="792153860" name="Picture 4" descr="A blue logo with a black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45214964" descr="A blue logo with a black back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B726504" w14:textId="77777777" w:rsidR="00E915AF" w:rsidRPr="001B3D4D" w:rsidRDefault="00E915AF" w:rsidP="001B3D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 w15:restartNumberingAfterBreak="0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5" w15:restartNumberingAfterBreak="0">
    <w:nsid w:val="4BCB6B0F"/>
    <w:multiLevelType w:val="hybridMultilevel"/>
    <w:tmpl w:val="22323FD2"/>
    <w:lvl w:ilvl="0" w:tplc="BA640A30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0518091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97891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fr-CH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ildingBlockITU" w:val="Building Blocks ITU.dotx"/>
  </w:docVars>
  <w:rsids>
    <w:rsidRoot w:val="002B7EE0"/>
    <w:rsid w:val="00006A31"/>
    <w:rsid w:val="00006C82"/>
    <w:rsid w:val="00010E30"/>
    <w:rsid w:val="00012BE8"/>
    <w:rsid w:val="00015C76"/>
    <w:rsid w:val="00026CF8"/>
    <w:rsid w:val="00030BD7"/>
    <w:rsid w:val="00031E64"/>
    <w:rsid w:val="00034340"/>
    <w:rsid w:val="00035CB3"/>
    <w:rsid w:val="00035EC3"/>
    <w:rsid w:val="00045A8D"/>
    <w:rsid w:val="0005167A"/>
    <w:rsid w:val="00054E5D"/>
    <w:rsid w:val="00070258"/>
    <w:rsid w:val="0007323C"/>
    <w:rsid w:val="00086D03"/>
    <w:rsid w:val="000A096A"/>
    <w:rsid w:val="000A375E"/>
    <w:rsid w:val="000A7051"/>
    <w:rsid w:val="000B0AF6"/>
    <w:rsid w:val="000B0E9B"/>
    <w:rsid w:val="000B2CAE"/>
    <w:rsid w:val="000C03C7"/>
    <w:rsid w:val="000C2AD0"/>
    <w:rsid w:val="000D3F3B"/>
    <w:rsid w:val="000E3DEE"/>
    <w:rsid w:val="000E4BCD"/>
    <w:rsid w:val="00100B72"/>
    <w:rsid w:val="00101F7D"/>
    <w:rsid w:val="00103C76"/>
    <w:rsid w:val="0011265F"/>
    <w:rsid w:val="00117282"/>
    <w:rsid w:val="00117389"/>
    <w:rsid w:val="00121C2D"/>
    <w:rsid w:val="00132DD2"/>
    <w:rsid w:val="00134404"/>
    <w:rsid w:val="00144DFB"/>
    <w:rsid w:val="00187CA3"/>
    <w:rsid w:val="00195EB7"/>
    <w:rsid w:val="00196710"/>
    <w:rsid w:val="00196770"/>
    <w:rsid w:val="00197324"/>
    <w:rsid w:val="001B351B"/>
    <w:rsid w:val="001B3D4D"/>
    <w:rsid w:val="001B42C9"/>
    <w:rsid w:val="001B660C"/>
    <w:rsid w:val="001C06DB"/>
    <w:rsid w:val="001C12D8"/>
    <w:rsid w:val="001C6971"/>
    <w:rsid w:val="001D2785"/>
    <w:rsid w:val="001D7070"/>
    <w:rsid w:val="001F2170"/>
    <w:rsid w:val="001F3948"/>
    <w:rsid w:val="001F5A49"/>
    <w:rsid w:val="00201097"/>
    <w:rsid w:val="00201B6E"/>
    <w:rsid w:val="002302B3"/>
    <w:rsid w:val="00230C66"/>
    <w:rsid w:val="00235A29"/>
    <w:rsid w:val="00241526"/>
    <w:rsid w:val="002443A2"/>
    <w:rsid w:val="002468AB"/>
    <w:rsid w:val="00257BE7"/>
    <w:rsid w:val="00266E74"/>
    <w:rsid w:val="002819F7"/>
    <w:rsid w:val="00283C3B"/>
    <w:rsid w:val="002861E6"/>
    <w:rsid w:val="00287D18"/>
    <w:rsid w:val="002A2618"/>
    <w:rsid w:val="002A5DD7"/>
    <w:rsid w:val="002B0CAC"/>
    <w:rsid w:val="002B7EE0"/>
    <w:rsid w:val="002D1328"/>
    <w:rsid w:val="002D5A15"/>
    <w:rsid w:val="002D5BDD"/>
    <w:rsid w:val="002E3D27"/>
    <w:rsid w:val="002F0890"/>
    <w:rsid w:val="002F2531"/>
    <w:rsid w:val="002F4967"/>
    <w:rsid w:val="00306452"/>
    <w:rsid w:val="00311970"/>
    <w:rsid w:val="00316935"/>
    <w:rsid w:val="003266ED"/>
    <w:rsid w:val="00326C68"/>
    <w:rsid w:val="0033029C"/>
    <w:rsid w:val="003370B8"/>
    <w:rsid w:val="00345D38"/>
    <w:rsid w:val="00352097"/>
    <w:rsid w:val="00353E34"/>
    <w:rsid w:val="003549A9"/>
    <w:rsid w:val="003666FF"/>
    <w:rsid w:val="0037309C"/>
    <w:rsid w:val="003747B8"/>
    <w:rsid w:val="00380A6E"/>
    <w:rsid w:val="003836D4"/>
    <w:rsid w:val="003974CD"/>
    <w:rsid w:val="003A1F49"/>
    <w:rsid w:val="003A55ED"/>
    <w:rsid w:val="003A5D52"/>
    <w:rsid w:val="003B2BDA"/>
    <w:rsid w:val="003B55EC"/>
    <w:rsid w:val="003C2EA7"/>
    <w:rsid w:val="003C4471"/>
    <w:rsid w:val="003C7D41"/>
    <w:rsid w:val="003D4A69"/>
    <w:rsid w:val="003E504F"/>
    <w:rsid w:val="003E78D6"/>
    <w:rsid w:val="003F0E9F"/>
    <w:rsid w:val="00400573"/>
    <w:rsid w:val="004007A3"/>
    <w:rsid w:val="00406D71"/>
    <w:rsid w:val="00421D0E"/>
    <w:rsid w:val="004326DB"/>
    <w:rsid w:val="0043682E"/>
    <w:rsid w:val="00447ECB"/>
    <w:rsid w:val="004623F7"/>
    <w:rsid w:val="00480F51"/>
    <w:rsid w:val="00481124"/>
    <w:rsid w:val="004815EB"/>
    <w:rsid w:val="00487569"/>
    <w:rsid w:val="00496864"/>
    <w:rsid w:val="00496920"/>
    <w:rsid w:val="004A4496"/>
    <w:rsid w:val="004A5F47"/>
    <w:rsid w:val="004B11AB"/>
    <w:rsid w:val="004B4895"/>
    <w:rsid w:val="004B7C9A"/>
    <w:rsid w:val="004C6779"/>
    <w:rsid w:val="004D01EC"/>
    <w:rsid w:val="004D733B"/>
    <w:rsid w:val="004E0DC4"/>
    <w:rsid w:val="004E0FB5"/>
    <w:rsid w:val="004E43BB"/>
    <w:rsid w:val="004E460D"/>
    <w:rsid w:val="004F178E"/>
    <w:rsid w:val="004F4543"/>
    <w:rsid w:val="004F57BB"/>
    <w:rsid w:val="00500837"/>
    <w:rsid w:val="00505309"/>
    <w:rsid w:val="0050789B"/>
    <w:rsid w:val="00517315"/>
    <w:rsid w:val="005224A1"/>
    <w:rsid w:val="00534372"/>
    <w:rsid w:val="00535FEF"/>
    <w:rsid w:val="005370F0"/>
    <w:rsid w:val="00543DF8"/>
    <w:rsid w:val="00546101"/>
    <w:rsid w:val="00553364"/>
    <w:rsid w:val="00553DD7"/>
    <w:rsid w:val="005638CF"/>
    <w:rsid w:val="0056545D"/>
    <w:rsid w:val="0056741E"/>
    <w:rsid w:val="0057325A"/>
    <w:rsid w:val="0057469A"/>
    <w:rsid w:val="00580814"/>
    <w:rsid w:val="00583A0B"/>
    <w:rsid w:val="005A03A3"/>
    <w:rsid w:val="005A2B92"/>
    <w:rsid w:val="005A3F66"/>
    <w:rsid w:val="005A79E9"/>
    <w:rsid w:val="005B214C"/>
    <w:rsid w:val="005B4CDA"/>
    <w:rsid w:val="005D3669"/>
    <w:rsid w:val="005E5EB3"/>
    <w:rsid w:val="005F3CB6"/>
    <w:rsid w:val="005F657C"/>
    <w:rsid w:val="00602D53"/>
    <w:rsid w:val="006047E5"/>
    <w:rsid w:val="00606651"/>
    <w:rsid w:val="00633734"/>
    <w:rsid w:val="0064371D"/>
    <w:rsid w:val="00650543"/>
    <w:rsid w:val="00650B2A"/>
    <w:rsid w:val="00651777"/>
    <w:rsid w:val="006550F8"/>
    <w:rsid w:val="006829F3"/>
    <w:rsid w:val="006948A5"/>
    <w:rsid w:val="006A518B"/>
    <w:rsid w:val="006B0590"/>
    <w:rsid w:val="006B1C5F"/>
    <w:rsid w:val="006B49DA"/>
    <w:rsid w:val="006C53F8"/>
    <w:rsid w:val="006C7CDE"/>
    <w:rsid w:val="007234B1"/>
    <w:rsid w:val="00723D08"/>
    <w:rsid w:val="00725FDA"/>
    <w:rsid w:val="00727816"/>
    <w:rsid w:val="00730B9A"/>
    <w:rsid w:val="00750CFA"/>
    <w:rsid w:val="007553DA"/>
    <w:rsid w:val="00775DB8"/>
    <w:rsid w:val="00782354"/>
    <w:rsid w:val="007921A7"/>
    <w:rsid w:val="007B3DB1"/>
    <w:rsid w:val="007B5DAE"/>
    <w:rsid w:val="007D183E"/>
    <w:rsid w:val="007D43D0"/>
    <w:rsid w:val="007E1833"/>
    <w:rsid w:val="007E3F13"/>
    <w:rsid w:val="007F6627"/>
    <w:rsid w:val="007F751A"/>
    <w:rsid w:val="00800012"/>
    <w:rsid w:val="0080261F"/>
    <w:rsid w:val="00805A02"/>
    <w:rsid w:val="00806160"/>
    <w:rsid w:val="008143A4"/>
    <w:rsid w:val="0081513E"/>
    <w:rsid w:val="00854131"/>
    <w:rsid w:val="0085652D"/>
    <w:rsid w:val="0087694B"/>
    <w:rsid w:val="00880F4D"/>
    <w:rsid w:val="008B35A3"/>
    <w:rsid w:val="008B37E1"/>
    <w:rsid w:val="008B45F8"/>
    <w:rsid w:val="008C2E74"/>
    <w:rsid w:val="008D5409"/>
    <w:rsid w:val="008D6955"/>
    <w:rsid w:val="008E006D"/>
    <w:rsid w:val="008E38B4"/>
    <w:rsid w:val="008F4F21"/>
    <w:rsid w:val="00904D4A"/>
    <w:rsid w:val="009076D7"/>
    <w:rsid w:val="00912DAB"/>
    <w:rsid w:val="009151BA"/>
    <w:rsid w:val="00925023"/>
    <w:rsid w:val="009277BC"/>
    <w:rsid w:val="00927D57"/>
    <w:rsid w:val="00931A51"/>
    <w:rsid w:val="00947185"/>
    <w:rsid w:val="009518B3"/>
    <w:rsid w:val="00963D9D"/>
    <w:rsid w:val="0098013E"/>
    <w:rsid w:val="00981B54"/>
    <w:rsid w:val="009842C3"/>
    <w:rsid w:val="009A009A"/>
    <w:rsid w:val="009A6BB6"/>
    <w:rsid w:val="009B3F43"/>
    <w:rsid w:val="009B5CFA"/>
    <w:rsid w:val="009C161F"/>
    <w:rsid w:val="009C56B4"/>
    <w:rsid w:val="009D51A2"/>
    <w:rsid w:val="009D5C63"/>
    <w:rsid w:val="009D6F8D"/>
    <w:rsid w:val="009E04A8"/>
    <w:rsid w:val="009E4595"/>
    <w:rsid w:val="009E4AEC"/>
    <w:rsid w:val="009E5BD8"/>
    <w:rsid w:val="009E681E"/>
    <w:rsid w:val="00A026B1"/>
    <w:rsid w:val="00A119E6"/>
    <w:rsid w:val="00A20FBC"/>
    <w:rsid w:val="00A31370"/>
    <w:rsid w:val="00A34D6F"/>
    <w:rsid w:val="00A40BA1"/>
    <w:rsid w:val="00A41F91"/>
    <w:rsid w:val="00A63355"/>
    <w:rsid w:val="00A7596D"/>
    <w:rsid w:val="00A80EFE"/>
    <w:rsid w:val="00A963DF"/>
    <w:rsid w:val="00A96D3A"/>
    <w:rsid w:val="00AC0C22"/>
    <w:rsid w:val="00AC3896"/>
    <w:rsid w:val="00AD20AA"/>
    <w:rsid w:val="00AD2CF2"/>
    <w:rsid w:val="00AE2D88"/>
    <w:rsid w:val="00AE6F6F"/>
    <w:rsid w:val="00AF3325"/>
    <w:rsid w:val="00AF34D9"/>
    <w:rsid w:val="00AF5B37"/>
    <w:rsid w:val="00AF70DA"/>
    <w:rsid w:val="00B019D3"/>
    <w:rsid w:val="00B34CF9"/>
    <w:rsid w:val="00B37559"/>
    <w:rsid w:val="00B37958"/>
    <w:rsid w:val="00B4054B"/>
    <w:rsid w:val="00B46E40"/>
    <w:rsid w:val="00B55706"/>
    <w:rsid w:val="00B579B0"/>
    <w:rsid w:val="00B57D11"/>
    <w:rsid w:val="00B625E6"/>
    <w:rsid w:val="00B649D7"/>
    <w:rsid w:val="00B81C2F"/>
    <w:rsid w:val="00B90743"/>
    <w:rsid w:val="00B90C45"/>
    <w:rsid w:val="00B933BE"/>
    <w:rsid w:val="00BD6738"/>
    <w:rsid w:val="00BD7E5E"/>
    <w:rsid w:val="00BE63DB"/>
    <w:rsid w:val="00BE6574"/>
    <w:rsid w:val="00C07319"/>
    <w:rsid w:val="00C16FD2"/>
    <w:rsid w:val="00C368BF"/>
    <w:rsid w:val="00C4395E"/>
    <w:rsid w:val="00C47FFD"/>
    <w:rsid w:val="00C51E92"/>
    <w:rsid w:val="00C57E2C"/>
    <w:rsid w:val="00C608B7"/>
    <w:rsid w:val="00C66F24"/>
    <w:rsid w:val="00C76D7F"/>
    <w:rsid w:val="00C813AA"/>
    <w:rsid w:val="00C9291E"/>
    <w:rsid w:val="00CA3F44"/>
    <w:rsid w:val="00CA4E58"/>
    <w:rsid w:val="00CB3771"/>
    <w:rsid w:val="00CB44BF"/>
    <w:rsid w:val="00CB5153"/>
    <w:rsid w:val="00CB7307"/>
    <w:rsid w:val="00CC1E28"/>
    <w:rsid w:val="00CE076A"/>
    <w:rsid w:val="00CE463D"/>
    <w:rsid w:val="00CF7B6D"/>
    <w:rsid w:val="00D10BA0"/>
    <w:rsid w:val="00D21694"/>
    <w:rsid w:val="00D239B4"/>
    <w:rsid w:val="00D24EB5"/>
    <w:rsid w:val="00D35AB9"/>
    <w:rsid w:val="00D41571"/>
    <w:rsid w:val="00D416A0"/>
    <w:rsid w:val="00D47672"/>
    <w:rsid w:val="00D5123C"/>
    <w:rsid w:val="00D55560"/>
    <w:rsid w:val="00D61C5A"/>
    <w:rsid w:val="00D63BFF"/>
    <w:rsid w:val="00D6790C"/>
    <w:rsid w:val="00D73277"/>
    <w:rsid w:val="00D76586"/>
    <w:rsid w:val="00D82657"/>
    <w:rsid w:val="00D87E20"/>
    <w:rsid w:val="00D97EF5"/>
    <w:rsid w:val="00DA4037"/>
    <w:rsid w:val="00DE66A5"/>
    <w:rsid w:val="00DF2B50"/>
    <w:rsid w:val="00E01059"/>
    <w:rsid w:val="00E04C86"/>
    <w:rsid w:val="00E17344"/>
    <w:rsid w:val="00E20F30"/>
    <w:rsid w:val="00E2189C"/>
    <w:rsid w:val="00E25BB1"/>
    <w:rsid w:val="00E27BBA"/>
    <w:rsid w:val="00E30E3F"/>
    <w:rsid w:val="00E35E8F"/>
    <w:rsid w:val="00E428AB"/>
    <w:rsid w:val="00E438E8"/>
    <w:rsid w:val="00E453A3"/>
    <w:rsid w:val="00E520E2"/>
    <w:rsid w:val="00E530C4"/>
    <w:rsid w:val="00E53DCE"/>
    <w:rsid w:val="00E55996"/>
    <w:rsid w:val="00E64254"/>
    <w:rsid w:val="00E67928"/>
    <w:rsid w:val="00E70FB5"/>
    <w:rsid w:val="00E915AF"/>
    <w:rsid w:val="00E96415"/>
    <w:rsid w:val="00EA15B3"/>
    <w:rsid w:val="00EB2358"/>
    <w:rsid w:val="00EB3EB8"/>
    <w:rsid w:val="00EB6DFB"/>
    <w:rsid w:val="00EC00EF"/>
    <w:rsid w:val="00EC02FE"/>
    <w:rsid w:val="00EC074C"/>
    <w:rsid w:val="00EC4A96"/>
    <w:rsid w:val="00EE03A0"/>
    <w:rsid w:val="00F01BF5"/>
    <w:rsid w:val="00F036CF"/>
    <w:rsid w:val="00F424BF"/>
    <w:rsid w:val="00F44FC3"/>
    <w:rsid w:val="00F46107"/>
    <w:rsid w:val="00F468C5"/>
    <w:rsid w:val="00F52F39"/>
    <w:rsid w:val="00F6184F"/>
    <w:rsid w:val="00F8310E"/>
    <w:rsid w:val="00F873BE"/>
    <w:rsid w:val="00F914DD"/>
    <w:rsid w:val="00FA2358"/>
    <w:rsid w:val="00FB2592"/>
    <w:rsid w:val="00FB2810"/>
    <w:rsid w:val="00FB7102"/>
    <w:rsid w:val="00FB7A2C"/>
    <w:rsid w:val="00FC2947"/>
    <w:rsid w:val="00FD03C3"/>
    <w:rsid w:val="00FE0818"/>
    <w:rsid w:val="00FE37E7"/>
    <w:rsid w:val="00FE4822"/>
    <w:rsid w:val="00FE6FB1"/>
    <w:rsid w:val="00FE7B29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BFE2BB"/>
  <w15:docId w15:val="{540A99F6-8275-4534-8B63-70D0CB54E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5F47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jc w:val="both"/>
      <w:textAlignment w:val="baseline"/>
    </w:pPr>
    <w:rPr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4326DB"/>
    <w:pPr>
      <w:keepNext/>
      <w:keepLines/>
      <w:spacing w:before="600" w:line="320" w:lineRule="exact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4326DB"/>
    <w:pPr>
      <w:spacing w:before="360"/>
      <w:outlineLvl w:val="1"/>
    </w:pPr>
  </w:style>
  <w:style w:type="paragraph" w:styleId="Heading3">
    <w:name w:val="heading 3"/>
    <w:basedOn w:val="Heading1"/>
    <w:next w:val="Normal"/>
    <w:qFormat/>
    <w:rsid w:val="004326DB"/>
    <w:pPr>
      <w:spacing w:before="240"/>
      <w:outlineLvl w:val="2"/>
    </w:pPr>
  </w:style>
  <w:style w:type="paragraph" w:styleId="Heading4">
    <w:name w:val="heading 4"/>
    <w:basedOn w:val="Heading3"/>
    <w:next w:val="Normal"/>
    <w:qFormat/>
    <w:rsid w:val="004326D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4326DB"/>
    <w:pPr>
      <w:outlineLvl w:val="4"/>
    </w:pPr>
  </w:style>
  <w:style w:type="paragraph" w:styleId="Heading6">
    <w:name w:val="heading 6"/>
    <w:basedOn w:val="Heading4"/>
    <w:next w:val="Normal"/>
    <w:qFormat/>
    <w:rsid w:val="004326D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4326DB"/>
    <w:pPr>
      <w:outlineLvl w:val="6"/>
    </w:pPr>
  </w:style>
  <w:style w:type="paragraph" w:styleId="Heading8">
    <w:name w:val="heading 8"/>
    <w:basedOn w:val="Heading6"/>
    <w:next w:val="Normal"/>
    <w:qFormat/>
    <w:rsid w:val="004326DB"/>
    <w:pPr>
      <w:outlineLvl w:val="7"/>
    </w:pPr>
  </w:style>
  <w:style w:type="paragraph" w:styleId="Heading9">
    <w:name w:val="heading 9"/>
    <w:basedOn w:val="Heading6"/>
    <w:next w:val="Normal"/>
    <w:qFormat/>
    <w:rsid w:val="004326D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4326DB"/>
  </w:style>
  <w:style w:type="paragraph" w:styleId="TOC4">
    <w:name w:val="toc 4"/>
    <w:basedOn w:val="TOC3"/>
    <w:semiHidden/>
    <w:rsid w:val="004326DB"/>
  </w:style>
  <w:style w:type="paragraph" w:styleId="TOC3">
    <w:name w:val="toc 3"/>
    <w:basedOn w:val="TOC2"/>
    <w:semiHidden/>
    <w:rsid w:val="004326DB"/>
  </w:style>
  <w:style w:type="paragraph" w:styleId="TOC2">
    <w:name w:val="toc 2"/>
    <w:basedOn w:val="TOC1"/>
    <w:semiHidden/>
    <w:rsid w:val="004326DB"/>
    <w:pPr>
      <w:spacing w:before="80"/>
      <w:ind w:left="1531" w:hanging="851"/>
    </w:pPr>
  </w:style>
  <w:style w:type="paragraph" w:styleId="TOC1">
    <w:name w:val="toc 1"/>
    <w:basedOn w:val="Normal"/>
    <w:semiHidden/>
    <w:rsid w:val="004326DB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ind w:left="680" w:right="851" w:hanging="680"/>
      <w:jc w:val="left"/>
    </w:pPr>
  </w:style>
  <w:style w:type="paragraph" w:styleId="TOC7">
    <w:name w:val="toc 7"/>
    <w:basedOn w:val="TOC4"/>
    <w:semiHidden/>
    <w:rsid w:val="004326DB"/>
  </w:style>
  <w:style w:type="paragraph" w:styleId="TOC6">
    <w:name w:val="toc 6"/>
    <w:basedOn w:val="TOC4"/>
    <w:semiHidden/>
    <w:rsid w:val="004326DB"/>
  </w:style>
  <w:style w:type="paragraph" w:styleId="TOC5">
    <w:name w:val="toc 5"/>
    <w:basedOn w:val="TOC4"/>
    <w:semiHidden/>
    <w:rsid w:val="004326DB"/>
  </w:style>
  <w:style w:type="paragraph" w:styleId="Footer">
    <w:name w:val="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paragraph" w:styleId="Header">
    <w:name w:val="header"/>
    <w:aliases w:val="encabezado,header odd,header odd1,header odd2,header,header odd3,header odd4,header odd5,header odd6,header1,header2,header3,header odd11,header odd21,header odd7,header4,header odd8,header odd9,header5,header odd12,header11,header21,ho,first,he"/>
    <w:basedOn w:val="Normal"/>
    <w:link w:val="HeaderChar"/>
    <w:rsid w:val="00235A29"/>
    <w:pPr>
      <w:tabs>
        <w:tab w:val="clear" w:pos="1191"/>
        <w:tab w:val="clear" w:pos="1588"/>
        <w:tab w:val="clear" w:pos="1985"/>
        <w:tab w:val="center" w:pos="4820"/>
        <w:tab w:val="center" w:pos="9639"/>
      </w:tabs>
      <w:spacing w:before="0"/>
      <w:jc w:val="left"/>
    </w:pPr>
  </w:style>
  <w:style w:type="character" w:styleId="FootnoteReference">
    <w:name w:val="footnote reference"/>
    <w:basedOn w:val="DefaultParagraphFont"/>
    <w:semiHidden/>
    <w:rsid w:val="004326DB"/>
    <w:rPr>
      <w:position w:val="6"/>
      <w:sz w:val="18"/>
    </w:rPr>
  </w:style>
  <w:style w:type="paragraph" w:styleId="FootnoteText">
    <w:name w:val="footnote text"/>
    <w:basedOn w:val="Note"/>
    <w:semiHidden/>
    <w:rsid w:val="004326DB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4326DB"/>
    <w:pPr>
      <w:spacing w:before="80" w:line="240" w:lineRule="exact"/>
    </w:pPr>
    <w:rPr>
      <w:sz w:val="20"/>
    </w:rPr>
  </w:style>
  <w:style w:type="paragraph" w:customStyle="1" w:styleId="enumlev1">
    <w:name w:val="enumlev1"/>
    <w:basedOn w:val="Normal"/>
    <w:rsid w:val="004326DB"/>
    <w:pPr>
      <w:spacing w:before="80"/>
      <w:ind w:left="794" w:hanging="794"/>
    </w:pPr>
  </w:style>
  <w:style w:type="paragraph" w:customStyle="1" w:styleId="enumlev2">
    <w:name w:val="enumlev2"/>
    <w:basedOn w:val="enumlev1"/>
    <w:rsid w:val="004326DB"/>
    <w:pPr>
      <w:ind w:left="1191" w:hanging="397"/>
    </w:pPr>
  </w:style>
  <w:style w:type="paragraph" w:customStyle="1" w:styleId="enumlev3">
    <w:name w:val="enumlev3"/>
    <w:basedOn w:val="enumlev2"/>
    <w:rsid w:val="004326DB"/>
    <w:pPr>
      <w:ind w:left="1588"/>
    </w:pPr>
  </w:style>
  <w:style w:type="paragraph" w:customStyle="1" w:styleId="Equation">
    <w:name w:val="Equation"/>
    <w:basedOn w:val="Normal"/>
    <w:rsid w:val="004326DB"/>
    <w:pPr>
      <w:tabs>
        <w:tab w:val="clear" w:pos="1191"/>
        <w:tab w:val="clear" w:pos="1588"/>
        <w:tab w:val="clear" w:pos="1985"/>
        <w:tab w:val="center" w:pos="4820"/>
        <w:tab w:val="right" w:pos="9639"/>
      </w:tabs>
      <w:jc w:val="left"/>
    </w:pPr>
  </w:style>
  <w:style w:type="paragraph" w:customStyle="1" w:styleId="toc0">
    <w:name w:val="toc 0"/>
    <w:basedOn w:val="Normal"/>
    <w:next w:val="TOC1"/>
    <w:rsid w:val="004326DB"/>
    <w:pPr>
      <w:keepLines/>
      <w:tabs>
        <w:tab w:val="clear" w:pos="794"/>
        <w:tab w:val="clear" w:pos="1191"/>
        <w:tab w:val="clear" w:pos="1588"/>
        <w:tab w:val="clear" w:pos="1985"/>
        <w:tab w:val="right" w:pos="9639"/>
      </w:tabs>
      <w:jc w:val="left"/>
    </w:pPr>
    <w:rPr>
      <w:b/>
    </w:rPr>
  </w:style>
  <w:style w:type="paragraph" w:customStyle="1" w:styleId="ASN1">
    <w:name w:val="ASN.1"/>
    <w:rsid w:val="004326D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TOC3"/>
    <w:semiHidden/>
    <w:rsid w:val="004326DB"/>
  </w:style>
  <w:style w:type="paragraph" w:customStyle="1" w:styleId="Chaptitle">
    <w:name w:val="Chap_titl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rsid w:val="004326DB"/>
    <w:pPr>
      <w:spacing w:before="400"/>
    </w:pPr>
  </w:style>
  <w:style w:type="character" w:styleId="PageNumber">
    <w:name w:val="page number"/>
    <w:basedOn w:val="DefaultParagraphFont"/>
    <w:rsid w:val="004326DB"/>
  </w:style>
  <w:style w:type="paragraph" w:customStyle="1" w:styleId="Reftitle">
    <w:name w:val="Ref_title"/>
    <w:basedOn w:val="Normal"/>
    <w:next w:val="Reftext"/>
    <w:rsid w:val="004326DB"/>
    <w:pPr>
      <w:spacing w:before="480"/>
      <w:jc w:val="center"/>
    </w:pPr>
    <w:rPr>
      <w:b/>
    </w:rPr>
  </w:style>
  <w:style w:type="paragraph" w:customStyle="1" w:styleId="Reftext">
    <w:name w:val="Ref_text"/>
    <w:basedOn w:val="Normal"/>
    <w:rsid w:val="004326DB"/>
    <w:pPr>
      <w:ind w:left="794" w:hanging="794"/>
      <w:jc w:val="left"/>
    </w:pPr>
  </w:style>
  <w:style w:type="paragraph" w:styleId="Index1">
    <w:name w:val="index 1"/>
    <w:basedOn w:val="Normal"/>
    <w:next w:val="Normal"/>
    <w:semiHidden/>
    <w:rsid w:val="004326DB"/>
    <w:pPr>
      <w:jc w:val="left"/>
    </w:pPr>
  </w:style>
  <w:style w:type="paragraph" w:customStyle="1" w:styleId="Formal">
    <w:name w:val="Formal"/>
    <w:basedOn w:val="ASN1"/>
    <w:rsid w:val="004326DB"/>
    <w:rPr>
      <w:b w:val="0"/>
    </w:rPr>
  </w:style>
  <w:style w:type="paragraph" w:customStyle="1" w:styleId="AnnexNoTitle">
    <w:name w:val="Annex_NoTitle"/>
    <w:basedOn w:val="Normal"/>
    <w:next w:val="Normalaftertitle"/>
    <w:link w:val="AnnexNoTitleChar"/>
    <w:rsid w:val="004326DB"/>
    <w:pPr>
      <w:keepNext/>
      <w:keepLines/>
      <w:spacing w:before="720" w:after="120"/>
      <w:jc w:val="center"/>
    </w:pPr>
    <w:rPr>
      <w:b/>
    </w:rPr>
  </w:style>
  <w:style w:type="paragraph" w:customStyle="1" w:styleId="AppendixNoTitle">
    <w:name w:val="Appendix_NoTitle"/>
    <w:basedOn w:val="AnnexNoTitle"/>
    <w:next w:val="Normalaftertitle"/>
    <w:rsid w:val="004326DB"/>
  </w:style>
  <w:style w:type="paragraph" w:customStyle="1" w:styleId="Artheading">
    <w:name w:val="Art_heading"/>
    <w:basedOn w:val="Normal"/>
    <w:next w:val="Normalaftertitle"/>
    <w:rsid w:val="004326D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4326D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4326DB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4326DB"/>
    <w:pPr>
      <w:keepNext/>
      <w:keepLines/>
      <w:spacing w:before="240"/>
      <w:ind w:left="794"/>
      <w:jc w:val="left"/>
    </w:pPr>
    <w:rPr>
      <w:i/>
    </w:rPr>
  </w:style>
  <w:style w:type="paragraph" w:customStyle="1" w:styleId="ChapNo">
    <w:name w:val="Chap_No"/>
    <w:basedOn w:val="Normal"/>
    <w:next w:val="Chap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720" w:line="320" w:lineRule="exact"/>
      <w:jc w:val="center"/>
    </w:pPr>
    <w:rPr>
      <w:b/>
      <w:sz w:val="28"/>
    </w:rPr>
  </w:style>
  <w:style w:type="paragraph" w:customStyle="1" w:styleId="Equationlegend">
    <w:name w:val="Equation_legend"/>
    <w:basedOn w:val="Normal"/>
    <w:rsid w:val="004326DB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  <w:jc w:val="left"/>
    </w:pPr>
    <w:rPr>
      <w:sz w:val="18"/>
    </w:rPr>
  </w:style>
  <w:style w:type="paragraph" w:customStyle="1" w:styleId="Figure">
    <w:name w:val="Figure"/>
    <w:basedOn w:val="Normal"/>
    <w:next w:val="FigureNoTitle"/>
    <w:rsid w:val="004326DB"/>
    <w:pPr>
      <w:keepNext/>
      <w:keepLines/>
      <w:spacing w:before="240" w:after="120" w:line="240" w:lineRule="auto"/>
      <w:jc w:val="center"/>
    </w:pPr>
  </w:style>
  <w:style w:type="paragraph" w:customStyle="1" w:styleId="FigureNoTitle">
    <w:name w:val="Figure_NoTitle"/>
    <w:basedOn w:val="Normal"/>
    <w:next w:val="Normalaftertitle"/>
    <w:rsid w:val="004326DB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4326DB"/>
    <w:pPr>
      <w:keepLines/>
      <w:spacing w:before="240" w:after="120"/>
      <w:jc w:val="center"/>
    </w:pPr>
  </w:style>
  <w:style w:type="paragraph" w:customStyle="1" w:styleId="FirstFooter">
    <w:name w:val="First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jc w:val="left"/>
      <w:textAlignment w:val="auto"/>
    </w:pPr>
    <w:rPr>
      <w:sz w:val="16"/>
    </w:rPr>
  </w:style>
  <w:style w:type="paragraph" w:customStyle="1" w:styleId="FooterQP">
    <w:name w:val="Footer_QP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  <w:jc w:val="left"/>
    </w:pPr>
    <w:rPr>
      <w:b/>
    </w:rPr>
  </w:style>
  <w:style w:type="paragraph" w:customStyle="1" w:styleId="Headingb">
    <w:name w:val="Heading_b"/>
    <w:basedOn w:val="Normal"/>
    <w:next w:val="Normal"/>
    <w:rsid w:val="004326DB"/>
    <w:pPr>
      <w:keepNext/>
      <w:spacing w:before="240"/>
      <w:ind w:left="794" w:hanging="794"/>
    </w:pPr>
    <w:rPr>
      <w:b/>
    </w:rPr>
  </w:style>
  <w:style w:type="paragraph" w:customStyle="1" w:styleId="Headingi">
    <w:name w:val="Heading_i"/>
    <w:basedOn w:val="Normal"/>
    <w:next w:val="Normal"/>
    <w:rsid w:val="004326DB"/>
    <w:pPr>
      <w:keepNext/>
      <w:spacing w:before="240"/>
      <w:jc w:val="left"/>
    </w:pPr>
    <w:rPr>
      <w:i/>
    </w:rPr>
  </w:style>
  <w:style w:type="paragraph" w:styleId="Index2">
    <w:name w:val="index 2"/>
    <w:basedOn w:val="Normal"/>
    <w:next w:val="Normal"/>
    <w:semiHidden/>
    <w:rsid w:val="004326DB"/>
    <w:pPr>
      <w:ind w:left="284"/>
      <w:jc w:val="left"/>
    </w:pPr>
  </w:style>
  <w:style w:type="paragraph" w:styleId="Index3">
    <w:name w:val="index 3"/>
    <w:basedOn w:val="Normal"/>
    <w:next w:val="Normal"/>
    <w:semiHidden/>
    <w:rsid w:val="004326DB"/>
    <w:pPr>
      <w:ind w:left="567"/>
      <w:jc w:val="left"/>
    </w:pPr>
  </w:style>
  <w:style w:type="paragraph" w:customStyle="1" w:styleId="PartNo">
    <w:name w:val="Part_No"/>
    <w:basedOn w:val="Normal"/>
    <w:next w:val="Partref"/>
    <w:rsid w:val="004326DB"/>
    <w:pPr>
      <w:keepNext/>
      <w:keepLines/>
      <w:spacing w:before="480" w:after="80"/>
    </w:pPr>
    <w:rPr>
      <w:caps/>
    </w:rPr>
  </w:style>
  <w:style w:type="paragraph" w:customStyle="1" w:styleId="Partref">
    <w:name w:val="Part_ref"/>
    <w:basedOn w:val="Normal"/>
    <w:next w:val="Parttitle"/>
    <w:rsid w:val="004326DB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4326DB"/>
    <w:pPr>
      <w:keepNext/>
      <w:keepLines/>
      <w:spacing w:before="240" w:after="280" w:line="320" w:lineRule="exact"/>
      <w:jc w:val="center"/>
    </w:pPr>
    <w:rPr>
      <w:b/>
    </w:rPr>
  </w:style>
  <w:style w:type="paragraph" w:customStyle="1" w:styleId="Recdate">
    <w:name w:val="Rec_dat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4326DB"/>
  </w:style>
  <w:style w:type="paragraph" w:customStyle="1" w:styleId="RecNo">
    <w:name w:val="Rec_No"/>
    <w:basedOn w:val="Normal"/>
    <w:next w:val="Rectitle"/>
    <w:rsid w:val="004326DB"/>
    <w:pPr>
      <w:keepNext/>
      <w:keepLines/>
      <w:spacing w:before="0"/>
      <w:jc w:val="left"/>
    </w:pPr>
    <w:rPr>
      <w:b/>
      <w:sz w:val="28"/>
    </w:rPr>
  </w:style>
  <w:style w:type="paragraph" w:customStyle="1" w:styleId="Rectitle">
    <w:name w:val="Rec_title"/>
    <w:basedOn w:val="Normal"/>
    <w:next w:val="Normalaftertitle"/>
    <w:link w:val="RectitleChar"/>
    <w:rsid w:val="004326DB"/>
    <w:pPr>
      <w:keepNext/>
      <w:keepLines/>
      <w:spacing w:before="360" w:line="240" w:lineRule="auto"/>
      <w:jc w:val="center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4326DB"/>
  </w:style>
  <w:style w:type="paragraph" w:customStyle="1" w:styleId="Questiontitle">
    <w:name w:val="Question_title"/>
    <w:basedOn w:val="Rectitle"/>
    <w:next w:val="Questionref"/>
    <w:rsid w:val="004326DB"/>
  </w:style>
  <w:style w:type="paragraph" w:customStyle="1" w:styleId="Questionref">
    <w:name w:val="Question_ref"/>
    <w:basedOn w:val="Recref"/>
    <w:next w:val="Questiondate"/>
    <w:rsid w:val="004326DB"/>
  </w:style>
  <w:style w:type="paragraph" w:customStyle="1" w:styleId="Recref">
    <w:name w:val="Rec_ref"/>
    <w:basedOn w:val="Normal"/>
    <w:next w:val="Recdat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pdate">
    <w:name w:val="Rep_date"/>
    <w:basedOn w:val="Recdate"/>
    <w:next w:val="Normalaftertitle"/>
    <w:rsid w:val="004326DB"/>
  </w:style>
  <w:style w:type="paragraph" w:customStyle="1" w:styleId="RepNo">
    <w:name w:val="Rep_No"/>
    <w:basedOn w:val="RecNo"/>
    <w:next w:val="Reptitle"/>
    <w:rsid w:val="004326DB"/>
  </w:style>
  <w:style w:type="paragraph" w:customStyle="1" w:styleId="Reptitle">
    <w:name w:val="Rep_title"/>
    <w:basedOn w:val="Rectitle"/>
    <w:next w:val="Repref"/>
    <w:rsid w:val="004326DB"/>
  </w:style>
  <w:style w:type="paragraph" w:customStyle="1" w:styleId="Repref">
    <w:name w:val="Rep_ref"/>
    <w:basedOn w:val="Recref"/>
    <w:next w:val="Repdate"/>
    <w:rsid w:val="004326DB"/>
  </w:style>
  <w:style w:type="paragraph" w:customStyle="1" w:styleId="Resdate">
    <w:name w:val="Res_date"/>
    <w:basedOn w:val="Recdate"/>
    <w:next w:val="Normalaftertitle"/>
    <w:rsid w:val="004326DB"/>
  </w:style>
  <w:style w:type="paragraph" w:customStyle="1" w:styleId="ResNo">
    <w:name w:val="Res_No"/>
    <w:basedOn w:val="RecNo"/>
    <w:next w:val="Restitle"/>
    <w:rsid w:val="004326DB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 w:val="0"/>
      <w:caps/>
    </w:rPr>
  </w:style>
  <w:style w:type="paragraph" w:customStyle="1" w:styleId="Restitle">
    <w:name w:val="Res_title"/>
    <w:basedOn w:val="Rectitle"/>
    <w:next w:val="Resref"/>
    <w:rsid w:val="004326DB"/>
  </w:style>
  <w:style w:type="paragraph" w:customStyle="1" w:styleId="Resref">
    <w:name w:val="Res_ref"/>
    <w:basedOn w:val="Recref"/>
    <w:next w:val="Resdate"/>
    <w:rsid w:val="004326DB"/>
  </w:style>
  <w:style w:type="paragraph" w:customStyle="1" w:styleId="SectionNo">
    <w:name w:val="Section_No"/>
    <w:basedOn w:val="Normal"/>
    <w:next w:val="Sectiontitle"/>
    <w:rsid w:val="004326DB"/>
    <w:pPr>
      <w:keepNext/>
      <w:keepLines/>
      <w:spacing w:before="720" w:line="320" w:lineRule="exact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4326DB"/>
    <w:pPr>
      <w:keepNext/>
      <w:keepLines/>
      <w:spacing w:before="360" w:after="120" w:line="320" w:lineRule="exact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4326DB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spacing w:before="0"/>
    </w:pPr>
    <w:rPr>
      <w:sz w:val="16"/>
    </w:rPr>
  </w:style>
  <w:style w:type="paragraph" w:customStyle="1" w:styleId="Tablehead">
    <w:name w:val="Table_head"/>
    <w:basedOn w:val="Normal"/>
    <w:next w:val="Tabletext"/>
    <w:rsid w:val="004326DB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 w:line="240" w:lineRule="auto"/>
      <w:jc w:val="center"/>
    </w:pPr>
    <w:rPr>
      <w:b/>
      <w:sz w:val="20"/>
    </w:rPr>
  </w:style>
  <w:style w:type="paragraph" w:customStyle="1" w:styleId="Tabletext">
    <w:name w:val="Table_text"/>
    <w:basedOn w:val="Normal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 w:line="240" w:lineRule="auto"/>
      <w:jc w:val="left"/>
    </w:pPr>
    <w:rPr>
      <w:sz w:val="20"/>
    </w:rPr>
  </w:style>
  <w:style w:type="paragraph" w:customStyle="1" w:styleId="Tablelegend">
    <w:name w:val="Table_legend"/>
    <w:basedOn w:val="Normal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</w:style>
  <w:style w:type="paragraph" w:customStyle="1" w:styleId="TableNoTitle">
    <w:name w:val="Table_NoTitle"/>
    <w:basedOn w:val="Normal"/>
    <w:next w:val="Tablehead"/>
    <w:rsid w:val="004326DB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4326DB"/>
  </w:style>
  <w:style w:type="paragraph" w:customStyle="1" w:styleId="Title3">
    <w:name w:val="Title 3"/>
    <w:basedOn w:val="Title2"/>
    <w:next w:val="Title4"/>
    <w:rsid w:val="004326DB"/>
    <w:rPr>
      <w:caps w:val="0"/>
    </w:rPr>
  </w:style>
  <w:style w:type="paragraph" w:customStyle="1" w:styleId="Title4">
    <w:name w:val="Title 4"/>
    <w:basedOn w:val="Title3"/>
    <w:next w:val="Heading1"/>
    <w:rsid w:val="004326DB"/>
    <w:rPr>
      <w:b/>
    </w:rPr>
  </w:style>
  <w:style w:type="paragraph" w:customStyle="1" w:styleId="Section1">
    <w:name w:val="Section_1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basedOn w:val="DefaultParagraphFont"/>
    <w:uiPriority w:val="99"/>
    <w:rsid w:val="004326DB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4326DB"/>
    <w:rPr>
      <w:sz w:val="16"/>
      <w:szCs w:val="16"/>
    </w:rPr>
  </w:style>
  <w:style w:type="paragraph" w:styleId="CommentText">
    <w:name w:val="annotation text"/>
    <w:basedOn w:val="Normal"/>
    <w:semiHidden/>
    <w:rsid w:val="004326DB"/>
    <w:rPr>
      <w:sz w:val="20"/>
    </w:rPr>
  </w:style>
  <w:style w:type="character" w:customStyle="1" w:styleId="href">
    <w:name w:val="href"/>
    <w:basedOn w:val="DefaultParagraphFont"/>
    <w:rsid w:val="004326DB"/>
  </w:style>
  <w:style w:type="paragraph" w:customStyle="1" w:styleId="NormalIndent">
    <w:name w:val="Normal_Indent"/>
    <w:basedOn w:val="Normal"/>
    <w:rsid w:val="004326DB"/>
    <w:pPr>
      <w:tabs>
        <w:tab w:val="clear" w:pos="1191"/>
        <w:tab w:val="clear" w:pos="1588"/>
        <w:tab w:val="clear" w:pos="1985"/>
        <w:tab w:val="left" w:pos="2693"/>
        <w:tab w:val="left" w:pos="7655"/>
      </w:tabs>
      <w:spacing w:before="120"/>
      <w:ind w:left="794"/>
      <w:jc w:val="left"/>
    </w:pPr>
  </w:style>
  <w:style w:type="paragraph" w:customStyle="1" w:styleId="Origin">
    <w:name w:val="Origin"/>
    <w:basedOn w:val="Normal"/>
    <w:rsid w:val="00EA15B3"/>
    <w:pPr>
      <w:spacing w:before="600" w:line="312" w:lineRule="auto"/>
      <w:jc w:val="left"/>
    </w:pPr>
    <w:rPr>
      <w:rFonts w:ascii="Arial" w:eastAsia="SimSun" w:hAnsi="Arial" w:cs="Simplified Arabic"/>
      <w:b/>
      <w:color w:val="808080"/>
      <w:sz w:val="26"/>
      <w:lang w:val="en-GB"/>
    </w:rPr>
  </w:style>
  <w:style w:type="paragraph" w:styleId="BalloonText">
    <w:name w:val="Balloon Text"/>
    <w:basedOn w:val="Normal"/>
    <w:link w:val="BalloonTextChar"/>
    <w:rsid w:val="0080001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0012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31E6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031E64"/>
    <w:rPr>
      <w:rFonts w:eastAsia="SimSun"/>
      <w:sz w:val="22"/>
      <w:szCs w:val="22"/>
      <w:lang w:val="en-US"/>
    </w:rPr>
  </w:style>
  <w:style w:type="paragraph" w:customStyle="1" w:styleId="FromRef">
    <w:name w:val="FromRef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paragraph" w:customStyle="1" w:styleId="Object">
    <w:name w:val="Object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7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character" w:styleId="Strong">
    <w:name w:val="Strong"/>
    <w:basedOn w:val="DefaultParagraphFont"/>
    <w:uiPriority w:val="22"/>
    <w:qFormat/>
    <w:rsid w:val="009518B3"/>
    <w:rPr>
      <w:b/>
      <w:bCs/>
    </w:rPr>
  </w:style>
  <w:style w:type="paragraph" w:customStyle="1" w:styleId="FigureLegend0">
    <w:name w:val="Figure_Legend"/>
    <w:basedOn w:val="Normal"/>
    <w:rsid w:val="00A96D3A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 w:line="240" w:lineRule="auto"/>
      <w:jc w:val="left"/>
    </w:pPr>
    <w:rPr>
      <w:rFonts w:ascii="Times New Roman" w:hAnsi="Times New Roman" w:cs="Times New Roman"/>
      <w:sz w:val="18"/>
      <w:szCs w:val="20"/>
      <w:lang w:val="es-ES_tradnl"/>
    </w:rPr>
  </w:style>
  <w:style w:type="table" w:styleId="TableGrid">
    <w:name w:val="Table Grid"/>
    <w:basedOn w:val="TableNormal"/>
    <w:rsid w:val="009E4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70F0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ind w:left="720"/>
      <w:contextualSpacing/>
      <w:jc w:val="left"/>
      <w:textAlignment w:val="auto"/>
    </w:pPr>
    <w:rPr>
      <w:rFonts w:eastAsia="SimSun" w:cs="Times New Roman"/>
      <w:sz w:val="22"/>
      <w:lang w:eastAsia="zh-CN"/>
    </w:rPr>
  </w:style>
  <w:style w:type="character" w:customStyle="1" w:styleId="HeaderChar">
    <w:name w:val="Header Char"/>
    <w:aliases w:val="encabezado Char,header odd Char,header odd1 Char,header odd2 Char,header Char,header odd3 Char,header odd4 Char,header odd5 Char,header odd6 Char,header1 Char,header2 Char,header3 Char,header odd11 Char,header odd21 Char,header odd7 Char"/>
    <w:basedOn w:val="DefaultParagraphFont"/>
    <w:link w:val="Header"/>
    <w:qFormat/>
    <w:rsid w:val="001B3D4D"/>
    <w:rPr>
      <w:sz w:val="24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53E34"/>
    <w:rPr>
      <w:color w:val="605E5C"/>
      <w:shd w:val="clear" w:color="auto" w:fill="E1DFDD"/>
    </w:rPr>
  </w:style>
  <w:style w:type="paragraph" w:customStyle="1" w:styleId="Normalaftertitle0">
    <w:name w:val="Normal after title"/>
    <w:basedOn w:val="Normal"/>
    <w:next w:val="Normal"/>
    <w:link w:val="NormalaftertitleChar"/>
    <w:rsid w:val="00421D0E"/>
    <w:pPr>
      <w:overflowPunct/>
      <w:autoSpaceDE/>
      <w:autoSpaceDN/>
      <w:adjustRightInd/>
      <w:spacing w:before="320" w:line="240" w:lineRule="auto"/>
      <w:jc w:val="left"/>
      <w:textAlignment w:val="auto"/>
    </w:pPr>
    <w:rPr>
      <w:rFonts w:ascii="Times New Roman" w:hAnsi="Times New Roman" w:cs="Times New Roman"/>
      <w:szCs w:val="20"/>
      <w:lang w:val="en-GB"/>
    </w:rPr>
  </w:style>
  <w:style w:type="character" w:customStyle="1" w:styleId="NormalaftertitleChar">
    <w:name w:val="Normal after title Char"/>
    <w:basedOn w:val="DefaultParagraphFont"/>
    <w:link w:val="Normalaftertitle0"/>
    <w:rsid w:val="00421D0E"/>
    <w:rPr>
      <w:rFonts w:ascii="Times New Roman" w:hAnsi="Times New Roman" w:cs="Times New Roman"/>
      <w:sz w:val="24"/>
      <w:lang w:val="en-GB" w:eastAsia="en-US"/>
    </w:rPr>
  </w:style>
  <w:style w:type="character" w:customStyle="1" w:styleId="AnnexNoTitleChar">
    <w:name w:val="Annex_NoTitle Char"/>
    <w:basedOn w:val="DefaultParagraphFont"/>
    <w:link w:val="AnnexNoTitle"/>
    <w:locked/>
    <w:rsid w:val="00421D0E"/>
    <w:rPr>
      <w:b/>
      <w:sz w:val="24"/>
      <w:szCs w:val="22"/>
      <w:lang w:val="en-US" w:eastAsia="en-US"/>
    </w:rPr>
  </w:style>
  <w:style w:type="character" w:customStyle="1" w:styleId="RectitleChar">
    <w:name w:val="Rec_title Char"/>
    <w:link w:val="Rectitle"/>
    <w:rsid w:val="00421D0E"/>
    <w:rPr>
      <w:b/>
      <w:sz w:val="28"/>
      <w:szCs w:val="22"/>
      <w:lang w:val="en-US" w:eastAsia="en-US"/>
    </w:rPr>
  </w:style>
  <w:style w:type="paragraph" w:customStyle="1" w:styleId="Reasons">
    <w:name w:val="Reasons"/>
    <w:basedOn w:val="Normal"/>
    <w:qFormat/>
    <w:rsid w:val="00421D0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ascii="Times New Roman" w:hAnsi="Times New Roman" w:cs="Times New Roman"/>
      <w:szCs w:val="20"/>
    </w:rPr>
  </w:style>
  <w:style w:type="character" w:styleId="FollowedHyperlink">
    <w:name w:val="FollowedHyperlink"/>
    <w:basedOn w:val="DefaultParagraphFont"/>
    <w:semiHidden/>
    <w:unhideWhenUsed/>
    <w:rsid w:val="004D01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R00-CACE-CIR-1195/es" TargetMode="External"/><Relationship Id="rId13" Type="http://schemas.openxmlformats.org/officeDocument/2006/relationships/hyperlink" Target="https://www.itu.int/md/R23-SG01-C/es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tu.int/en/ITU-T/ipr/Pages/policy.aspx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es/ITU-T/ipr/Pages/policy.asp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itu.int/pub/R-RE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rsgd@itu.int" TargetMode="External"/><Relationship Id="rId14" Type="http://schemas.openxmlformats.org/officeDocument/2006/relationships/hyperlink" Target="https://www.itu.int/md/R23-SG01-C/en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brmail@itu.in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2387C-DC9E-461E-8AFA-8ECF22AA9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826</Words>
  <Characters>4713</Characters>
  <Application>Microsoft Office Word</Application>
  <DocSecurity>4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ITU Letter-Fax (English)</vt:lpstr>
      <vt:lpstr>ITU-T Rec. Book 1 Resolutions ITU-T Series A Recommendations:</vt:lpstr>
    </vt:vector>
  </TitlesOfParts>
  <Company>ITU</Company>
  <LinksUpToDate>false</LinksUpToDate>
  <CharactersWithSpaces>5528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Spanish</dc:creator>
  <cp:lastModifiedBy>Panoussopoulos, Sonia</cp:lastModifiedBy>
  <cp:revision>2</cp:revision>
  <cp:lastPrinted>2013-03-08T10:15:00Z</cp:lastPrinted>
  <dcterms:created xsi:type="dcterms:W3CDTF">2026-08-25T11:51:00Z</dcterms:created>
  <dcterms:modified xsi:type="dcterms:W3CDTF">2026-08-25T11:51:00Z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</Properties>
</file>