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5B5BB0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E3EE62C" w:rsidR="00E53DCE" w:rsidRPr="005B5BB0" w:rsidRDefault="00A96D3A" w:rsidP="00C147A9">
            <w:pPr>
              <w:spacing w:before="0"/>
              <w:rPr>
                <w:lang w:val="es-ES"/>
              </w:rPr>
            </w:pPr>
            <w:r w:rsidRPr="005B5BB0">
              <w:rPr>
                <w:lang w:val="es-ES"/>
              </w:rPr>
              <w:t>Circular Administrativa</w:t>
            </w:r>
          </w:p>
          <w:p w14:paraId="69D58805" w14:textId="1AE48953" w:rsidR="00E53DCE" w:rsidRPr="005B5BB0" w:rsidRDefault="001B3D4D" w:rsidP="00C147A9">
            <w:pPr>
              <w:spacing w:before="0"/>
              <w:rPr>
                <w:b/>
                <w:bCs/>
                <w:lang w:val="es-ES"/>
              </w:rPr>
            </w:pPr>
            <w:r w:rsidRPr="005B5BB0">
              <w:rPr>
                <w:b/>
                <w:bCs/>
                <w:lang w:val="es-ES"/>
              </w:rPr>
              <w:t>CACE/</w:t>
            </w:r>
            <w:r w:rsidR="005B5BB0" w:rsidRPr="005B5BB0">
              <w:rPr>
                <w:b/>
                <w:bCs/>
                <w:lang w:val="es-ES"/>
              </w:rPr>
              <w:t>1193</w:t>
            </w:r>
          </w:p>
        </w:tc>
        <w:tc>
          <w:tcPr>
            <w:tcW w:w="2835" w:type="dxa"/>
          </w:tcPr>
          <w:p w14:paraId="3FD01BE1" w14:textId="498080C3" w:rsidR="00E53DCE" w:rsidRPr="005B5BB0" w:rsidRDefault="00A96D3A" w:rsidP="00C147A9">
            <w:pPr>
              <w:spacing w:before="0"/>
              <w:jc w:val="right"/>
              <w:rPr>
                <w:lang w:val="es-ES"/>
              </w:rPr>
            </w:pPr>
            <w:r w:rsidRPr="005B5BB0">
              <w:rPr>
                <w:lang w:val="es-ES"/>
              </w:rPr>
              <w:t>1</w:t>
            </w:r>
            <w:r w:rsidR="005B5BB0" w:rsidRPr="005B5BB0">
              <w:rPr>
                <w:lang w:val="es-ES"/>
              </w:rPr>
              <w:t>7</w:t>
            </w:r>
            <w:r w:rsidRPr="005B5BB0">
              <w:rPr>
                <w:lang w:val="es-ES"/>
              </w:rPr>
              <w:t xml:space="preserve"> de </w:t>
            </w:r>
            <w:r w:rsidR="005B5BB0" w:rsidRPr="005B5BB0">
              <w:rPr>
                <w:lang w:val="es-ES"/>
              </w:rPr>
              <w:t>junio</w:t>
            </w:r>
            <w:r w:rsidRPr="005B5BB0">
              <w:rPr>
                <w:lang w:val="es-ES"/>
              </w:rPr>
              <w:t xml:space="preserve"> de 20</w:t>
            </w:r>
            <w:r w:rsidR="002B7EE0" w:rsidRPr="005B5BB0">
              <w:rPr>
                <w:lang w:val="es-ES"/>
              </w:rPr>
              <w:t>2</w:t>
            </w:r>
            <w:r w:rsidR="00AC1F25" w:rsidRPr="005B5BB0">
              <w:rPr>
                <w:lang w:val="es-ES"/>
              </w:rPr>
              <w:t>6</w:t>
            </w:r>
          </w:p>
        </w:tc>
      </w:tr>
      <w:tr w:rsidR="00E53DCE" w:rsidRPr="005B5BB0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5B5BB0" w:rsidRDefault="00E53DCE" w:rsidP="00C147A9">
            <w:pPr>
              <w:spacing w:before="0"/>
              <w:rPr>
                <w:lang w:val="es-ES"/>
              </w:rPr>
            </w:pPr>
          </w:p>
        </w:tc>
      </w:tr>
      <w:tr w:rsidR="00E53DCE" w:rsidRPr="005B5BB0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5B5BB0" w:rsidRDefault="00E53DCE" w:rsidP="00C147A9">
            <w:pPr>
              <w:spacing w:before="0"/>
              <w:rPr>
                <w:lang w:val="es-ES"/>
              </w:rPr>
            </w:pPr>
          </w:p>
        </w:tc>
      </w:tr>
      <w:tr w:rsidR="00E53DCE" w:rsidRPr="006C24D2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00E4FEF7" w:rsidR="00E53DCE" w:rsidRPr="005B5BB0" w:rsidRDefault="005B5BB0" w:rsidP="00586E4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5B5BB0">
              <w:rPr>
                <w:b/>
                <w:bCs/>
                <w:lang w:val="es-ES"/>
              </w:rPr>
              <w:t>A las Administraciones de los Estados Miembros de la</w:t>
            </w:r>
            <w:r w:rsidR="00144F04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UIT, a los Miembros del Sector de Radiocomunicaciones, a los Asociados del UIT-R y a las Instituciones Académicas de la</w:t>
            </w:r>
            <w:r w:rsidR="00144F04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UIT que participan en los trabajos de la Comisión de Estudio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6 de Radiocomunicaciones</w:t>
            </w:r>
          </w:p>
        </w:tc>
      </w:tr>
      <w:tr w:rsidR="00E53DCE" w:rsidRPr="006C24D2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5B5BB0" w:rsidRDefault="00E53DCE" w:rsidP="004973CE">
            <w:pPr>
              <w:spacing w:before="0"/>
              <w:rPr>
                <w:lang w:val="es-ES"/>
              </w:rPr>
            </w:pPr>
          </w:p>
        </w:tc>
      </w:tr>
      <w:tr w:rsidR="00E53DCE" w:rsidRPr="006C24D2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5B5BB0" w:rsidRDefault="00E53DCE" w:rsidP="004973CE">
            <w:pPr>
              <w:spacing w:before="0"/>
              <w:rPr>
                <w:lang w:val="es-ES"/>
              </w:rPr>
            </w:pPr>
          </w:p>
        </w:tc>
      </w:tr>
      <w:tr w:rsidR="00E53DCE" w:rsidRPr="006C24D2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5B5BB0" w:rsidRDefault="00311970" w:rsidP="004973CE">
            <w:pPr>
              <w:spacing w:before="0"/>
              <w:rPr>
                <w:lang w:val="es-ES"/>
              </w:rPr>
            </w:pPr>
            <w:r w:rsidRPr="005B5BB0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5CCFCDC9" w14:textId="3FB7FDD9" w:rsidR="005B5BB0" w:rsidRPr="005B5BB0" w:rsidRDefault="005B5BB0" w:rsidP="005B5BB0">
            <w:pPr>
              <w:spacing w:before="0"/>
              <w:rPr>
                <w:b/>
                <w:bCs/>
                <w:lang w:val="es-ES"/>
              </w:rPr>
            </w:pPr>
            <w:r w:rsidRPr="005B5BB0">
              <w:rPr>
                <w:b/>
                <w:bCs/>
                <w:lang w:val="es-ES"/>
              </w:rPr>
              <w:t>Comisión de Estudio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6 de Radiocomunicaciones (Servicio de radiodifusión)</w:t>
            </w:r>
          </w:p>
          <w:p w14:paraId="2B167BD3" w14:textId="77033030" w:rsidR="005B5BB0" w:rsidRPr="005B5BB0" w:rsidRDefault="005B5BB0" w:rsidP="00144F04">
            <w:pPr>
              <w:spacing w:before="40" w:after="40"/>
              <w:ind w:left="794" w:hanging="794"/>
              <w:jc w:val="left"/>
              <w:rPr>
                <w:b/>
                <w:bCs/>
                <w:lang w:val="es-ES"/>
              </w:rPr>
            </w:pPr>
            <w:r w:rsidRPr="005B5BB0">
              <w:rPr>
                <w:b/>
                <w:bCs/>
                <w:lang w:val="es-ES"/>
              </w:rPr>
              <w:t>–</w:t>
            </w:r>
            <w:r w:rsidRPr="005B5BB0">
              <w:rPr>
                <w:b/>
                <w:bCs/>
                <w:lang w:val="es-ES"/>
              </w:rPr>
              <w:tab/>
              <w:t>Adopción de 1 Recomendación UIT</w:t>
            </w:r>
            <w:r w:rsidR="00586E4B">
              <w:rPr>
                <w:b/>
                <w:bCs/>
                <w:lang w:val="es-ES"/>
              </w:rPr>
              <w:noBreakHyphen/>
            </w:r>
            <w:r w:rsidRPr="005B5BB0">
              <w:rPr>
                <w:b/>
                <w:bCs/>
                <w:lang w:val="es-ES"/>
              </w:rPr>
              <w:t>R revisada y su aprobación simultánea por correspondencia de conformidad con el</w:t>
            </w:r>
            <w:r w:rsidR="00586E4B">
              <w:rPr>
                <w:b/>
                <w:bCs/>
                <w:lang w:val="es-ES"/>
              </w:rPr>
              <w:t xml:space="preserve"> </w:t>
            </w:r>
            <w:r w:rsidRPr="005B5BB0">
              <w:rPr>
                <w:b/>
                <w:bCs/>
                <w:lang w:val="es-ES"/>
              </w:rPr>
              <w:t>§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A2.6.2.4 de la Resolución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UIT</w:t>
            </w:r>
            <w:r w:rsidR="00586E4B">
              <w:rPr>
                <w:b/>
                <w:bCs/>
                <w:lang w:val="es-ES"/>
              </w:rPr>
              <w:noBreakHyphen/>
            </w:r>
            <w:r w:rsidRPr="005B5BB0">
              <w:rPr>
                <w:b/>
                <w:bCs/>
                <w:lang w:val="es-ES"/>
              </w:rPr>
              <w:t>R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1</w:t>
            </w:r>
            <w:r w:rsidR="00586E4B">
              <w:rPr>
                <w:b/>
                <w:bCs/>
                <w:lang w:val="es-ES"/>
              </w:rPr>
              <w:noBreakHyphen/>
            </w:r>
            <w:r w:rsidRPr="005B5BB0">
              <w:rPr>
                <w:b/>
                <w:bCs/>
                <w:lang w:val="es-ES"/>
              </w:rPr>
              <w:t>9 (Procedimiento de adopción y aprobación simultáneas por correspondencia)</w:t>
            </w:r>
          </w:p>
          <w:p w14:paraId="3612960C" w14:textId="0CF3FF6E" w:rsidR="00E53DCE" w:rsidRPr="005B5BB0" w:rsidRDefault="005B5BB0" w:rsidP="00144F04">
            <w:pPr>
              <w:spacing w:before="40" w:after="40"/>
              <w:jc w:val="left"/>
              <w:rPr>
                <w:b/>
                <w:bCs/>
                <w:lang w:val="es-ES"/>
              </w:rPr>
            </w:pPr>
            <w:r w:rsidRPr="005B5BB0">
              <w:rPr>
                <w:b/>
                <w:bCs/>
                <w:lang w:val="es-ES"/>
              </w:rPr>
              <w:t>–</w:t>
            </w:r>
            <w:r w:rsidRPr="005B5BB0">
              <w:rPr>
                <w:b/>
                <w:bCs/>
                <w:lang w:val="es-ES"/>
              </w:rPr>
              <w:tab/>
              <w:t>Supresión de 1 Recomendación</w:t>
            </w:r>
            <w:r w:rsidR="00586E4B">
              <w:rPr>
                <w:b/>
                <w:bCs/>
                <w:lang w:val="es-ES"/>
              </w:rPr>
              <w:t> </w:t>
            </w:r>
            <w:r w:rsidRPr="005B5BB0">
              <w:rPr>
                <w:b/>
                <w:bCs/>
                <w:lang w:val="es-ES"/>
              </w:rPr>
              <w:t>UIT-R</w:t>
            </w:r>
          </w:p>
        </w:tc>
      </w:tr>
      <w:tr w:rsidR="00E53DCE" w:rsidRPr="006C24D2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5B5BB0" w:rsidRDefault="00E53DCE" w:rsidP="004973CE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5B5BB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C24D2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5B5BB0" w:rsidRDefault="00E53DCE" w:rsidP="004973CE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5B5BB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4BA25F9B" w14:textId="3526F1DD" w:rsidR="00E53DCE" w:rsidRPr="005B5BB0" w:rsidRDefault="005B5BB0" w:rsidP="005B5BB0">
      <w:pPr>
        <w:pStyle w:val="Normalaftertitle"/>
        <w:rPr>
          <w:lang w:val="es-ES"/>
        </w:rPr>
      </w:pPr>
      <w:r w:rsidRPr="005B5BB0">
        <w:rPr>
          <w:lang w:val="es-ES"/>
        </w:rPr>
        <w:t xml:space="preserve">Mediante la Circular Administrativa </w:t>
      </w:r>
      <w:hyperlink r:id="rId8" w:history="1">
        <w:r w:rsidRPr="005B5BB0">
          <w:rPr>
            <w:rStyle w:val="Hyperlink"/>
            <w:lang w:val="es-ES"/>
          </w:rPr>
          <w:t>CACE/1184</w:t>
        </w:r>
      </w:hyperlink>
      <w:r w:rsidRPr="005B5BB0">
        <w:rPr>
          <w:lang w:val="es-ES"/>
        </w:rPr>
        <w:t xml:space="preserve"> de 10 de abril de</w:t>
      </w:r>
      <w:r w:rsidR="00586E4B">
        <w:rPr>
          <w:lang w:val="es-ES"/>
        </w:rPr>
        <w:t> </w:t>
      </w:r>
      <w:r w:rsidRPr="005B5BB0">
        <w:rPr>
          <w:lang w:val="es-ES"/>
        </w:rPr>
        <w:t>2026, se presentó para adopción</w:t>
      </w:r>
      <w:r w:rsidR="00586E4B">
        <w:rPr>
          <w:lang w:val="es-ES"/>
        </w:rPr>
        <w:t xml:space="preserve"> </w:t>
      </w:r>
      <w:r w:rsidRPr="005B5BB0">
        <w:rPr>
          <w:lang w:val="es-ES"/>
        </w:rPr>
        <w:t>y aprobación simultáneas por correspondencia (PAAS), con arreglo al procedimiento de la Resolución UIT</w:t>
      </w:r>
      <w:r w:rsidRPr="005B5BB0">
        <w:rPr>
          <w:lang w:val="es-ES"/>
        </w:rPr>
        <w:noBreakHyphen/>
        <w:t>R 1-9 (§ A2.6.2.4), 1 proyecto de Recomendación UIT-R revisada. Además, la Comisión de Estudio propuso la supresión de</w:t>
      </w:r>
      <w:r w:rsidR="00586E4B">
        <w:rPr>
          <w:lang w:val="es-ES"/>
        </w:rPr>
        <w:t xml:space="preserve"> 1 </w:t>
      </w:r>
      <w:r w:rsidRPr="005B5BB0">
        <w:rPr>
          <w:lang w:val="es-ES"/>
        </w:rPr>
        <w:t>Recomendación</w:t>
      </w:r>
      <w:r w:rsidR="00FE7A3A">
        <w:rPr>
          <w:lang w:val="es-ES"/>
        </w:rPr>
        <w:t> </w:t>
      </w:r>
      <w:r w:rsidRPr="005B5BB0">
        <w:rPr>
          <w:lang w:val="es-ES"/>
        </w:rPr>
        <w:t>UIT</w:t>
      </w:r>
      <w:r w:rsidR="00FE7A3A">
        <w:rPr>
          <w:lang w:val="es-ES"/>
        </w:rPr>
        <w:noBreakHyphen/>
      </w:r>
      <w:r w:rsidRPr="005B5BB0">
        <w:rPr>
          <w:lang w:val="es-ES"/>
        </w:rPr>
        <w:t>R.</w:t>
      </w:r>
    </w:p>
    <w:p w14:paraId="06001DED" w14:textId="752ACBC2" w:rsidR="005B5BB0" w:rsidRPr="005B5BB0" w:rsidRDefault="005B5BB0" w:rsidP="005B5BB0">
      <w:pPr>
        <w:rPr>
          <w:lang w:val="es-ES"/>
        </w:rPr>
      </w:pPr>
      <w:r w:rsidRPr="005B5BB0">
        <w:rPr>
          <w:lang w:val="es-ES"/>
        </w:rPr>
        <w:t>Las condiciones que determinan este procedimiento se cumplieron el 10 de junio de</w:t>
      </w:r>
      <w:r w:rsidR="00586E4B">
        <w:rPr>
          <w:lang w:val="es-ES"/>
        </w:rPr>
        <w:t> </w:t>
      </w:r>
      <w:r w:rsidRPr="005B5BB0">
        <w:rPr>
          <w:lang w:val="es-ES"/>
        </w:rPr>
        <w:t>2026.</w:t>
      </w:r>
    </w:p>
    <w:p w14:paraId="2F3A9773" w14:textId="3F0A4616" w:rsidR="00D21694" w:rsidRPr="005B5BB0" w:rsidRDefault="005B5BB0" w:rsidP="005B5BB0">
      <w:pPr>
        <w:rPr>
          <w:lang w:val="es-ES"/>
        </w:rPr>
      </w:pPr>
      <w:r w:rsidRPr="005B5BB0">
        <w:rPr>
          <w:lang w:val="es-ES"/>
        </w:rPr>
        <w:t>La Recomendación aprobada será publicada por la</w:t>
      </w:r>
      <w:r w:rsidR="00586E4B">
        <w:rPr>
          <w:lang w:val="es-ES"/>
        </w:rPr>
        <w:t> </w:t>
      </w:r>
      <w:r w:rsidRPr="005B5BB0">
        <w:rPr>
          <w:lang w:val="es-ES"/>
        </w:rPr>
        <w:t>UIT, y en el Anexo</w:t>
      </w:r>
      <w:r w:rsidR="00586E4B">
        <w:rPr>
          <w:lang w:val="es-ES"/>
        </w:rPr>
        <w:t> </w:t>
      </w:r>
      <w:r w:rsidRPr="005B5BB0">
        <w:rPr>
          <w:lang w:val="es-ES"/>
        </w:rPr>
        <w:t>1 a la presente Circular figura su título, con su número asignado. En el Anexo</w:t>
      </w:r>
      <w:r w:rsidR="00586E4B">
        <w:rPr>
          <w:lang w:val="es-ES"/>
        </w:rPr>
        <w:t> </w:t>
      </w:r>
      <w:r w:rsidRPr="005B5BB0">
        <w:rPr>
          <w:lang w:val="es-ES"/>
        </w:rPr>
        <w:t>2 figura la Recomendación suprimida.</w:t>
      </w:r>
    </w:p>
    <w:p w14:paraId="6635E23D" w14:textId="16F62754" w:rsidR="00D239B4" w:rsidRDefault="001B3D4D" w:rsidP="003E1954">
      <w:pPr>
        <w:spacing w:before="1200"/>
        <w:jc w:val="left"/>
        <w:rPr>
          <w:szCs w:val="24"/>
          <w:lang w:val="es-ES"/>
        </w:rPr>
      </w:pPr>
      <w:r w:rsidRPr="00586E4B">
        <w:rPr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proofErr w:type="gramStart"/>
      <w:r w:rsidR="00A96D3A" w:rsidRPr="0033029C">
        <w:rPr>
          <w:szCs w:val="24"/>
          <w:lang w:val="es-ES"/>
        </w:rPr>
        <w:t>Director</w:t>
      </w:r>
      <w:proofErr w:type="gramEnd"/>
    </w:p>
    <w:p w14:paraId="7C4F742A" w14:textId="7181E319" w:rsidR="004973CE" w:rsidRDefault="004973CE" w:rsidP="0046060B">
      <w:pPr>
        <w:spacing w:before="2400"/>
        <w:rPr>
          <w:lang w:val="es-ES"/>
        </w:rPr>
      </w:pPr>
      <w:r w:rsidRPr="004973CE">
        <w:rPr>
          <w:b/>
          <w:bCs/>
          <w:lang w:val="es-ES"/>
        </w:rPr>
        <w:t>Anexos:</w:t>
      </w:r>
      <w:r w:rsidR="00A91935">
        <w:rPr>
          <w:b/>
          <w:bCs/>
          <w:lang w:val="es-ES"/>
        </w:rPr>
        <w:tab/>
      </w:r>
      <w:r w:rsidR="005B5BB0">
        <w:rPr>
          <w:lang w:val="es-ES"/>
        </w:rPr>
        <w:t>2</w:t>
      </w:r>
    </w:p>
    <w:p w14:paraId="4346E4D6" w14:textId="2B7ED0A2" w:rsidR="005B5BB0" w:rsidRDefault="005B5B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57C9CCFC" w14:textId="11C96064" w:rsidR="005B5BB0" w:rsidRPr="00586E4B" w:rsidRDefault="005B5BB0" w:rsidP="005B5BB0">
      <w:pPr>
        <w:pStyle w:val="AnnexNoTitle"/>
        <w:rPr>
          <w:lang w:val="es-ES"/>
        </w:rPr>
      </w:pPr>
      <w:r w:rsidRPr="00586E4B">
        <w:rPr>
          <w:lang w:val="es-ES"/>
        </w:rPr>
        <w:lastRenderedPageBreak/>
        <w:t>Anexo 1</w:t>
      </w:r>
      <w:r w:rsidRPr="00586E4B">
        <w:rPr>
          <w:lang w:val="es-ES"/>
        </w:rPr>
        <w:br/>
      </w:r>
      <w:r w:rsidRPr="00586E4B">
        <w:rPr>
          <w:lang w:val="es-ES"/>
        </w:rPr>
        <w:br/>
        <w:t>Título de la Recomendación UIT-R aprobada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5949"/>
        <w:gridCol w:w="1679"/>
      </w:tblGrid>
      <w:tr w:rsidR="005B5BB0" w:rsidRPr="005B5BB0" w14:paraId="337EC2CB" w14:textId="77777777" w:rsidTr="00586E4B">
        <w:trPr>
          <w:jc w:val="center"/>
        </w:trPr>
        <w:tc>
          <w:tcPr>
            <w:tcW w:w="2011" w:type="dxa"/>
            <w:vAlign w:val="center"/>
          </w:tcPr>
          <w:p w14:paraId="73C9CB37" w14:textId="77777777" w:rsidR="005B5BB0" w:rsidRPr="005B5BB0" w:rsidRDefault="005B5BB0" w:rsidP="005B5BB0">
            <w:pPr>
              <w:pStyle w:val="Tablehead"/>
              <w:rPr>
                <w:lang w:val="es-ES"/>
              </w:rPr>
            </w:pPr>
            <w:r w:rsidRPr="005B5BB0">
              <w:rPr>
                <w:lang w:val="es-ES"/>
              </w:rPr>
              <w:t>Recomendación</w:t>
            </w:r>
            <w:r w:rsidRPr="005B5BB0">
              <w:rPr>
                <w:lang w:val="es-ES"/>
              </w:rPr>
              <w:br/>
              <w:t>UIT-R</w:t>
            </w:r>
          </w:p>
        </w:tc>
        <w:tc>
          <w:tcPr>
            <w:tcW w:w="5949" w:type="dxa"/>
            <w:vAlign w:val="center"/>
          </w:tcPr>
          <w:p w14:paraId="1F85FDDC" w14:textId="77777777" w:rsidR="005B5BB0" w:rsidRPr="005B5BB0" w:rsidRDefault="005B5BB0" w:rsidP="005B5BB0">
            <w:pPr>
              <w:pStyle w:val="Tablehead"/>
              <w:rPr>
                <w:lang w:val="es-ES"/>
              </w:rPr>
            </w:pPr>
            <w:r w:rsidRPr="005B5BB0">
              <w:rPr>
                <w:lang w:val="es-ES"/>
              </w:rPr>
              <w:t>Título</w:t>
            </w:r>
          </w:p>
        </w:tc>
        <w:tc>
          <w:tcPr>
            <w:tcW w:w="1679" w:type="dxa"/>
            <w:vAlign w:val="center"/>
          </w:tcPr>
          <w:p w14:paraId="7268A494" w14:textId="77777777" w:rsidR="005B5BB0" w:rsidRPr="005B5BB0" w:rsidRDefault="005B5BB0" w:rsidP="005B5BB0">
            <w:pPr>
              <w:pStyle w:val="Tablehead"/>
              <w:rPr>
                <w:lang w:val="es-ES"/>
              </w:rPr>
            </w:pPr>
            <w:r w:rsidRPr="005B5BB0">
              <w:rPr>
                <w:lang w:val="es-ES"/>
              </w:rPr>
              <w:t>Documento</w:t>
            </w:r>
          </w:p>
        </w:tc>
      </w:tr>
      <w:tr w:rsidR="005B5BB0" w:rsidRPr="005B5BB0" w14:paraId="755D53A1" w14:textId="77777777" w:rsidTr="00586E4B">
        <w:trPr>
          <w:jc w:val="center"/>
        </w:trPr>
        <w:tc>
          <w:tcPr>
            <w:tcW w:w="2011" w:type="dxa"/>
            <w:vAlign w:val="center"/>
          </w:tcPr>
          <w:p w14:paraId="2103B77F" w14:textId="77777777" w:rsidR="005B5BB0" w:rsidRPr="005B5BB0" w:rsidRDefault="005B5BB0" w:rsidP="00586E4B">
            <w:pPr>
              <w:pStyle w:val="Tabletext"/>
              <w:jc w:val="center"/>
              <w:rPr>
                <w:lang w:val="es-ES"/>
              </w:rPr>
            </w:pPr>
            <w:r w:rsidRPr="005B5BB0">
              <w:rPr>
                <w:lang w:val="en-GB"/>
              </w:rPr>
              <w:t>BT.1877-4</w:t>
            </w:r>
          </w:p>
        </w:tc>
        <w:tc>
          <w:tcPr>
            <w:tcW w:w="5949" w:type="dxa"/>
            <w:vAlign w:val="center"/>
          </w:tcPr>
          <w:p w14:paraId="26A33D22" w14:textId="72176C7D" w:rsidR="005B5BB0" w:rsidRPr="005B5BB0" w:rsidRDefault="00F542FA" w:rsidP="00F542FA">
            <w:pPr>
              <w:pStyle w:val="Tabletext"/>
              <w:rPr>
                <w:lang w:val="es-ES"/>
              </w:rPr>
            </w:pPr>
            <w:r w:rsidRPr="00F542FA">
              <w:rPr>
                <w:lang w:val="es-ES"/>
              </w:rPr>
              <w:t>Métodos de corrección de errores, de configuración de trama de datos, de modulación, de emisión y de orientación para la selección destinados a sistemas de radiodifusión de televisión digital terrenal de segunda generación</w:t>
            </w:r>
          </w:p>
        </w:tc>
        <w:tc>
          <w:tcPr>
            <w:tcW w:w="1679" w:type="dxa"/>
            <w:vAlign w:val="center"/>
          </w:tcPr>
          <w:p w14:paraId="5F6D0B74" w14:textId="77777777" w:rsidR="005B5BB0" w:rsidRPr="005B5BB0" w:rsidRDefault="005B5BB0" w:rsidP="00586E4B">
            <w:pPr>
              <w:pStyle w:val="Tabletext"/>
              <w:jc w:val="center"/>
              <w:rPr>
                <w:lang w:val="es-ES"/>
              </w:rPr>
            </w:pPr>
            <w:r w:rsidRPr="005B5BB0">
              <w:rPr>
                <w:lang w:val="es-ES"/>
              </w:rPr>
              <w:t>6/159</w:t>
            </w:r>
          </w:p>
        </w:tc>
      </w:tr>
    </w:tbl>
    <w:p w14:paraId="3B0EFCAF" w14:textId="77777777" w:rsidR="003E1954" w:rsidRDefault="003E1954" w:rsidP="003E1954">
      <w:pPr>
        <w:rPr>
          <w:lang w:val="es-ES"/>
        </w:rPr>
      </w:pPr>
    </w:p>
    <w:p w14:paraId="34F99953" w14:textId="77777777" w:rsidR="003E1954" w:rsidRDefault="003E1954" w:rsidP="003E1954">
      <w:pPr>
        <w:rPr>
          <w:lang w:val="es-ES"/>
        </w:rPr>
      </w:pPr>
    </w:p>
    <w:p w14:paraId="1B1958BA" w14:textId="49008BA2" w:rsidR="005B5BB0" w:rsidRPr="005B5BB0" w:rsidRDefault="005B5BB0" w:rsidP="005B5BB0">
      <w:pPr>
        <w:pStyle w:val="AnnexNoTitle"/>
        <w:rPr>
          <w:lang w:val="es-ES"/>
        </w:rPr>
      </w:pPr>
      <w:r w:rsidRPr="005B5BB0">
        <w:rPr>
          <w:lang w:val="es-ES"/>
        </w:rPr>
        <w:t>Anexo 2</w:t>
      </w:r>
      <w:r w:rsidRPr="005B5BB0">
        <w:rPr>
          <w:lang w:val="es-ES"/>
        </w:rPr>
        <w:br/>
      </w:r>
      <w:r w:rsidRPr="005B5BB0">
        <w:rPr>
          <w:lang w:val="es-ES"/>
        </w:rPr>
        <w:br/>
        <w:t>Recomendación UIT-R suprimida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7628"/>
      </w:tblGrid>
      <w:tr w:rsidR="005B5BB0" w:rsidRPr="005B5BB0" w14:paraId="71082461" w14:textId="77777777" w:rsidTr="00586E4B">
        <w:trPr>
          <w:jc w:val="center"/>
        </w:trPr>
        <w:tc>
          <w:tcPr>
            <w:tcW w:w="2011" w:type="dxa"/>
            <w:vAlign w:val="center"/>
          </w:tcPr>
          <w:p w14:paraId="366D9802" w14:textId="77777777" w:rsidR="005B5BB0" w:rsidRPr="005B5BB0" w:rsidRDefault="005B5BB0" w:rsidP="005B5BB0">
            <w:pPr>
              <w:pStyle w:val="Tablehead"/>
              <w:rPr>
                <w:lang w:val="es-ES"/>
              </w:rPr>
            </w:pPr>
            <w:r w:rsidRPr="005B5BB0">
              <w:rPr>
                <w:lang w:val="es-ES"/>
              </w:rPr>
              <w:t>Recomendación</w:t>
            </w:r>
            <w:r w:rsidRPr="005B5BB0">
              <w:rPr>
                <w:lang w:val="es-ES"/>
              </w:rPr>
              <w:br/>
              <w:t>UIT-R</w:t>
            </w:r>
          </w:p>
        </w:tc>
        <w:tc>
          <w:tcPr>
            <w:tcW w:w="7628" w:type="dxa"/>
            <w:vAlign w:val="center"/>
          </w:tcPr>
          <w:p w14:paraId="256D66A9" w14:textId="77777777" w:rsidR="005B5BB0" w:rsidRPr="005B5BB0" w:rsidRDefault="005B5BB0" w:rsidP="005B5BB0">
            <w:pPr>
              <w:pStyle w:val="Tablehead"/>
              <w:rPr>
                <w:lang w:val="es-ES"/>
              </w:rPr>
            </w:pPr>
            <w:r w:rsidRPr="005B5BB0">
              <w:rPr>
                <w:lang w:val="es-ES"/>
              </w:rPr>
              <w:t>Título</w:t>
            </w:r>
          </w:p>
        </w:tc>
      </w:tr>
      <w:tr w:rsidR="005B5BB0" w:rsidRPr="006C24D2" w14:paraId="2E2895CD" w14:textId="77777777" w:rsidTr="00F542FA">
        <w:trPr>
          <w:jc w:val="center"/>
        </w:trPr>
        <w:tc>
          <w:tcPr>
            <w:tcW w:w="2011" w:type="dxa"/>
            <w:vAlign w:val="center"/>
          </w:tcPr>
          <w:p w14:paraId="606885E9" w14:textId="77777777" w:rsidR="005B5BB0" w:rsidRPr="005B5BB0" w:rsidRDefault="005B5BB0" w:rsidP="00F542FA">
            <w:pPr>
              <w:pStyle w:val="Tabletext"/>
              <w:jc w:val="center"/>
              <w:rPr>
                <w:lang w:val="es-ES"/>
              </w:rPr>
            </w:pPr>
            <w:r w:rsidRPr="005B5BB0">
              <w:rPr>
                <w:lang w:val="en-GB"/>
              </w:rPr>
              <w:t>BT.1380-1</w:t>
            </w:r>
          </w:p>
        </w:tc>
        <w:tc>
          <w:tcPr>
            <w:tcW w:w="7628" w:type="dxa"/>
            <w:vAlign w:val="center"/>
          </w:tcPr>
          <w:p w14:paraId="24E63268" w14:textId="4C36A646" w:rsidR="005B5BB0" w:rsidRPr="005B5BB0" w:rsidRDefault="00F542FA" w:rsidP="00F542FA">
            <w:pPr>
              <w:pStyle w:val="Tabletext"/>
              <w:rPr>
                <w:lang w:val="es-ES"/>
              </w:rPr>
            </w:pPr>
            <w:r w:rsidRPr="00F542FA">
              <w:rPr>
                <w:lang w:val="es-ES"/>
              </w:rPr>
              <w:t>Normas para sistemas de codificación</w:t>
            </w:r>
            <w:r>
              <w:rPr>
                <w:lang w:val="es-ES"/>
              </w:rPr>
              <w:t xml:space="preserve"> </w:t>
            </w:r>
            <w:r w:rsidRPr="00F542FA">
              <w:rPr>
                <w:lang w:val="es-ES"/>
              </w:rPr>
              <w:t>con reducción de la velocidad binaria</w:t>
            </w:r>
            <w:r>
              <w:rPr>
                <w:lang w:val="es-ES"/>
              </w:rPr>
              <w:t xml:space="preserve"> </w:t>
            </w:r>
            <w:r w:rsidRPr="00F542FA">
              <w:rPr>
                <w:lang w:val="es-ES"/>
              </w:rPr>
              <w:t>para televisión convencional</w:t>
            </w:r>
          </w:p>
        </w:tc>
      </w:tr>
    </w:tbl>
    <w:p w14:paraId="5496B068" w14:textId="77777777" w:rsidR="005B5BB0" w:rsidRDefault="005B5BB0" w:rsidP="00411C49">
      <w:pPr>
        <w:pStyle w:val="Reasons"/>
        <w:rPr>
          <w:lang w:val="es-ES"/>
        </w:rPr>
      </w:pPr>
    </w:p>
    <w:p w14:paraId="33FA5CC6" w14:textId="77777777" w:rsidR="005B5BB0" w:rsidRDefault="005B5BB0">
      <w:pPr>
        <w:jc w:val="center"/>
      </w:pPr>
      <w:r>
        <w:t>______________</w:t>
      </w:r>
    </w:p>
    <w:sectPr w:rsidR="005B5BB0" w:rsidSect="00B46E40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B740" w14:textId="77777777" w:rsidR="007C5188" w:rsidRDefault="007C5188">
      <w:r>
        <w:separator/>
      </w:r>
    </w:p>
  </w:endnote>
  <w:endnote w:type="continuationSeparator" w:id="0">
    <w:p w14:paraId="56414152" w14:textId="77777777" w:rsidR="007C5188" w:rsidRDefault="007C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0B9C89CE" w:rsidR="005370F0" w:rsidRPr="00F12FCA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353E34" w:rsidRPr="000B33D5">
        <w:rPr>
          <w:rStyle w:val="Hyperlink"/>
          <w:sz w:val="19"/>
          <w:szCs w:val="19"/>
          <w:lang w:val="es-ES"/>
        </w:rPr>
        <w:t>brmail@itu.int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423E" w14:textId="77777777" w:rsidR="007C5188" w:rsidRDefault="007C5188">
      <w:r>
        <w:t>____________________</w:t>
      </w:r>
    </w:p>
  </w:footnote>
  <w:footnote w:type="continuationSeparator" w:id="0">
    <w:p w14:paraId="3AE9A758" w14:textId="77777777" w:rsidR="007C5188" w:rsidRDefault="007C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22F4236" w:rsidR="00E915AF" w:rsidRPr="00D239B4" w:rsidRDefault="00D97EF5" w:rsidP="005B5BB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6838580C" w:rsidR="00E915AF" w:rsidRPr="005B5BB0" w:rsidRDefault="005B5BB0" w:rsidP="005B5BB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68E2" w14:textId="0ABA364C" w:rsidR="00E915AF" w:rsidRPr="001B3D4D" w:rsidRDefault="00A91935" w:rsidP="00A91935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79CD93B3" wp14:editId="5EA829F8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745EF751" wp14:editId="7A42D1AA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17D75"/>
    <w:rsid w:val="00026CF8"/>
    <w:rsid w:val="00030BD7"/>
    <w:rsid w:val="00031E64"/>
    <w:rsid w:val="00034340"/>
    <w:rsid w:val="00035CB3"/>
    <w:rsid w:val="00045A8D"/>
    <w:rsid w:val="0005167A"/>
    <w:rsid w:val="000540E3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11D8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44F04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4B"/>
    <w:rsid w:val="003A55ED"/>
    <w:rsid w:val="003A5D52"/>
    <w:rsid w:val="003B2BDA"/>
    <w:rsid w:val="003B55EC"/>
    <w:rsid w:val="003C2EA7"/>
    <w:rsid w:val="003C4471"/>
    <w:rsid w:val="003C7D41"/>
    <w:rsid w:val="003D4A69"/>
    <w:rsid w:val="003E1954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060B"/>
    <w:rsid w:val="004623F7"/>
    <w:rsid w:val="00480F51"/>
    <w:rsid w:val="00481124"/>
    <w:rsid w:val="004815EB"/>
    <w:rsid w:val="00487569"/>
    <w:rsid w:val="00496864"/>
    <w:rsid w:val="00496920"/>
    <w:rsid w:val="004973CE"/>
    <w:rsid w:val="004A4496"/>
    <w:rsid w:val="004A5F47"/>
    <w:rsid w:val="004B11AB"/>
    <w:rsid w:val="004B4895"/>
    <w:rsid w:val="004B7C9A"/>
    <w:rsid w:val="004C580D"/>
    <w:rsid w:val="004C6779"/>
    <w:rsid w:val="004D733B"/>
    <w:rsid w:val="004E0DC4"/>
    <w:rsid w:val="004E0FB5"/>
    <w:rsid w:val="004E39B0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86E4B"/>
    <w:rsid w:val="005A03A3"/>
    <w:rsid w:val="005A2B92"/>
    <w:rsid w:val="005A3F66"/>
    <w:rsid w:val="005A79E9"/>
    <w:rsid w:val="005B214C"/>
    <w:rsid w:val="005B4CDA"/>
    <w:rsid w:val="005B5BB0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24D2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C5188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C3A2D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25D5"/>
    <w:rsid w:val="00A63355"/>
    <w:rsid w:val="00A7596D"/>
    <w:rsid w:val="00A80EFE"/>
    <w:rsid w:val="00A91935"/>
    <w:rsid w:val="00A963DF"/>
    <w:rsid w:val="00A96D3A"/>
    <w:rsid w:val="00AC0C22"/>
    <w:rsid w:val="00AC1F25"/>
    <w:rsid w:val="00AC3896"/>
    <w:rsid w:val="00AD2CF2"/>
    <w:rsid w:val="00AE2D88"/>
    <w:rsid w:val="00AE6F6F"/>
    <w:rsid w:val="00AF3325"/>
    <w:rsid w:val="00AF34D9"/>
    <w:rsid w:val="00AF5B37"/>
    <w:rsid w:val="00AF66D9"/>
    <w:rsid w:val="00AF70DA"/>
    <w:rsid w:val="00B019D3"/>
    <w:rsid w:val="00B34CF9"/>
    <w:rsid w:val="00B37559"/>
    <w:rsid w:val="00B4054B"/>
    <w:rsid w:val="00B46E40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47A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B5740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2FCA"/>
    <w:rsid w:val="00F424BF"/>
    <w:rsid w:val="00F44FC3"/>
    <w:rsid w:val="00F46107"/>
    <w:rsid w:val="00F468C5"/>
    <w:rsid w:val="00F52F39"/>
    <w:rsid w:val="00F542FA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E7A3A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5B5BB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customStyle="1" w:styleId="AnnexNoTitleLeft">
    <w:name w:val="Annex_NoTitle + Left"/>
    <w:basedOn w:val="AnnexNoTitle"/>
    <w:rsid w:val="005B5BB0"/>
    <w:pPr>
      <w:tabs>
        <w:tab w:val="left" w:pos="2788"/>
        <w:tab w:val="center" w:pos="4819"/>
      </w:tabs>
      <w:jc w:val="left"/>
    </w:pPr>
    <w:rPr>
      <w:lang w:val="es-ES"/>
    </w:rPr>
  </w:style>
  <w:style w:type="character" w:styleId="FollowedHyperlink">
    <w:name w:val="FollowedHyperlink"/>
    <w:basedOn w:val="DefaultParagraphFont"/>
    <w:semiHidden/>
    <w:unhideWhenUsed/>
    <w:rsid w:val="005B5B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66D9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4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1945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11</cp:revision>
  <cp:lastPrinted>2013-03-08T10:15:00Z</cp:lastPrinted>
  <dcterms:created xsi:type="dcterms:W3CDTF">2026-06-11T14:50:00Z</dcterms:created>
  <dcterms:modified xsi:type="dcterms:W3CDTF">2026-06-17T07:56:00Z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