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CF5B45" w14:paraId="3D20DEBA" w14:textId="77777777" w:rsidTr="00306452">
        <w:trPr>
          <w:jc w:val="center"/>
        </w:trPr>
        <w:tc>
          <w:tcPr>
            <w:tcW w:w="9889" w:type="dxa"/>
            <w:gridSpan w:val="3"/>
          </w:tcPr>
          <w:p w14:paraId="769972CF" w14:textId="77777777" w:rsidR="00E53DCE" w:rsidRPr="00CF5B45" w:rsidRDefault="00A96D3A" w:rsidP="006160CB">
            <w:pPr>
              <w:spacing w:before="0"/>
              <w:jc w:val="left"/>
              <w:rPr>
                <w:rFonts w:cstheme="minorHAnsi"/>
                <w:b/>
                <w:bCs/>
                <w:color w:val="808080"/>
                <w:sz w:val="28"/>
                <w:szCs w:val="28"/>
                <w:lang w:val="es-ES_tradnl"/>
              </w:rPr>
            </w:pPr>
            <w:r w:rsidRPr="00CF5B45">
              <w:rPr>
                <w:rFonts w:cstheme="minorHAnsi"/>
                <w:b/>
                <w:bCs/>
                <w:color w:val="808080"/>
                <w:sz w:val="28"/>
                <w:szCs w:val="28"/>
                <w:lang w:val="es-ES_tradnl"/>
              </w:rPr>
              <w:t>Oficina de Radiocomunicaciones (BR)</w:t>
            </w:r>
          </w:p>
          <w:p w14:paraId="77D663A2" w14:textId="77777777" w:rsidR="00E53DCE" w:rsidRPr="00CF5B45" w:rsidRDefault="00E53DCE" w:rsidP="006160CB">
            <w:pPr>
              <w:spacing w:before="0"/>
              <w:jc w:val="left"/>
              <w:rPr>
                <w:rFonts w:cstheme="minorHAnsi"/>
                <w:b/>
                <w:bCs/>
                <w:color w:val="808080"/>
                <w:sz w:val="28"/>
                <w:szCs w:val="28"/>
                <w:lang w:val="es-ES_tradnl"/>
              </w:rPr>
            </w:pPr>
          </w:p>
          <w:p w14:paraId="76B9488A" w14:textId="77777777" w:rsidR="00E53DCE" w:rsidRPr="00CF5B45" w:rsidRDefault="00E53DCE" w:rsidP="006160CB">
            <w:pPr>
              <w:spacing w:before="0"/>
              <w:jc w:val="left"/>
              <w:rPr>
                <w:rFonts w:cs="Times New Roman Bold"/>
                <w:b/>
                <w:bCs/>
                <w:color w:val="808080"/>
                <w:sz w:val="28"/>
                <w:szCs w:val="28"/>
                <w:lang w:val="es-ES_tradnl"/>
              </w:rPr>
            </w:pPr>
          </w:p>
        </w:tc>
      </w:tr>
      <w:tr w:rsidR="00E53DCE" w:rsidRPr="00CF5B45" w14:paraId="2DCA6E71" w14:textId="77777777" w:rsidTr="00306452">
        <w:trPr>
          <w:jc w:val="center"/>
        </w:trPr>
        <w:tc>
          <w:tcPr>
            <w:tcW w:w="7054" w:type="dxa"/>
            <w:gridSpan w:val="2"/>
          </w:tcPr>
          <w:p w14:paraId="310D6481" w14:textId="22148D0D" w:rsidR="00E53DCE" w:rsidRPr="00CF5B45" w:rsidRDefault="00A96D3A" w:rsidP="00F167FB">
            <w:pPr>
              <w:spacing w:before="0"/>
              <w:rPr>
                <w:lang w:val="es-ES_tradnl"/>
              </w:rPr>
            </w:pPr>
            <w:r w:rsidRPr="00CF5B45">
              <w:rPr>
                <w:lang w:val="es-ES_tradnl"/>
              </w:rPr>
              <w:t>Circular Administrativa</w:t>
            </w:r>
          </w:p>
          <w:p w14:paraId="69D58805" w14:textId="24783772" w:rsidR="00E53DCE" w:rsidRPr="00CF5B45" w:rsidRDefault="001B3D4D" w:rsidP="00F167FB">
            <w:pPr>
              <w:spacing w:before="0"/>
              <w:rPr>
                <w:b/>
                <w:bCs/>
                <w:lang w:val="es-ES_tradnl"/>
              </w:rPr>
            </w:pPr>
            <w:r w:rsidRPr="00CF5B45">
              <w:rPr>
                <w:b/>
                <w:bCs/>
                <w:lang w:val="es-ES_tradnl"/>
              </w:rPr>
              <w:t>CACE/</w:t>
            </w:r>
            <w:r w:rsidR="006A4F95" w:rsidRPr="00CF5B45">
              <w:rPr>
                <w:b/>
                <w:bCs/>
                <w:lang w:val="es-ES_tradnl"/>
              </w:rPr>
              <w:t>1182</w:t>
            </w:r>
          </w:p>
        </w:tc>
        <w:tc>
          <w:tcPr>
            <w:tcW w:w="2835" w:type="dxa"/>
          </w:tcPr>
          <w:p w14:paraId="3FD01BE1" w14:textId="049CAB01" w:rsidR="00E53DCE" w:rsidRPr="00CF5B45" w:rsidRDefault="006A4F95" w:rsidP="00B062F4">
            <w:pPr>
              <w:spacing w:before="0"/>
              <w:jc w:val="right"/>
              <w:rPr>
                <w:lang w:val="es-ES_tradnl"/>
              </w:rPr>
            </w:pPr>
            <w:r w:rsidRPr="00CF5B45">
              <w:rPr>
                <w:lang w:val="es-ES_tradnl"/>
              </w:rPr>
              <w:t>9 de abril de 2026</w:t>
            </w:r>
          </w:p>
        </w:tc>
      </w:tr>
      <w:tr w:rsidR="00E53DCE" w:rsidRPr="00CF5B45" w14:paraId="56562AD9" w14:textId="77777777" w:rsidTr="00306452">
        <w:trPr>
          <w:jc w:val="center"/>
        </w:trPr>
        <w:tc>
          <w:tcPr>
            <w:tcW w:w="9889" w:type="dxa"/>
            <w:gridSpan w:val="3"/>
          </w:tcPr>
          <w:p w14:paraId="49FBA783" w14:textId="77777777" w:rsidR="00E53DCE" w:rsidRPr="00CF5B45" w:rsidRDefault="00E53DCE" w:rsidP="00F167FB">
            <w:pPr>
              <w:spacing w:before="0"/>
              <w:rPr>
                <w:lang w:val="es-ES_tradnl"/>
              </w:rPr>
            </w:pPr>
          </w:p>
        </w:tc>
      </w:tr>
      <w:tr w:rsidR="00E53DCE" w:rsidRPr="00CF5B45" w14:paraId="762456CA" w14:textId="77777777" w:rsidTr="00306452">
        <w:trPr>
          <w:jc w:val="center"/>
        </w:trPr>
        <w:tc>
          <w:tcPr>
            <w:tcW w:w="9889" w:type="dxa"/>
            <w:gridSpan w:val="3"/>
          </w:tcPr>
          <w:p w14:paraId="42B6B401" w14:textId="77777777" w:rsidR="00E53DCE" w:rsidRPr="00CF5B45" w:rsidRDefault="00E53DCE" w:rsidP="00F167FB">
            <w:pPr>
              <w:spacing w:before="0"/>
              <w:rPr>
                <w:lang w:val="es-ES_tradnl"/>
              </w:rPr>
            </w:pPr>
          </w:p>
        </w:tc>
      </w:tr>
      <w:tr w:rsidR="006A4F95" w:rsidRPr="00CF5B45" w14:paraId="4BAE9C44" w14:textId="77777777" w:rsidTr="00306452">
        <w:trPr>
          <w:jc w:val="center"/>
        </w:trPr>
        <w:tc>
          <w:tcPr>
            <w:tcW w:w="9889" w:type="dxa"/>
            <w:gridSpan w:val="3"/>
          </w:tcPr>
          <w:p w14:paraId="21F1935A" w14:textId="70C21EF6" w:rsidR="006A4F95" w:rsidRPr="00CF5B45" w:rsidRDefault="006A4F95" w:rsidP="006A4F95">
            <w:pPr>
              <w:spacing w:before="0"/>
              <w:jc w:val="left"/>
              <w:rPr>
                <w:b/>
                <w:bCs/>
                <w:lang w:val="es-ES_tradnl"/>
              </w:rPr>
            </w:pPr>
            <w:r w:rsidRPr="00CF5B45">
              <w:rPr>
                <w:b/>
                <w:bCs/>
                <w:lang w:val="es-ES_tradnl"/>
              </w:rPr>
              <w:t>A las Administraciones de los Estados Miembros de la UIT, a los Miembros del Sector de Radiocomunicaciones, a los Asociados del UIT-R y a las Instituciones Académicas de la UIT que participan en los trabajos de la Comisión de Estudio 7 de Radiocomunicaciones</w:t>
            </w:r>
          </w:p>
        </w:tc>
      </w:tr>
      <w:tr w:rsidR="00E53DCE" w:rsidRPr="00CF5B45" w14:paraId="180CDAFD" w14:textId="77777777" w:rsidTr="00306452">
        <w:trPr>
          <w:jc w:val="center"/>
        </w:trPr>
        <w:tc>
          <w:tcPr>
            <w:tcW w:w="9889" w:type="dxa"/>
            <w:gridSpan w:val="3"/>
          </w:tcPr>
          <w:p w14:paraId="04ADBBDE" w14:textId="77777777" w:rsidR="00E53DCE" w:rsidRPr="00CF5B45" w:rsidRDefault="00E53DCE" w:rsidP="00F167FB">
            <w:pPr>
              <w:spacing w:before="0"/>
              <w:rPr>
                <w:lang w:val="es-ES_tradnl"/>
              </w:rPr>
            </w:pPr>
          </w:p>
        </w:tc>
      </w:tr>
      <w:tr w:rsidR="00E53DCE" w:rsidRPr="00CF5B45" w14:paraId="06E9A2B7" w14:textId="77777777" w:rsidTr="00306452">
        <w:trPr>
          <w:jc w:val="center"/>
        </w:trPr>
        <w:tc>
          <w:tcPr>
            <w:tcW w:w="9889" w:type="dxa"/>
            <w:gridSpan w:val="3"/>
          </w:tcPr>
          <w:p w14:paraId="4039DD3F" w14:textId="77777777" w:rsidR="00E53DCE" w:rsidRPr="00CF5B45" w:rsidRDefault="00E53DCE" w:rsidP="00F167FB">
            <w:pPr>
              <w:spacing w:before="0"/>
              <w:rPr>
                <w:lang w:val="es-ES_tradnl"/>
              </w:rPr>
            </w:pPr>
          </w:p>
        </w:tc>
      </w:tr>
      <w:tr w:rsidR="00E53DCE" w:rsidRPr="00CF5B45" w14:paraId="021316CA" w14:textId="77777777" w:rsidTr="00306452">
        <w:trPr>
          <w:jc w:val="center"/>
        </w:trPr>
        <w:tc>
          <w:tcPr>
            <w:tcW w:w="1526" w:type="dxa"/>
          </w:tcPr>
          <w:p w14:paraId="4C13FE60" w14:textId="77777777" w:rsidR="00E53DCE" w:rsidRPr="00CF5B45" w:rsidRDefault="00311970" w:rsidP="00F167FB">
            <w:pPr>
              <w:spacing w:before="0"/>
              <w:rPr>
                <w:lang w:val="es-ES_tradnl"/>
              </w:rPr>
            </w:pPr>
            <w:r w:rsidRPr="00CF5B45">
              <w:rPr>
                <w:lang w:val="es-ES_tradnl"/>
              </w:rPr>
              <w:t>Asunto:</w:t>
            </w:r>
          </w:p>
        </w:tc>
        <w:tc>
          <w:tcPr>
            <w:tcW w:w="8363" w:type="dxa"/>
            <w:gridSpan w:val="2"/>
            <w:vMerge w:val="restart"/>
          </w:tcPr>
          <w:p w14:paraId="450302E9" w14:textId="77777777" w:rsidR="006A4F95" w:rsidRPr="00CF5B45" w:rsidRDefault="006A4F95" w:rsidP="006A4F95">
            <w:pPr>
              <w:spacing w:before="0"/>
              <w:jc w:val="left"/>
              <w:rPr>
                <w:b/>
                <w:bCs/>
                <w:lang w:val="es-ES_tradnl"/>
              </w:rPr>
            </w:pPr>
            <w:r w:rsidRPr="00CF5B45">
              <w:rPr>
                <w:b/>
                <w:bCs/>
                <w:lang w:val="es-ES_tradnl"/>
              </w:rPr>
              <w:t>Comisión de Estudio 7 de Radiocomunicaciones (Servicios científicos)</w:t>
            </w:r>
          </w:p>
          <w:p w14:paraId="3612960C" w14:textId="1F93757F" w:rsidR="00E53DCE" w:rsidRPr="00CF5B45" w:rsidRDefault="006A4F95" w:rsidP="006A4F95">
            <w:pPr>
              <w:spacing w:before="120"/>
              <w:ind w:left="794" w:hanging="794"/>
              <w:jc w:val="left"/>
              <w:rPr>
                <w:b/>
                <w:bCs/>
                <w:lang w:val="es-ES_tradnl"/>
              </w:rPr>
            </w:pPr>
            <w:r w:rsidRPr="00CF5B45">
              <w:rPr>
                <w:b/>
                <w:bCs/>
                <w:lang w:val="es-ES_tradnl"/>
              </w:rPr>
              <w:t>–</w:t>
            </w:r>
            <w:r w:rsidRPr="00CF5B45">
              <w:rPr>
                <w:b/>
                <w:bCs/>
                <w:lang w:val="es-ES_tradnl"/>
              </w:rPr>
              <w:tab/>
              <w:t>Propuesta de aprobación de 1 proyecto de nueva Recomendación UIT</w:t>
            </w:r>
            <w:r w:rsidRPr="00CF5B45">
              <w:rPr>
                <w:b/>
                <w:bCs/>
                <w:lang w:val="es-ES_tradnl"/>
              </w:rPr>
              <w:noBreakHyphen/>
              <w:t>R y 2 proyectos de Recomendación UIT-R revisada</w:t>
            </w:r>
          </w:p>
        </w:tc>
      </w:tr>
      <w:tr w:rsidR="00E53DCE" w:rsidRPr="00CF5B45" w14:paraId="4081CB4E" w14:textId="77777777" w:rsidTr="00306452">
        <w:trPr>
          <w:jc w:val="center"/>
        </w:trPr>
        <w:tc>
          <w:tcPr>
            <w:tcW w:w="1526" w:type="dxa"/>
          </w:tcPr>
          <w:p w14:paraId="315E015A" w14:textId="77777777" w:rsidR="00E53DCE" w:rsidRPr="00CF5B45" w:rsidRDefault="00E53DCE" w:rsidP="00F167FB">
            <w:pPr>
              <w:spacing w:before="0"/>
              <w:rPr>
                <w:lang w:val="es-ES_tradnl"/>
              </w:rPr>
            </w:pPr>
          </w:p>
        </w:tc>
        <w:tc>
          <w:tcPr>
            <w:tcW w:w="8363" w:type="dxa"/>
            <w:gridSpan w:val="2"/>
            <w:vMerge/>
          </w:tcPr>
          <w:p w14:paraId="7E66957D" w14:textId="77777777" w:rsidR="00E53DCE" w:rsidRPr="00CF5B45" w:rsidRDefault="00E53DCE" w:rsidP="006160CB">
            <w:pPr>
              <w:tabs>
                <w:tab w:val="clear" w:pos="1588"/>
                <w:tab w:val="left" w:pos="1560"/>
              </w:tabs>
              <w:spacing w:before="0"/>
              <w:rPr>
                <w:b/>
                <w:bCs/>
                <w:szCs w:val="24"/>
                <w:lang w:val="es-ES_tradnl"/>
              </w:rPr>
            </w:pPr>
          </w:p>
        </w:tc>
      </w:tr>
      <w:tr w:rsidR="00E53DCE" w:rsidRPr="00CF5B45" w14:paraId="449BD3D4" w14:textId="77777777" w:rsidTr="00306452">
        <w:trPr>
          <w:jc w:val="center"/>
        </w:trPr>
        <w:tc>
          <w:tcPr>
            <w:tcW w:w="1526" w:type="dxa"/>
          </w:tcPr>
          <w:p w14:paraId="4E614295" w14:textId="77777777" w:rsidR="00E53DCE" w:rsidRPr="00CF5B45" w:rsidRDefault="00E53DCE" w:rsidP="00F167FB">
            <w:pPr>
              <w:spacing w:before="0"/>
              <w:rPr>
                <w:lang w:val="es-ES_tradnl"/>
              </w:rPr>
            </w:pPr>
          </w:p>
        </w:tc>
        <w:tc>
          <w:tcPr>
            <w:tcW w:w="8363" w:type="dxa"/>
            <w:gridSpan w:val="2"/>
            <w:vMerge/>
          </w:tcPr>
          <w:p w14:paraId="04442067" w14:textId="77777777" w:rsidR="00E53DCE" w:rsidRPr="00CF5B45" w:rsidRDefault="00E53DCE" w:rsidP="006160CB">
            <w:pPr>
              <w:tabs>
                <w:tab w:val="clear" w:pos="1588"/>
                <w:tab w:val="left" w:pos="1560"/>
              </w:tabs>
              <w:spacing w:before="0"/>
              <w:rPr>
                <w:b/>
                <w:bCs/>
                <w:szCs w:val="24"/>
                <w:lang w:val="es-ES_tradnl"/>
              </w:rPr>
            </w:pPr>
          </w:p>
        </w:tc>
      </w:tr>
    </w:tbl>
    <w:p w14:paraId="38A1A34C" w14:textId="77777777" w:rsidR="006A4F95" w:rsidRPr="00CF5B45" w:rsidRDefault="006A4F95" w:rsidP="006A4F95">
      <w:pPr>
        <w:pStyle w:val="Normalaftertitle"/>
        <w:rPr>
          <w:lang w:val="es-ES_tradnl"/>
        </w:rPr>
      </w:pPr>
      <w:r w:rsidRPr="00CF5B45">
        <w:rPr>
          <w:lang w:val="es-ES_tradnl"/>
        </w:rPr>
        <w:t xml:space="preserve">En la reunión de la Comisión de Estudio 7 de Radiocomunicaciones celebrada el 13 de marzo de 2026, la Comisión de Estudio adoptó el texto de 1 proyecto de nueva Recomendación UIT-R y de 2 proyectos de Recomendación UIT-R revisada y acordó aplicar el procedimiento de la Resolución </w:t>
      </w:r>
      <w:hyperlink r:id="rId8" w:history="1">
        <w:r w:rsidRPr="00CF5B45">
          <w:rPr>
            <w:rStyle w:val="Hyperlink"/>
            <w:lang w:val="es-ES_tradnl"/>
          </w:rPr>
          <w:t>UIT</w:t>
        </w:r>
        <w:r w:rsidRPr="00CF5B45">
          <w:rPr>
            <w:rStyle w:val="Hyperlink"/>
            <w:lang w:val="es-ES_tradnl"/>
          </w:rPr>
          <w:noBreakHyphen/>
          <w:t>R 1-9</w:t>
        </w:r>
      </w:hyperlink>
      <w:r w:rsidRPr="00CF5B45">
        <w:rPr>
          <w:lang w:val="es-ES_tradnl"/>
        </w:rPr>
        <w:t xml:space="preserve"> (véase el § A2.6.2.3) para la aprobación de Recomendaciones por consulta. Los títulos y los resúmenes de los proyectos de Recomendación figuran en el Anexo a la presente Carta. Todo Estado Miembro que plantee una objeción a la aprobación de algún proyecto de Recomendación debe informar al Director y a la Presidencia de la Comisión de Estudio de los motivos de esa oposición.</w:t>
      </w:r>
    </w:p>
    <w:p w14:paraId="2C0272E0" w14:textId="77777777" w:rsidR="006A4F95" w:rsidRPr="00CF5B45" w:rsidRDefault="006A4F95" w:rsidP="006A4F95">
      <w:pPr>
        <w:rPr>
          <w:lang w:val="es-ES_tradnl"/>
        </w:rPr>
      </w:pPr>
      <w:r w:rsidRPr="00CF5B45">
        <w:rPr>
          <w:lang w:val="es-ES_tradnl"/>
        </w:rPr>
        <w:t>Con respecto a las disposiciones del § A2.6.2.3 de la Resolución UIT-R 1-9, se solicita a los Estados Miembros que informen a la Secretaría (</w:t>
      </w:r>
      <w:hyperlink r:id="rId9" w:history="1">
        <w:r w:rsidRPr="00CF5B45">
          <w:rPr>
            <w:color w:val="0000FF"/>
            <w:u w:val="single"/>
            <w:lang w:val="es-ES_tradnl"/>
          </w:rPr>
          <w:t>brsgd@itu.int</w:t>
        </w:r>
      </w:hyperlink>
      <w:r w:rsidRPr="00CF5B45">
        <w:rPr>
          <w:lang w:val="es-ES_tradnl"/>
        </w:rPr>
        <w:t xml:space="preserve">) antes del </w:t>
      </w:r>
      <w:r w:rsidRPr="00CF5B45">
        <w:rPr>
          <w:u w:val="single"/>
          <w:lang w:val="es-ES_tradnl"/>
        </w:rPr>
        <w:t>9 de junio de 2026</w:t>
      </w:r>
      <w:r w:rsidRPr="00CF5B45">
        <w:rPr>
          <w:lang w:val="es-ES_tradnl"/>
        </w:rPr>
        <w:t xml:space="preserve"> si aprueban o no las propuestas anteriormente mencionadas.</w:t>
      </w:r>
    </w:p>
    <w:p w14:paraId="74FDD42A" w14:textId="77777777" w:rsidR="006A4F95" w:rsidRPr="00CF5B45" w:rsidRDefault="006A4F95" w:rsidP="006A4F95">
      <w:pPr>
        <w:rPr>
          <w:lang w:val="es-ES_tradnl"/>
        </w:rPr>
      </w:pPr>
      <w:r w:rsidRPr="00CF5B45">
        <w:rPr>
          <w:lang w:val="es-ES_tradnl"/>
        </w:rPr>
        <w:t xml:space="preserve">Después del plazo fijado, los resultados de esta consulta se comunicarán mediante Circular Administrativa y las Recomendaciones aprobadas se publicarán tan pronto como sea posible (véase </w:t>
      </w:r>
      <w:hyperlink r:id="rId10" w:history="1">
        <w:r w:rsidRPr="00CF5B45">
          <w:rPr>
            <w:rStyle w:val="Hyperlink"/>
            <w:lang w:val="es-ES_tradnl"/>
          </w:rPr>
          <w:t>http://www.itu.int/pub/R-REC</w:t>
        </w:r>
      </w:hyperlink>
      <w:r w:rsidRPr="00CF5B45">
        <w:rPr>
          <w:lang w:val="es-ES_tradnl"/>
        </w:rPr>
        <w:t>).</w:t>
      </w:r>
    </w:p>
    <w:p w14:paraId="48C13276" w14:textId="77777777" w:rsidR="006A4F95" w:rsidRPr="00CF5B45" w:rsidRDefault="006A4F95" w:rsidP="006A4F95">
      <w:pPr>
        <w:tabs>
          <w:tab w:val="clear" w:pos="794"/>
          <w:tab w:val="clear" w:pos="1191"/>
          <w:tab w:val="clear" w:pos="1588"/>
          <w:tab w:val="clear" w:pos="1985"/>
        </w:tabs>
        <w:overflowPunct/>
        <w:autoSpaceDE/>
        <w:autoSpaceDN/>
        <w:adjustRightInd/>
        <w:spacing w:before="0" w:line="240" w:lineRule="auto"/>
        <w:jc w:val="left"/>
        <w:textAlignment w:val="auto"/>
        <w:rPr>
          <w:lang w:val="es-ES_tradnl"/>
        </w:rPr>
      </w:pPr>
      <w:r w:rsidRPr="00CF5B45">
        <w:rPr>
          <w:lang w:val="es-ES_tradnl"/>
        </w:rPr>
        <w:br w:type="page"/>
      </w:r>
    </w:p>
    <w:p w14:paraId="36B9C597" w14:textId="77777777" w:rsidR="006A4F95" w:rsidRPr="00CF5B45" w:rsidRDefault="006A4F95" w:rsidP="006A4F95">
      <w:pPr>
        <w:keepNext/>
        <w:keepLines/>
        <w:rPr>
          <w:lang w:val="es-ES_tradnl"/>
        </w:rPr>
      </w:pPr>
      <w:r w:rsidRPr="00CF5B45">
        <w:rPr>
          <w:lang w:val="es-ES_tradnl"/>
        </w:rPr>
        <w:lastRenderedPageBreak/>
        <w:t>Se solicita a toda organización miembro de la UIT que tenga conocimiento de una patente, de su propiedad o de propiedad ajena, que abarque de forma íntegra o parcial elementos de los proyectos de Recomendación que figuran en la presente carta, que comunique esa información a la Secretaría tan pronto como sea posible. La política común en materia de patentes sobre UIT</w:t>
      </w:r>
      <w:r w:rsidRPr="00CF5B45">
        <w:rPr>
          <w:lang w:val="es-ES_tradnl"/>
        </w:rPr>
        <w:noBreakHyphen/>
        <w:t xml:space="preserve">T/UIT-R/ISO/CEI puede consultarse en </w:t>
      </w:r>
      <w:hyperlink r:id="rId11" w:history="1">
        <w:r w:rsidRPr="00CF5B45">
          <w:rPr>
            <w:rStyle w:val="Hyperlink"/>
            <w:lang w:val="es-ES_tradnl"/>
          </w:rPr>
          <w:t>https://www.itu.int/es/ITU-T/ipr/Pages/policy.aspx</w:t>
        </w:r>
      </w:hyperlink>
      <w:r w:rsidRPr="00CF5B45">
        <w:rPr>
          <w:lang w:val="es-ES_tradnl"/>
        </w:rPr>
        <w:t>.</w:t>
      </w:r>
    </w:p>
    <w:p w14:paraId="0FDDFAD7" w14:textId="77777777" w:rsidR="006A4F95" w:rsidRPr="00CF5B45" w:rsidRDefault="006A4F95" w:rsidP="006A4F95">
      <w:pPr>
        <w:spacing w:before="1200"/>
        <w:jc w:val="left"/>
        <w:rPr>
          <w:bCs/>
          <w:lang w:val="es-ES_tradnl"/>
        </w:rPr>
      </w:pPr>
      <w:r w:rsidRPr="00CF5B45">
        <w:rPr>
          <w:lang w:val="es-ES_tradnl"/>
        </w:rPr>
        <w:t>Mario Maniewicz</w:t>
      </w:r>
      <w:r w:rsidRPr="00CF5B45">
        <w:rPr>
          <w:lang w:val="es-ES_tradnl"/>
        </w:rPr>
        <w:br/>
      </w:r>
      <w:r w:rsidRPr="00CF5B45">
        <w:rPr>
          <w:bCs/>
          <w:lang w:val="es-ES_tradnl"/>
        </w:rPr>
        <w:t>Director</w:t>
      </w:r>
    </w:p>
    <w:p w14:paraId="51ECBA6F" w14:textId="77777777" w:rsidR="006A4F95" w:rsidRPr="00CF5B45" w:rsidRDefault="006A4F95" w:rsidP="00CF5B45">
      <w:pPr>
        <w:tabs>
          <w:tab w:val="clear" w:pos="794"/>
          <w:tab w:val="clear" w:pos="1191"/>
        </w:tabs>
        <w:spacing w:before="2400"/>
        <w:rPr>
          <w:lang w:val="es-ES_tradnl"/>
        </w:rPr>
      </w:pPr>
      <w:r w:rsidRPr="00CF5B45">
        <w:rPr>
          <w:b/>
          <w:bCs/>
          <w:lang w:val="es-ES_tradnl"/>
        </w:rPr>
        <w:t>Anexo:</w:t>
      </w:r>
      <w:r w:rsidRPr="00CF5B45">
        <w:rPr>
          <w:b/>
          <w:bCs/>
          <w:lang w:val="es-ES_tradnl"/>
        </w:rPr>
        <w:tab/>
      </w:r>
      <w:r w:rsidRPr="00CF5B45">
        <w:rPr>
          <w:lang w:val="es-ES_tradnl"/>
        </w:rPr>
        <w:t>Títulos y resúmenes de los proyectos de Recomendación</w:t>
      </w:r>
    </w:p>
    <w:p w14:paraId="01B9143D" w14:textId="77777777" w:rsidR="006A4F95" w:rsidRPr="00CF5B45" w:rsidRDefault="006A4F95" w:rsidP="00CF5B45">
      <w:pPr>
        <w:tabs>
          <w:tab w:val="clear" w:pos="794"/>
          <w:tab w:val="clear" w:pos="1191"/>
          <w:tab w:val="clear" w:pos="1588"/>
        </w:tabs>
        <w:spacing w:before="1000"/>
        <w:rPr>
          <w:lang w:val="es-ES_tradnl"/>
        </w:rPr>
      </w:pPr>
      <w:r w:rsidRPr="00CF5B45">
        <w:rPr>
          <w:b/>
          <w:bCs/>
          <w:lang w:val="es-ES_tradnl"/>
        </w:rPr>
        <w:t>Documentos:</w:t>
      </w:r>
      <w:r w:rsidRPr="00CF5B45">
        <w:rPr>
          <w:b/>
          <w:bCs/>
          <w:lang w:val="es-ES_tradnl"/>
        </w:rPr>
        <w:tab/>
      </w:r>
      <w:r w:rsidRPr="00CF5B45">
        <w:rPr>
          <w:lang w:val="es-ES_tradnl"/>
        </w:rPr>
        <w:t>Documentos 7/38(Rev.1), 7/42(Rev.1) y 7/47(Rev.1)</w:t>
      </w:r>
    </w:p>
    <w:p w14:paraId="344A0875" w14:textId="77777777" w:rsidR="006A4F95" w:rsidRPr="00CF5B45" w:rsidRDefault="006A4F95" w:rsidP="006A4F95">
      <w:pPr>
        <w:rPr>
          <w:lang w:val="es-ES_tradnl"/>
        </w:rPr>
      </w:pPr>
      <w:r w:rsidRPr="00CF5B45">
        <w:rPr>
          <w:lang w:val="es-ES_tradnl"/>
        </w:rPr>
        <w:t xml:space="preserve">Estos documentos están disponibles en formato electrónico a través de la dirección electrónica: </w:t>
      </w:r>
      <w:hyperlink r:id="rId12" w:history="1">
        <w:r w:rsidRPr="00CF5B45">
          <w:rPr>
            <w:rStyle w:val="Hyperlink"/>
            <w:lang w:val="es-ES_tradnl"/>
          </w:rPr>
          <w:t>https://www.itu.int/md/R23-SG07-C/es</w:t>
        </w:r>
      </w:hyperlink>
      <w:r w:rsidRPr="00CF5B45">
        <w:rPr>
          <w:lang w:val="es-ES_tradnl"/>
        </w:rPr>
        <w:t>.</w:t>
      </w:r>
    </w:p>
    <w:p w14:paraId="17332F00" w14:textId="77777777" w:rsidR="006A4F95" w:rsidRPr="00CF5B45" w:rsidRDefault="006A4F95" w:rsidP="006A4F95">
      <w:pPr>
        <w:rPr>
          <w:lang w:val="es-ES_tradnl"/>
        </w:rPr>
      </w:pPr>
      <w:r w:rsidRPr="00CF5B45">
        <w:rPr>
          <w:lang w:val="es-ES_tradnl"/>
        </w:rPr>
        <w:br w:type="page"/>
      </w:r>
    </w:p>
    <w:p w14:paraId="219EC9DA" w14:textId="77777777" w:rsidR="006A4F95" w:rsidRPr="00CF5B45" w:rsidRDefault="006A4F95" w:rsidP="006A4F95">
      <w:pPr>
        <w:pStyle w:val="AnnexNoTitle"/>
        <w:rPr>
          <w:lang w:val="es-ES_tradnl"/>
        </w:rPr>
      </w:pPr>
      <w:r w:rsidRPr="00CF5B45">
        <w:rPr>
          <w:lang w:val="es-ES_tradnl"/>
        </w:rPr>
        <w:lastRenderedPageBreak/>
        <w:t>Anexo</w:t>
      </w:r>
      <w:r w:rsidRPr="00CF5B45">
        <w:rPr>
          <w:lang w:val="es-ES_tradnl"/>
        </w:rPr>
        <w:br/>
      </w:r>
      <w:r w:rsidRPr="00CF5B45">
        <w:rPr>
          <w:lang w:val="es-ES_tradnl"/>
        </w:rPr>
        <w:br/>
        <w:t>Títulos y resúmenes de los proyectos de Recomendación</w:t>
      </w:r>
      <w:r w:rsidRPr="00CF5B45">
        <w:rPr>
          <w:lang w:val="es-ES_tradnl"/>
        </w:rPr>
        <w:br/>
        <w:t>aprobados por la Comisión de Estudio 7 de Radiocomunicaciones</w:t>
      </w:r>
    </w:p>
    <w:p w14:paraId="63B2622C" w14:textId="77777777" w:rsidR="006A4F95" w:rsidRPr="00CF5B45" w:rsidRDefault="006A4F95" w:rsidP="006A4F95">
      <w:pPr>
        <w:tabs>
          <w:tab w:val="clear" w:pos="794"/>
          <w:tab w:val="clear" w:pos="1191"/>
          <w:tab w:val="clear" w:pos="1588"/>
          <w:tab w:val="clear" w:pos="1985"/>
          <w:tab w:val="right" w:pos="9639"/>
        </w:tabs>
        <w:spacing w:before="480"/>
        <w:rPr>
          <w:lang w:val="es-ES_tradnl"/>
        </w:rPr>
      </w:pPr>
      <w:r w:rsidRPr="00CF5B45">
        <w:rPr>
          <w:u w:val="single"/>
          <w:lang w:val="es-ES_tradnl"/>
        </w:rPr>
        <w:t>Proyecto de nueva Recomendación UIT-R</w:t>
      </w:r>
      <w:r w:rsidRPr="00CF5B45">
        <w:rPr>
          <w:u w:val="single"/>
          <w:lang w:val="es-ES_tradnl" w:eastAsia="zh-CN"/>
        </w:rPr>
        <w:t xml:space="preserve"> </w:t>
      </w:r>
      <w:proofErr w:type="gramStart"/>
      <w:r w:rsidRPr="00CF5B45">
        <w:rPr>
          <w:rStyle w:val="href"/>
          <w:u w:val="single"/>
          <w:lang w:val="es-ES_tradnl" w:eastAsia="zh-CN"/>
        </w:rPr>
        <w:t>RA.[</w:t>
      </w:r>
      <w:proofErr w:type="gramEnd"/>
      <w:r w:rsidRPr="00CF5B45">
        <w:rPr>
          <w:rStyle w:val="href"/>
          <w:u w:val="single"/>
          <w:lang w:val="es-ES_tradnl" w:eastAsia="zh-CN"/>
        </w:rPr>
        <w:t>GEOVLBI]</w:t>
      </w:r>
      <w:r w:rsidRPr="00CF5B45">
        <w:rPr>
          <w:lang w:val="es-ES_tradnl"/>
        </w:rPr>
        <w:tab/>
        <w:t>Doc. 7/38(Rev.1)</w:t>
      </w:r>
    </w:p>
    <w:p w14:paraId="4D6D11BE" w14:textId="77777777" w:rsidR="006A4F95" w:rsidRPr="00CF5B45" w:rsidRDefault="006A4F95" w:rsidP="006A4F95">
      <w:pPr>
        <w:pStyle w:val="Rectitle"/>
        <w:spacing w:before="320"/>
        <w:rPr>
          <w:szCs w:val="24"/>
          <w:lang w:val="es-ES_tradnl"/>
        </w:rPr>
      </w:pPr>
      <w:r w:rsidRPr="00CF5B45">
        <w:rPr>
          <w:szCs w:val="24"/>
          <w:lang w:val="es-ES_tradnl" w:eastAsia="zh-CN"/>
        </w:rPr>
        <w:t>Redes mundiales de interferometría geodésica de línea de base muy larga</w:t>
      </w:r>
    </w:p>
    <w:p w14:paraId="6C4E851B" w14:textId="77777777" w:rsidR="006A4F95" w:rsidRPr="00CF5B45" w:rsidRDefault="006A4F95" w:rsidP="006A4F95">
      <w:pPr>
        <w:pStyle w:val="Summary"/>
        <w:rPr>
          <w:lang w:val="es-ES_tradnl"/>
        </w:rPr>
      </w:pPr>
      <w:r w:rsidRPr="00CF5B45">
        <w:rPr>
          <w:lang w:val="es-ES_tradnl" w:eastAsia="ja-JP"/>
        </w:rPr>
        <w:t>En esta Recomendación se describen las observaciones de interferometría geodésica de línea de base muy larga (VLBI) necesarias para obtener datos de suma importancia para una amplia gama de fines gubernamentales, económicos, sociales y científicos, y se recomienda que las administraciones presten asistencia para evitar interferencias perjudiciales a las estaciones del servicio VLBI internacional para geodesia y astrometría.</w:t>
      </w:r>
    </w:p>
    <w:p w14:paraId="1B5549E8" w14:textId="77777777" w:rsidR="006A4F95" w:rsidRPr="00CF5B45" w:rsidRDefault="006A4F95" w:rsidP="006A4F95">
      <w:pPr>
        <w:tabs>
          <w:tab w:val="clear" w:pos="794"/>
          <w:tab w:val="clear" w:pos="1191"/>
          <w:tab w:val="clear" w:pos="1588"/>
          <w:tab w:val="clear" w:pos="1985"/>
          <w:tab w:val="right" w:pos="9639"/>
        </w:tabs>
        <w:spacing w:before="360"/>
        <w:rPr>
          <w:lang w:val="es-ES_tradnl"/>
        </w:rPr>
      </w:pPr>
      <w:r w:rsidRPr="00CF5B45">
        <w:rPr>
          <w:u w:val="single"/>
          <w:lang w:val="es-ES_tradnl"/>
        </w:rPr>
        <w:t xml:space="preserve">Proyecto de revisión de la Recomendación UIT-R </w:t>
      </w:r>
      <w:r w:rsidRPr="00CF5B45">
        <w:rPr>
          <w:u w:val="single"/>
          <w:lang w:val="es-ES_tradnl" w:eastAsia="zh-CN"/>
        </w:rPr>
        <w:t>RS.577-7</w:t>
      </w:r>
      <w:r w:rsidRPr="00CF5B45">
        <w:rPr>
          <w:lang w:val="es-ES_tradnl"/>
        </w:rPr>
        <w:tab/>
        <w:t>Doc. 7/42(Rev.1)</w:t>
      </w:r>
    </w:p>
    <w:p w14:paraId="32010EBE" w14:textId="77777777" w:rsidR="006A4F95" w:rsidRPr="00CF5B45" w:rsidRDefault="006A4F95" w:rsidP="006A4F95">
      <w:pPr>
        <w:pStyle w:val="Rectitle"/>
        <w:spacing w:before="320"/>
        <w:rPr>
          <w:lang w:val="es-ES_tradnl" w:eastAsia="zh-CN"/>
        </w:rPr>
      </w:pPr>
      <w:r w:rsidRPr="00CF5B45">
        <w:rPr>
          <w:lang w:val="es-ES_tradnl" w:eastAsia="zh-CN"/>
        </w:rPr>
        <w:t>Bandas de frecuencias y anchuras de banda requeridas utilizadas para la detección activa desde vehículos espaciales que funcionan en los servicios de exploración de la Tierra por satélite (activo) y de investigación espacial (activo)</w:t>
      </w:r>
    </w:p>
    <w:p w14:paraId="6D9F511C" w14:textId="2DFC25B3" w:rsidR="006A4F95" w:rsidRPr="00CF5B45" w:rsidRDefault="006A4F95" w:rsidP="006A4F95">
      <w:pPr>
        <w:rPr>
          <w:lang w:val="es-ES_tradnl"/>
        </w:rPr>
      </w:pPr>
      <w:r w:rsidRPr="00CF5B45">
        <w:rPr>
          <w:lang w:val="es-ES_tradnl"/>
        </w:rPr>
        <w:t>Las revisiones propuestas añaden información sobre un nuevo tipo de sensor activo, las sondas de radar, así como sobre una clase especial de sistemas generadores de imágenes de radar de apertura sintética (SAR) denominados radares de detección del equivalente de agua de nieve (SWE). Los valores de banda de frecuencias y ancho de banda de aplicación para el tipo de sensor activo de sonda de radar se incluyen en el Cuadro 1, cuyas columnas se han reorganizado en orden creciente de valores desde la frecuencia central más baja posible. Los valores de ancho de banda del Cuadro</w:t>
      </w:r>
      <w:r w:rsidR="00CF5B45">
        <w:rPr>
          <w:lang w:val="es-ES_tradnl"/>
        </w:rPr>
        <w:t> </w:t>
      </w:r>
      <w:r w:rsidRPr="00CF5B45">
        <w:rPr>
          <w:lang w:val="es-ES_tradnl"/>
        </w:rPr>
        <w:t xml:space="preserve">1 se han perfeccionado para ajustarlos mejor a las características de los sensores activos que figuran en la Recomendación </w:t>
      </w:r>
      <w:hyperlink r:id="rId13" w:history="1">
        <w:r w:rsidRPr="00CF5B45">
          <w:rPr>
            <w:rStyle w:val="Hyperlink"/>
            <w:lang w:val="es-ES_tradnl"/>
          </w:rPr>
          <w:t>UIT-R RS.2105</w:t>
        </w:r>
      </w:hyperlink>
      <w:r w:rsidRPr="00CF5B45">
        <w:rPr>
          <w:lang w:val="es-ES_tradnl"/>
        </w:rPr>
        <w:t>-3. Además, se ha añadido una nueva sección (</w:t>
      </w:r>
      <w:r w:rsidR="00CF5B45" w:rsidRPr="00CF5B45">
        <w:rPr>
          <w:lang w:val="es-ES_tradnl"/>
        </w:rPr>
        <w:t xml:space="preserve">sección </w:t>
      </w:r>
      <w:r w:rsidRPr="00CF5B45">
        <w:rPr>
          <w:lang w:val="es-ES_tradnl"/>
        </w:rPr>
        <w:t xml:space="preserve">6) en la que se describen aplicaciones de sondas de radar a efectos de la detección activa de acuíferos y capas de hielo. La expresión para la resolución de la distancia de superficie que figura en la </w:t>
      </w:r>
      <w:r w:rsidR="00CF5B45" w:rsidRPr="00CF5B45">
        <w:rPr>
          <w:lang w:val="es-ES_tradnl"/>
        </w:rPr>
        <w:t>sección</w:t>
      </w:r>
      <w:r w:rsidR="00CF5B45">
        <w:rPr>
          <w:lang w:val="es-ES_tradnl"/>
        </w:rPr>
        <w:t> </w:t>
      </w:r>
      <w:r w:rsidRPr="00CF5B45">
        <w:rPr>
          <w:lang w:val="es-ES_tradnl"/>
        </w:rPr>
        <w:t>8 se ha corregido para tener en cuenta un modelo de Tierra esférica. Por último, se han añadido una sección «Palabras clave» y una sección «Abreviaturas/Glosario» después de la sección «Alcance» al principio de la Recomendación, junto con una sección «Índice» en el Anexo 1, ya que el texto tiene más de 5 páginas.</w:t>
      </w:r>
    </w:p>
    <w:p w14:paraId="13F780F5" w14:textId="77777777" w:rsidR="006A4F95" w:rsidRPr="00CF5B45" w:rsidRDefault="006A4F95" w:rsidP="006A4F95">
      <w:pPr>
        <w:tabs>
          <w:tab w:val="clear" w:pos="794"/>
          <w:tab w:val="clear" w:pos="1191"/>
          <w:tab w:val="clear" w:pos="1588"/>
          <w:tab w:val="clear" w:pos="1985"/>
          <w:tab w:val="right" w:pos="9639"/>
        </w:tabs>
        <w:spacing w:before="360"/>
        <w:rPr>
          <w:lang w:val="es-ES_tradnl"/>
        </w:rPr>
      </w:pPr>
      <w:r w:rsidRPr="00CF5B45">
        <w:rPr>
          <w:u w:val="single"/>
          <w:lang w:val="es-ES_tradnl"/>
        </w:rPr>
        <w:t xml:space="preserve">Proyecto de revisión de la Recomendación UIT-R </w:t>
      </w:r>
      <w:r w:rsidRPr="00CF5B45">
        <w:rPr>
          <w:rStyle w:val="href"/>
          <w:u w:val="single"/>
          <w:lang w:val="es-ES_tradnl"/>
        </w:rPr>
        <w:t>TF.374-6</w:t>
      </w:r>
      <w:r w:rsidRPr="00CF5B45">
        <w:rPr>
          <w:lang w:val="es-ES_tradnl"/>
        </w:rPr>
        <w:tab/>
        <w:t>Doc. 7/47(Rev.1)</w:t>
      </w:r>
    </w:p>
    <w:p w14:paraId="191AEC21" w14:textId="77777777" w:rsidR="006A4F95" w:rsidRPr="00CF5B45" w:rsidRDefault="006A4F95" w:rsidP="006A4F95">
      <w:pPr>
        <w:pStyle w:val="Rectitle"/>
        <w:spacing w:before="240"/>
        <w:rPr>
          <w:lang w:val="es-ES_tradnl"/>
        </w:rPr>
      </w:pPr>
      <w:r w:rsidRPr="00CF5B45">
        <w:rPr>
          <w:lang w:val="es-ES_tradnl"/>
        </w:rPr>
        <w:t>Transmisiones de frecuencias precisas y de señales horarias</w:t>
      </w:r>
    </w:p>
    <w:p w14:paraId="38E17F83" w14:textId="77777777" w:rsidR="006A4F95" w:rsidRPr="00CF5B45" w:rsidRDefault="006A4F95" w:rsidP="006A4F95">
      <w:pPr>
        <w:pStyle w:val="Normalaftertitle"/>
        <w:spacing w:before="120"/>
        <w:rPr>
          <w:b/>
          <w:lang w:val="es-ES_tradnl"/>
        </w:rPr>
      </w:pPr>
      <w:r w:rsidRPr="00CF5B45">
        <w:rPr>
          <w:b/>
          <w:lang w:val="es-ES_tradnl"/>
        </w:rPr>
        <w:t>Resumen de las modificaciones:</w:t>
      </w:r>
    </w:p>
    <w:p w14:paraId="3DE5900B" w14:textId="77777777" w:rsidR="006A4F95" w:rsidRPr="00CF5B45" w:rsidRDefault="006A4F95" w:rsidP="006A4F95">
      <w:pPr>
        <w:pStyle w:val="enumlev1"/>
        <w:rPr>
          <w:lang w:val="es-ES_tradnl"/>
        </w:rPr>
      </w:pPr>
      <w:r w:rsidRPr="00CF5B45">
        <w:rPr>
          <w:lang w:val="es-ES_tradnl"/>
        </w:rPr>
        <w:t>–</w:t>
      </w:r>
      <w:r w:rsidRPr="00CF5B45">
        <w:rPr>
          <w:lang w:val="es-ES_tradnl"/>
        </w:rPr>
        <w:tab/>
        <w:t>las designaciones de ciertas bandas de frecuencias no se ajustan a lo dispuesto en el Reglamento de Radiocomunicaciones; por tanto, se proponen correcciones;</w:t>
      </w:r>
    </w:p>
    <w:p w14:paraId="2AD3CC77" w14:textId="77777777" w:rsidR="006A4F95" w:rsidRPr="00CF5B45" w:rsidRDefault="006A4F95" w:rsidP="006A4F95">
      <w:pPr>
        <w:pStyle w:val="enumlev1"/>
        <w:rPr>
          <w:lang w:val="es-ES_tradnl"/>
        </w:rPr>
      </w:pPr>
      <w:r w:rsidRPr="00CF5B45">
        <w:rPr>
          <w:lang w:val="es-ES_tradnl"/>
        </w:rPr>
        <w:t>–</w:t>
      </w:r>
      <w:r w:rsidRPr="00CF5B45">
        <w:rPr>
          <w:lang w:val="es-ES_tradnl"/>
        </w:rPr>
        <w:tab/>
        <w:t xml:space="preserve">se propone añadir la frecuencia 162 kHz de conformidad con el Informe </w:t>
      </w:r>
      <w:hyperlink r:id="rId14" w:history="1">
        <w:r w:rsidRPr="00CF5B45">
          <w:rPr>
            <w:rStyle w:val="Hyperlink"/>
            <w:lang w:val="es-ES_tradnl"/>
          </w:rPr>
          <w:t>UIT-R TF.2487</w:t>
        </w:r>
      </w:hyperlink>
      <w:r w:rsidRPr="00CF5B45">
        <w:rPr>
          <w:lang w:val="es-ES_tradnl"/>
        </w:rPr>
        <w:t xml:space="preserve"> y la frecuencia 225 kHz de conformidad con el Suplemento de la Recomendación </w:t>
      </w:r>
      <w:hyperlink r:id="rId15" w:history="1">
        <w:r w:rsidRPr="00CF5B45">
          <w:rPr>
            <w:rStyle w:val="Hyperlink"/>
            <w:lang w:val="es-ES_tradnl"/>
          </w:rPr>
          <w:t>UIT-R TF.768</w:t>
        </w:r>
      </w:hyperlink>
      <w:r w:rsidRPr="00CF5B45">
        <w:rPr>
          <w:lang w:val="es-ES_tradnl"/>
        </w:rPr>
        <w:t>;</w:t>
      </w:r>
    </w:p>
    <w:p w14:paraId="1A57BC3C" w14:textId="5443CEA8" w:rsidR="006A4F95" w:rsidRPr="00CF5B45" w:rsidRDefault="006A4F95" w:rsidP="006A4F95">
      <w:pPr>
        <w:pStyle w:val="enumlev1"/>
        <w:rPr>
          <w:lang w:val="es-ES_tradnl"/>
        </w:rPr>
      </w:pPr>
      <w:r w:rsidRPr="00CF5B45">
        <w:rPr>
          <w:lang w:val="es-ES_tradnl"/>
        </w:rPr>
        <w:t>–</w:t>
      </w:r>
      <w:r w:rsidRPr="00CF5B45">
        <w:rPr>
          <w:lang w:val="es-ES_tradnl"/>
        </w:rPr>
        <w:tab/>
        <w:t xml:space="preserve">se propone eliminar la referencia a la Cuestión </w:t>
      </w:r>
      <w:hyperlink r:id="rId16" w:history="1">
        <w:r w:rsidRPr="00CF5B45">
          <w:rPr>
            <w:rStyle w:val="Hyperlink"/>
            <w:lang w:val="es-ES_tradnl"/>
          </w:rPr>
          <w:t>UIT-R 152-2/7</w:t>
        </w:r>
      </w:hyperlink>
      <w:r w:rsidRPr="00CF5B45">
        <w:rPr>
          <w:lang w:val="es-ES_tradnl"/>
        </w:rPr>
        <w:t>, que fue suprimida el 12</w:t>
      </w:r>
      <w:r w:rsidR="00CF5B45" w:rsidRPr="00CF5B45">
        <w:rPr>
          <w:lang w:val="es-ES_tradnl"/>
        </w:rPr>
        <w:t xml:space="preserve"> de enero de 20</w:t>
      </w:r>
      <w:r w:rsidRPr="00CF5B45">
        <w:rPr>
          <w:lang w:val="es-ES_tradnl"/>
        </w:rPr>
        <w:t>24 (</w:t>
      </w:r>
      <w:hyperlink r:id="rId17" w:history="1">
        <w:r w:rsidRPr="00CF5B45">
          <w:rPr>
            <w:rStyle w:val="Hyperlink"/>
            <w:lang w:val="es-ES_tradnl"/>
          </w:rPr>
          <w:t>CACE/1099</w:t>
        </w:r>
      </w:hyperlink>
      <w:r w:rsidRPr="00CF5B45">
        <w:rPr>
          <w:lang w:val="es-ES_tradnl"/>
        </w:rPr>
        <w:t>);</w:t>
      </w:r>
    </w:p>
    <w:p w14:paraId="32DD1CD2" w14:textId="77777777" w:rsidR="006A4F95" w:rsidRPr="00CF5B45" w:rsidRDefault="006A4F95" w:rsidP="006A4F95">
      <w:pPr>
        <w:pStyle w:val="enumlev1"/>
        <w:spacing w:before="160"/>
        <w:rPr>
          <w:lang w:val="es-ES_tradnl"/>
        </w:rPr>
      </w:pPr>
      <w:r w:rsidRPr="00CF5B45">
        <w:rPr>
          <w:lang w:val="es-ES_tradnl"/>
        </w:rPr>
        <w:t>–</w:t>
      </w:r>
      <w:r w:rsidRPr="00CF5B45">
        <w:rPr>
          <w:lang w:val="es-ES_tradnl"/>
        </w:rPr>
        <w:tab/>
        <w:t>se proponen diversas correcciones formales.</w:t>
      </w:r>
    </w:p>
    <w:p w14:paraId="26EE546E" w14:textId="74E0A261" w:rsidR="00566FB9" w:rsidRPr="00CF5B45" w:rsidRDefault="006A4F95" w:rsidP="006A4F95">
      <w:pPr>
        <w:tabs>
          <w:tab w:val="left" w:pos="567"/>
        </w:tabs>
        <w:spacing w:before="120" w:after="120"/>
        <w:ind w:left="1134" w:hanging="1134"/>
        <w:jc w:val="center"/>
        <w:rPr>
          <w:lang w:val="es-ES_tradnl"/>
        </w:rPr>
      </w:pPr>
      <w:r w:rsidRPr="00CF5B45">
        <w:rPr>
          <w:lang w:val="es-ES_tradnl"/>
        </w:rPr>
        <w:t>________________</w:t>
      </w:r>
    </w:p>
    <w:sectPr w:rsidR="00566FB9" w:rsidRPr="00CF5B45" w:rsidSect="002B5B48">
      <w:headerReference w:type="even" r:id="rId18"/>
      <w:headerReference w:type="default" r:id="rId19"/>
      <w:footerReference w:type="even" r:id="rId20"/>
      <w:footerReference w:type="default" r:id="rId21"/>
      <w:headerReference w:type="first" r:id="rId22"/>
      <w:footerReference w:type="first" r:id="rId23"/>
      <w:pgSz w:w="11907" w:h="16834" w:code="9"/>
      <w:pgMar w:top="1134" w:right="1134" w:bottom="992"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EEF2B" w14:textId="77777777" w:rsidR="002B7EE0" w:rsidRDefault="002B7EE0">
      <w:r>
        <w:separator/>
      </w:r>
    </w:p>
  </w:endnote>
  <w:endnote w:type="continuationSeparator" w:id="0">
    <w:p w14:paraId="77A46DFC" w14:textId="77777777" w:rsidR="002B7EE0" w:rsidRDefault="002B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0AB5D" w14:textId="77777777" w:rsidR="00F03CEC" w:rsidRDefault="00F03C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16AE1" w14:textId="77777777" w:rsidR="00F03CEC" w:rsidRDefault="00F03C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B5DD" w14:textId="36350BBA" w:rsidR="005370F0" w:rsidRPr="00B64383" w:rsidRDefault="00CF7B6D" w:rsidP="00132DD2">
    <w:pPr>
      <w:pStyle w:val="Footer"/>
      <w:spacing w:before="0" w:line="240" w:lineRule="auto"/>
      <w:jc w:val="center"/>
      <w:rPr>
        <w:sz w:val="19"/>
        <w:szCs w:val="19"/>
        <w:lang w:val="es-ES"/>
      </w:rPr>
    </w:pPr>
    <w:r w:rsidRPr="00353E34">
      <w:rPr>
        <w:color w:val="4F81BD" w:themeColor="accent1"/>
        <w:sz w:val="19"/>
        <w:szCs w:val="19"/>
        <w:lang w:val="es-ES"/>
      </w:rPr>
      <w:t>Unión Internacional de Telecomunicaciones • Place des Nations, CH-1211 Ginebra 20, Suiza</w:t>
    </w:r>
    <w:r w:rsidRPr="00353E34">
      <w:rPr>
        <w:color w:val="4F81BD" w:themeColor="accent1"/>
        <w:sz w:val="19"/>
        <w:szCs w:val="19"/>
        <w:lang w:val="es-ES"/>
      </w:rPr>
      <w:br/>
      <w:t xml:space="preserve">Tel.: +41 22 730 5111 • Correo-e: </w:t>
    </w:r>
    <w:r w:rsidR="00F03CEC">
      <w:fldChar w:fldCharType="begin"/>
    </w:r>
    <w:r w:rsidR="00F03CEC" w:rsidRPr="006A4F95">
      <w:rPr>
        <w:lang w:val="es-ES"/>
      </w:rPr>
      <w:instrText>HYPERLINK "mailto:itumail@itu.int"</w:instrText>
    </w:r>
    <w:r w:rsidR="00F03CEC">
      <w:fldChar w:fldCharType="separate"/>
    </w:r>
    <w:r w:rsidR="00F03CEC" w:rsidRPr="006A4F95">
      <w:rPr>
        <w:rStyle w:val="Hyperlink"/>
        <w:sz w:val="19"/>
        <w:szCs w:val="19"/>
        <w:lang w:val="es-ES"/>
      </w:rPr>
      <w:t>itumail@itu.int</w:t>
    </w:r>
    <w:r w:rsidR="00F03CEC">
      <w:fldChar w:fldCharType="end"/>
    </w:r>
    <w:r w:rsidRPr="00353E34">
      <w:rPr>
        <w:color w:val="4F81BD" w:themeColor="accent1"/>
        <w:sz w:val="19"/>
        <w:szCs w:val="19"/>
        <w:lang w:val="es-ES"/>
      </w:rPr>
      <w:t xml:space="preserve"> </w:t>
    </w:r>
    <w:r w:rsidRPr="00353E34">
      <w:rPr>
        <w:color w:val="4F81BD"/>
        <w:sz w:val="19"/>
        <w:szCs w:val="19"/>
        <w:lang w:val="es-ES"/>
      </w:rPr>
      <w:t xml:space="preserve">• Fax: +41 22 733 7256 • </w:t>
    </w:r>
    <w:hyperlink r:id="rId1" w:history="1">
      <w:r w:rsidR="00763B61" w:rsidRPr="00EA7423">
        <w:rPr>
          <w:rStyle w:val="Hyperlink"/>
          <w:sz w:val="19"/>
          <w:szCs w:val="19"/>
          <w:lang w:val="es-E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51E98" w14:textId="77777777" w:rsidR="002B7EE0" w:rsidRDefault="002B7EE0">
      <w:r>
        <w:t>____________________</w:t>
      </w:r>
    </w:p>
  </w:footnote>
  <w:footnote w:type="continuationSeparator" w:id="0">
    <w:p w14:paraId="1E70CB41" w14:textId="77777777" w:rsidR="002B7EE0" w:rsidRDefault="002B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AE91" w14:textId="2AF6DD6E" w:rsidR="00E915AF" w:rsidRPr="00D239B4" w:rsidRDefault="00D97EF5" w:rsidP="00F167FB">
    <w:pPr>
      <w:pStyle w:val="Header"/>
      <w:jc w:val="center"/>
      <w:rPr>
        <w:sz w:val="18"/>
        <w:szCs w:val="16"/>
      </w:rPr>
    </w:pPr>
    <w:r>
      <w:rPr>
        <w:sz w:val="18"/>
        <w:szCs w:val="16"/>
      </w:rPr>
      <w:t xml:space="preserve">- </w:t>
    </w:r>
    <w:r w:rsidR="001B42C9" w:rsidRPr="00D239B4">
      <w:rPr>
        <w:rStyle w:val="PageNumber"/>
        <w:sz w:val="18"/>
        <w:szCs w:val="16"/>
      </w:rPr>
      <w:fldChar w:fldCharType="begin"/>
    </w:r>
    <w:r w:rsidR="00E915AF" w:rsidRPr="00D239B4">
      <w:rPr>
        <w:rStyle w:val="PageNumber"/>
        <w:sz w:val="18"/>
        <w:szCs w:val="16"/>
      </w:rPr>
      <w:instrText xml:space="preserve"> PAGE </w:instrText>
    </w:r>
    <w:r w:rsidR="001B42C9" w:rsidRPr="00D239B4">
      <w:rPr>
        <w:rStyle w:val="PageNumber"/>
        <w:sz w:val="18"/>
        <w:szCs w:val="16"/>
      </w:rPr>
      <w:fldChar w:fldCharType="separate"/>
    </w:r>
    <w:r w:rsidR="001B0DA8">
      <w:rPr>
        <w:rStyle w:val="PageNumber"/>
        <w:noProof/>
        <w:sz w:val="18"/>
        <w:szCs w:val="16"/>
      </w:rPr>
      <w:t>2</w:t>
    </w:r>
    <w:r w:rsidR="001B42C9" w:rsidRPr="00D239B4">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A1DC5" w14:textId="504BA94A" w:rsidR="00E915AF" w:rsidRPr="00C36CC6" w:rsidRDefault="00C36CC6" w:rsidP="00C36CC6">
    <w:pPr>
      <w:pStyle w:val="Header"/>
      <w:jc w:val="center"/>
      <w:rPr>
        <w:sz w:val="18"/>
        <w:szCs w:val="16"/>
      </w:rPr>
    </w:pPr>
    <w:r>
      <w:rPr>
        <w:sz w:val="18"/>
        <w:szCs w:val="16"/>
      </w:rPr>
      <w:t xml:space="preserve">- </w:t>
    </w:r>
    <w:r w:rsidRPr="00D239B4">
      <w:rPr>
        <w:rStyle w:val="PageNumber"/>
        <w:sz w:val="18"/>
        <w:szCs w:val="16"/>
      </w:rPr>
      <w:fldChar w:fldCharType="begin"/>
    </w:r>
    <w:r w:rsidRPr="00D239B4">
      <w:rPr>
        <w:rStyle w:val="PageNumber"/>
        <w:sz w:val="18"/>
        <w:szCs w:val="16"/>
      </w:rPr>
      <w:instrText xml:space="preserve"> PAGE </w:instrText>
    </w:r>
    <w:r w:rsidRPr="00D239B4">
      <w:rPr>
        <w:rStyle w:val="PageNumber"/>
        <w:sz w:val="18"/>
        <w:szCs w:val="16"/>
      </w:rPr>
      <w:fldChar w:fldCharType="separate"/>
    </w:r>
    <w:r w:rsidR="001B0DA8">
      <w:rPr>
        <w:rStyle w:val="PageNumber"/>
        <w:noProof/>
        <w:sz w:val="18"/>
        <w:szCs w:val="16"/>
      </w:rPr>
      <w:t>3</w:t>
    </w:r>
    <w:r w:rsidRPr="00D239B4">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4A934" w14:textId="2880F095" w:rsidR="002B5B48" w:rsidRPr="001B3D4D" w:rsidRDefault="008F6C52" w:rsidP="008F6C52">
    <w:pPr>
      <w:pStyle w:val="Header"/>
      <w:spacing w:line="360" w:lineRule="auto"/>
      <w:jc w:val="center"/>
    </w:pPr>
    <w:r w:rsidRPr="00A35CB8">
      <w:rPr>
        <w:noProof/>
      </w:rPr>
      <w:drawing>
        <wp:inline distT="0" distB="0" distL="0" distR="0" wp14:anchorId="69DFDEBE" wp14:editId="4C710AD8">
          <wp:extent cx="895350" cy="895350"/>
          <wp:effectExtent l="0" t="0" r="0" b="0"/>
          <wp:docPr id="792153860" name="Picture 4"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5214964" descr="A blue logo with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r>
      <w:tab/>
    </w:r>
    <w:r>
      <w:tab/>
    </w:r>
    <w:r w:rsidRPr="00A35CB8">
      <w:rPr>
        <w:noProof/>
      </w:rPr>
      <w:drawing>
        <wp:inline distT="0" distB="0" distL="0" distR="0" wp14:anchorId="27B9E8EC" wp14:editId="22296128">
          <wp:extent cx="847725" cy="895350"/>
          <wp:effectExtent l="0" t="0" r="9525" b="0"/>
          <wp:docPr id="4389296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5541952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33599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activeWritingStyle w:appName="MSWord" w:lang="fr-CH" w:vendorID="64" w:dllVersion="6"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en-US" w:vendorID="64" w:dllVersion="6" w:nlCheck="1" w:checkStyle="1"/>
  <w:activeWritingStyle w:appName="MSWord" w:lang="es-ES"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2B7EE0"/>
    <w:rsid w:val="00006A31"/>
    <w:rsid w:val="00006C82"/>
    <w:rsid w:val="00010E30"/>
    <w:rsid w:val="00015C76"/>
    <w:rsid w:val="0002119E"/>
    <w:rsid w:val="00026CF8"/>
    <w:rsid w:val="00030BD7"/>
    <w:rsid w:val="00031E64"/>
    <w:rsid w:val="00034340"/>
    <w:rsid w:val="00035CB3"/>
    <w:rsid w:val="00045A8D"/>
    <w:rsid w:val="0005167A"/>
    <w:rsid w:val="00054E5D"/>
    <w:rsid w:val="00070258"/>
    <w:rsid w:val="0007323C"/>
    <w:rsid w:val="00086D03"/>
    <w:rsid w:val="00094552"/>
    <w:rsid w:val="000A096A"/>
    <w:rsid w:val="000A375E"/>
    <w:rsid w:val="000A7051"/>
    <w:rsid w:val="000B0AF6"/>
    <w:rsid w:val="000B0E9B"/>
    <w:rsid w:val="000B2CAE"/>
    <w:rsid w:val="000C03C7"/>
    <w:rsid w:val="000C2AD0"/>
    <w:rsid w:val="000D3F3B"/>
    <w:rsid w:val="000E3DEE"/>
    <w:rsid w:val="000E4BCD"/>
    <w:rsid w:val="00100B72"/>
    <w:rsid w:val="00101F7D"/>
    <w:rsid w:val="00103C76"/>
    <w:rsid w:val="0011265F"/>
    <w:rsid w:val="00117282"/>
    <w:rsid w:val="00117389"/>
    <w:rsid w:val="00121900"/>
    <w:rsid w:val="00121C2D"/>
    <w:rsid w:val="00132DD2"/>
    <w:rsid w:val="00134404"/>
    <w:rsid w:val="00144DFB"/>
    <w:rsid w:val="00187CA3"/>
    <w:rsid w:val="00195EB7"/>
    <w:rsid w:val="00196710"/>
    <w:rsid w:val="00196770"/>
    <w:rsid w:val="00197324"/>
    <w:rsid w:val="001B0DA8"/>
    <w:rsid w:val="001B351B"/>
    <w:rsid w:val="001B3D4D"/>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7BE7"/>
    <w:rsid w:val="00266E74"/>
    <w:rsid w:val="00283C3B"/>
    <w:rsid w:val="0028609D"/>
    <w:rsid w:val="002861E6"/>
    <w:rsid w:val="00287D18"/>
    <w:rsid w:val="002A2618"/>
    <w:rsid w:val="002A5DD7"/>
    <w:rsid w:val="002B0CAC"/>
    <w:rsid w:val="002B5B48"/>
    <w:rsid w:val="002B7EE0"/>
    <w:rsid w:val="002D5A15"/>
    <w:rsid w:val="002D5BDD"/>
    <w:rsid w:val="002D7B46"/>
    <w:rsid w:val="002E3D27"/>
    <w:rsid w:val="002F0890"/>
    <w:rsid w:val="002F2531"/>
    <w:rsid w:val="002F4967"/>
    <w:rsid w:val="00306452"/>
    <w:rsid w:val="00311970"/>
    <w:rsid w:val="00316935"/>
    <w:rsid w:val="003266ED"/>
    <w:rsid w:val="00326C68"/>
    <w:rsid w:val="0033029C"/>
    <w:rsid w:val="003370B8"/>
    <w:rsid w:val="00345D38"/>
    <w:rsid w:val="00352097"/>
    <w:rsid w:val="00353E34"/>
    <w:rsid w:val="003666FF"/>
    <w:rsid w:val="0037309C"/>
    <w:rsid w:val="00380A6E"/>
    <w:rsid w:val="003836D4"/>
    <w:rsid w:val="003974CD"/>
    <w:rsid w:val="003A1F49"/>
    <w:rsid w:val="003A55ED"/>
    <w:rsid w:val="003A5D52"/>
    <w:rsid w:val="003B17EF"/>
    <w:rsid w:val="003B2BDA"/>
    <w:rsid w:val="003B55EC"/>
    <w:rsid w:val="003C2EA7"/>
    <w:rsid w:val="003C4471"/>
    <w:rsid w:val="003C7D41"/>
    <w:rsid w:val="003D4A69"/>
    <w:rsid w:val="003E504F"/>
    <w:rsid w:val="003E78D6"/>
    <w:rsid w:val="003F0E9F"/>
    <w:rsid w:val="00400573"/>
    <w:rsid w:val="004007A3"/>
    <w:rsid w:val="00406D71"/>
    <w:rsid w:val="004326DB"/>
    <w:rsid w:val="0043682E"/>
    <w:rsid w:val="00447ECB"/>
    <w:rsid w:val="004623F7"/>
    <w:rsid w:val="00480F51"/>
    <w:rsid w:val="00481124"/>
    <w:rsid w:val="004815EB"/>
    <w:rsid w:val="00487569"/>
    <w:rsid w:val="004920BD"/>
    <w:rsid w:val="00496864"/>
    <w:rsid w:val="00496920"/>
    <w:rsid w:val="004A4496"/>
    <w:rsid w:val="004A5F47"/>
    <w:rsid w:val="004B11AB"/>
    <w:rsid w:val="004B7C9A"/>
    <w:rsid w:val="004C6779"/>
    <w:rsid w:val="004D0E13"/>
    <w:rsid w:val="004D733B"/>
    <w:rsid w:val="004E0DC4"/>
    <w:rsid w:val="004E0FB5"/>
    <w:rsid w:val="004E43BB"/>
    <w:rsid w:val="004E460D"/>
    <w:rsid w:val="004F178E"/>
    <w:rsid w:val="004F4543"/>
    <w:rsid w:val="004F57BB"/>
    <w:rsid w:val="00505309"/>
    <w:rsid w:val="0050789B"/>
    <w:rsid w:val="005224A1"/>
    <w:rsid w:val="0053234F"/>
    <w:rsid w:val="00534372"/>
    <w:rsid w:val="00535FEF"/>
    <w:rsid w:val="005370F0"/>
    <w:rsid w:val="00543DF8"/>
    <w:rsid w:val="00546101"/>
    <w:rsid w:val="00553364"/>
    <w:rsid w:val="00553DD7"/>
    <w:rsid w:val="005638CF"/>
    <w:rsid w:val="00566FB9"/>
    <w:rsid w:val="0056741E"/>
    <w:rsid w:val="00567C0D"/>
    <w:rsid w:val="0057325A"/>
    <w:rsid w:val="0057469A"/>
    <w:rsid w:val="00580814"/>
    <w:rsid w:val="00583A0B"/>
    <w:rsid w:val="005A03A3"/>
    <w:rsid w:val="005A2B92"/>
    <w:rsid w:val="005A3F66"/>
    <w:rsid w:val="005A79E9"/>
    <w:rsid w:val="005B214C"/>
    <w:rsid w:val="005B4CDA"/>
    <w:rsid w:val="005D3669"/>
    <w:rsid w:val="005E5EB3"/>
    <w:rsid w:val="005F3CB6"/>
    <w:rsid w:val="005F657C"/>
    <w:rsid w:val="00602D53"/>
    <w:rsid w:val="006047E5"/>
    <w:rsid w:val="00625F06"/>
    <w:rsid w:val="0064371D"/>
    <w:rsid w:val="00650543"/>
    <w:rsid w:val="00650B2A"/>
    <w:rsid w:val="00651777"/>
    <w:rsid w:val="006550F8"/>
    <w:rsid w:val="006829F3"/>
    <w:rsid w:val="006A4F95"/>
    <w:rsid w:val="006A518B"/>
    <w:rsid w:val="006B0590"/>
    <w:rsid w:val="006B49DA"/>
    <w:rsid w:val="006C53F8"/>
    <w:rsid w:val="006C7CDE"/>
    <w:rsid w:val="007125DF"/>
    <w:rsid w:val="007234B1"/>
    <w:rsid w:val="00723D08"/>
    <w:rsid w:val="00725FDA"/>
    <w:rsid w:val="00727816"/>
    <w:rsid w:val="00730B9A"/>
    <w:rsid w:val="00750CFA"/>
    <w:rsid w:val="007553DA"/>
    <w:rsid w:val="00763B61"/>
    <w:rsid w:val="00775DB8"/>
    <w:rsid w:val="00782354"/>
    <w:rsid w:val="007921A7"/>
    <w:rsid w:val="007B3DB1"/>
    <w:rsid w:val="007D183E"/>
    <w:rsid w:val="007D43D0"/>
    <w:rsid w:val="007E1833"/>
    <w:rsid w:val="007E3F13"/>
    <w:rsid w:val="007F751A"/>
    <w:rsid w:val="00800012"/>
    <w:rsid w:val="0080261F"/>
    <w:rsid w:val="00805A02"/>
    <w:rsid w:val="00806160"/>
    <w:rsid w:val="008143A4"/>
    <w:rsid w:val="0081513E"/>
    <w:rsid w:val="008277AB"/>
    <w:rsid w:val="00854131"/>
    <w:rsid w:val="0085652D"/>
    <w:rsid w:val="0087694B"/>
    <w:rsid w:val="00880F4D"/>
    <w:rsid w:val="00883546"/>
    <w:rsid w:val="008B35A3"/>
    <w:rsid w:val="008B37E1"/>
    <w:rsid w:val="008B45F8"/>
    <w:rsid w:val="008C2E74"/>
    <w:rsid w:val="008D5409"/>
    <w:rsid w:val="008D6955"/>
    <w:rsid w:val="008E006D"/>
    <w:rsid w:val="008E38B4"/>
    <w:rsid w:val="008F4F21"/>
    <w:rsid w:val="008F6C52"/>
    <w:rsid w:val="00904D4A"/>
    <w:rsid w:val="009076D7"/>
    <w:rsid w:val="00912DAB"/>
    <w:rsid w:val="009151BA"/>
    <w:rsid w:val="00925023"/>
    <w:rsid w:val="009277BC"/>
    <w:rsid w:val="00927D57"/>
    <w:rsid w:val="00931A51"/>
    <w:rsid w:val="00947185"/>
    <w:rsid w:val="009518B3"/>
    <w:rsid w:val="00963D9D"/>
    <w:rsid w:val="0098013E"/>
    <w:rsid w:val="00981B54"/>
    <w:rsid w:val="009842C3"/>
    <w:rsid w:val="00992417"/>
    <w:rsid w:val="009A009A"/>
    <w:rsid w:val="009A6BB6"/>
    <w:rsid w:val="009B3F43"/>
    <w:rsid w:val="009B5CFA"/>
    <w:rsid w:val="009C161F"/>
    <w:rsid w:val="009C56B4"/>
    <w:rsid w:val="009D51A2"/>
    <w:rsid w:val="009E04A8"/>
    <w:rsid w:val="009E4595"/>
    <w:rsid w:val="009E4AEC"/>
    <w:rsid w:val="009E5BD8"/>
    <w:rsid w:val="009E681E"/>
    <w:rsid w:val="00A119E6"/>
    <w:rsid w:val="00A201C3"/>
    <w:rsid w:val="00A20FBC"/>
    <w:rsid w:val="00A31370"/>
    <w:rsid w:val="00A34D6F"/>
    <w:rsid w:val="00A41F91"/>
    <w:rsid w:val="00A63355"/>
    <w:rsid w:val="00A7596D"/>
    <w:rsid w:val="00A80EFE"/>
    <w:rsid w:val="00A963DF"/>
    <w:rsid w:val="00A96D3A"/>
    <w:rsid w:val="00AB5A1C"/>
    <w:rsid w:val="00AC0C22"/>
    <w:rsid w:val="00AC3896"/>
    <w:rsid w:val="00AD2CF2"/>
    <w:rsid w:val="00AE2D88"/>
    <w:rsid w:val="00AE6F6F"/>
    <w:rsid w:val="00AF3325"/>
    <w:rsid w:val="00AF34D9"/>
    <w:rsid w:val="00AF5B37"/>
    <w:rsid w:val="00AF70DA"/>
    <w:rsid w:val="00B019D3"/>
    <w:rsid w:val="00B062F4"/>
    <w:rsid w:val="00B34CF9"/>
    <w:rsid w:val="00B37559"/>
    <w:rsid w:val="00B4054B"/>
    <w:rsid w:val="00B579B0"/>
    <w:rsid w:val="00B57D11"/>
    <w:rsid w:val="00B64383"/>
    <w:rsid w:val="00B649D7"/>
    <w:rsid w:val="00B75386"/>
    <w:rsid w:val="00B81C2F"/>
    <w:rsid w:val="00B90743"/>
    <w:rsid w:val="00B90C45"/>
    <w:rsid w:val="00B933BE"/>
    <w:rsid w:val="00BA251F"/>
    <w:rsid w:val="00BC4C0B"/>
    <w:rsid w:val="00BD6738"/>
    <w:rsid w:val="00BD7E5E"/>
    <w:rsid w:val="00BE63DB"/>
    <w:rsid w:val="00BE6574"/>
    <w:rsid w:val="00C07319"/>
    <w:rsid w:val="00C16FD2"/>
    <w:rsid w:val="00C36CC6"/>
    <w:rsid w:val="00C4395E"/>
    <w:rsid w:val="00C47FFD"/>
    <w:rsid w:val="00C505A4"/>
    <w:rsid w:val="00C51E92"/>
    <w:rsid w:val="00C57E2C"/>
    <w:rsid w:val="00C608B7"/>
    <w:rsid w:val="00C66F24"/>
    <w:rsid w:val="00C72228"/>
    <w:rsid w:val="00C76D7F"/>
    <w:rsid w:val="00C813AA"/>
    <w:rsid w:val="00C9291E"/>
    <w:rsid w:val="00CA3F44"/>
    <w:rsid w:val="00CA4E58"/>
    <w:rsid w:val="00CB3771"/>
    <w:rsid w:val="00CB44BF"/>
    <w:rsid w:val="00CB5153"/>
    <w:rsid w:val="00CC3FC6"/>
    <w:rsid w:val="00CE076A"/>
    <w:rsid w:val="00CE1A64"/>
    <w:rsid w:val="00CE463D"/>
    <w:rsid w:val="00CF5B45"/>
    <w:rsid w:val="00CF7B6D"/>
    <w:rsid w:val="00D10BA0"/>
    <w:rsid w:val="00D21694"/>
    <w:rsid w:val="00D21E55"/>
    <w:rsid w:val="00D239B4"/>
    <w:rsid w:val="00D24EB5"/>
    <w:rsid w:val="00D35AB9"/>
    <w:rsid w:val="00D41571"/>
    <w:rsid w:val="00D416A0"/>
    <w:rsid w:val="00D47672"/>
    <w:rsid w:val="00D5123C"/>
    <w:rsid w:val="00D55560"/>
    <w:rsid w:val="00D61C5A"/>
    <w:rsid w:val="00D63BFF"/>
    <w:rsid w:val="00D6790C"/>
    <w:rsid w:val="00D73277"/>
    <w:rsid w:val="00D76586"/>
    <w:rsid w:val="00D82657"/>
    <w:rsid w:val="00D86D2E"/>
    <w:rsid w:val="00D87E20"/>
    <w:rsid w:val="00D97EF5"/>
    <w:rsid w:val="00DA4037"/>
    <w:rsid w:val="00DE66A5"/>
    <w:rsid w:val="00DF2B50"/>
    <w:rsid w:val="00DF78F7"/>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B2358"/>
    <w:rsid w:val="00EB3EB8"/>
    <w:rsid w:val="00EC00EF"/>
    <w:rsid w:val="00EC02FE"/>
    <w:rsid w:val="00EC4A96"/>
    <w:rsid w:val="00EC676E"/>
    <w:rsid w:val="00EE03A0"/>
    <w:rsid w:val="00EF3513"/>
    <w:rsid w:val="00F03CEC"/>
    <w:rsid w:val="00F167FB"/>
    <w:rsid w:val="00F41974"/>
    <w:rsid w:val="00F424BF"/>
    <w:rsid w:val="00F44FC3"/>
    <w:rsid w:val="00F46107"/>
    <w:rsid w:val="00F468C5"/>
    <w:rsid w:val="00F52F39"/>
    <w:rsid w:val="00F6184F"/>
    <w:rsid w:val="00F8310E"/>
    <w:rsid w:val="00F914DD"/>
    <w:rsid w:val="00FA2358"/>
    <w:rsid w:val="00FB2592"/>
    <w:rsid w:val="00FB2810"/>
    <w:rsid w:val="00FB7A2C"/>
    <w:rsid w:val="00FC2947"/>
    <w:rsid w:val="00FD1B0E"/>
    <w:rsid w:val="00FE0818"/>
    <w:rsid w:val="00FE37E7"/>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330C465"/>
  <w15:docId w15:val="{540A99F6-8275-4534-8B63-70D0CB54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5F4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aliases w:val="encabezado,header odd,header odd1,header odd2,header,header odd3,header odd4,header odd5,header odd6,header1,header2,header3,header odd11,header odd21,header odd7,header4,header odd8,header odd9,header5,header odd12,header11,header21,ho,first,he"/>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02119E"/>
    <w:pPr>
      <w:keepNext/>
      <w:keepLines/>
      <w:spacing w:before="720" w:after="120"/>
      <w:jc w:val="center"/>
    </w:pPr>
    <w:rPr>
      <w:b/>
      <w:sz w:val="28"/>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超级链接,Style 58,超?级链,ECC Hyperlink,超????,하이퍼링크2,超链接1,超?级链?,Style?,하이퍼링크21,超??级链Ú,fL????,fL?级,超??级链,超?级链ïÈ,õ±?级链,õ±链ïÈ1,õ±???"/>
    <w:basedOn w:val="DefaultParagraphFont"/>
    <w:uiPriority w:val="99"/>
    <w:qForma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aliases w:val="encabezado Char,header odd Char,header odd1 Char,header odd2 Char,header Char,header odd3 Char,header odd4 Char,header odd5 Char,header odd6 Char,header1 Char,header2 Char,header3 Char,header odd11 Char,header odd21 Char,header odd7 Char"/>
    <w:basedOn w:val="DefaultParagraphFont"/>
    <w:link w:val="Header"/>
    <w:qFormat/>
    <w:rsid w:val="001B3D4D"/>
    <w:rPr>
      <w:sz w:val="24"/>
      <w:szCs w:val="22"/>
      <w:lang w:val="en-US" w:eastAsia="en-US"/>
    </w:rPr>
  </w:style>
  <w:style w:type="character" w:customStyle="1" w:styleId="UnresolvedMention1">
    <w:name w:val="Unresolved Mention1"/>
    <w:basedOn w:val="DefaultParagraphFont"/>
    <w:uiPriority w:val="99"/>
    <w:semiHidden/>
    <w:unhideWhenUsed/>
    <w:rsid w:val="00353E34"/>
    <w:rPr>
      <w:color w:val="605E5C"/>
      <w:shd w:val="clear" w:color="auto" w:fill="E1DFDD"/>
    </w:rPr>
  </w:style>
  <w:style w:type="paragraph" w:customStyle="1" w:styleId="Reasons">
    <w:name w:val="Reasons"/>
    <w:basedOn w:val="Normal"/>
    <w:qFormat/>
    <w:rsid w:val="00F167FB"/>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styleId="FollowedHyperlink">
    <w:name w:val="FollowedHyperlink"/>
    <w:basedOn w:val="DefaultParagraphFont"/>
    <w:semiHidden/>
    <w:unhideWhenUsed/>
    <w:rsid w:val="00F167FB"/>
    <w:rPr>
      <w:color w:val="800080" w:themeColor="followedHyperlink"/>
      <w:u w:val="single"/>
    </w:rPr>
  </w:style>
  <w:style w:type="character" w:styleId="PlaceholderText">
    <w:name w:val="Placeholder Text"/>
    <w:basedOn w:val="DefaultParagraphFont"/>
    <w:uiPriority w:val="99"/>
    <w:semiHidden/>
    <w:rsid w:val="00EF3513"/>
    <w:rPr>
      <w:color w:val="808080"/>
    </w:rPr>
  </w:style>
  <w:style w:type="paragraph" w:customStyle="1" w:styleId="S">
    <w:name w:val="S"/>
    <w:basedOn w:val="Normal"/>
    <w:rsid w:val="00566FB9"/>
    <w:rPr>
      <w:lang w:val="es-ES"/>
    </w:rPr>
  </w:style>
  <w:style w:type="paragraph" w:customStyle="1" w:styleId="Summary">
    <w:name w:val="Summary"/>
    <w:basedOn w:val="Normal"/>
    <w:next w:val="Normal"/>
    <w:autoRedefine/>
    <w:rsid w:val="00566FB9"/>
    <w:pPr>
      <w:spacing w:before="240" w:line="240" w:lineRule="auto"/>
    </w:pPr>
    <w:rPr>
      <w:rFonts w:asciiTheme="minorHAnsi" w:hAnsiTheme="minorHAnsi" w:cstheme="minorHAnsi"/>
      <w:szCs w:val="24"/>
    </w:rPr>
  </w:style>
  <w:style w:type="paragraph" w:styleId="Revision">
    <w:name w:val="Revision"/>
    <w:hidden/>
    <w:uiPriority w:val="99"/>
    <w:semiHidden/>
    <w:rsid w:val="00AB5A1C"/>
    <w:rPr>
      <w:sz w:val="24"/>
      <w:szCs w:val="22"/>
      <w:lang w:val="en-US" w:eastAsia="en-US"/>
    </w:rPr>
  </w:style>
  <w:style w:type="character" w:styleId="UnresolvedMention">
    <w:name w:val="Unresolved Mention"/>
    <w:basedOn w:val="DefaultParagraphFont"/>
    <w:uiPriority w:val="99"/>
    <w:semiHidden/>
    <w:unhideWhenUsed/>
    <w:rsid w:val="00EC676E"/>
    <w:rPr>
      <w:color w:val="605E5C"/>
      <w:shd w:val="clear" w:color="auto" w:fill="E1DFDD"/>
    </w:rPr>
  </w:style>
  <w:style w:type="character" w:customStyle="1" w:styleId="NormalaftertitleChar">
    <w:name w:val="Normal_after_title Char"/>
    <w:basedOn w:val="DefaultParagraphFont"/>
    <w:link w:val="Normalaftertitle"/>
    <w:rsid w:val="006A4F95"/>
    <w:rPr>
      <w:sz w:val="24"/>
      <w:szCs w:val="22"/>
      <w:lang w:val="en-US" w:eastAsia="en-US"/>
    </w:rPr>
  </w:style>
  <w:style w:type="character" w:customStyle="1" w:styleId="RectitleChar">
    <w:name w:val="Rec_title Char"/>
    <w:basedOn w:val="DefaultParagraphFont"/>
    <w:link w:val="Rectitle"/>
    <w:rsid w:val="006A4F95"/>
    <w:rPr>
      <w:b/>
      <w:sz w:val="28"/>
      <w:szCs w:val="22"/>
      <w:lang w:val="en-US" w:eastAsia="en-US"/>
    </w:rPr>
  </w:style>
  <w:style w:type="character" w:customStyle="1" w:styleId="enumlev1Char">
    <w:name w:val="enumlev1 Char"/>
    <w:basedOn w:val="DefaultParagraphFont"/>
    <w:link w:val="enumlev1"/>
    <w:locked/>
    <w:rsid w:val="006A4F95"/>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R-RES-R.1-9-2023/es" TargetMode="External"/><Relationship Id="rId13" Type="http://schemas.openxmlformats.org/officeDocument/2006/relationships/hyperlink" Target="https://www.itu.int/rec/R-REC-RS.2105/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tu.int/md/R23-SG07-C/es" TargetMode="External"/><Relationship Id="rId17" Type="http://schemas.openxmlformats.org/officeDocument/2006/relationships/hyperlink" Target="https://www.itu.int/md/R00-CACE-CIR-1099/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pub/R-QUE-SG07.152/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s/ITU-T/ipr/Pages/policy.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rec/R-REC-TF.768/es" TargetMode="External"/><Relationship Id="rId23" Type="http://schemas.openxmlformats.org/officeDocument/2006/relationships/footer" Target="footer3.xml"/><Relationship Id="rId10" Type="http://schemas.openxmlformats.org/officeDocument/2006/relationships/hyperlink" Target="http://www.itu.int/pub/R-REC/e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brsgd@itu.int" TargetMode="External"/><Relationship Id="rId14" Type="http://schemas.openxmlformats.org/officeDocument/2006/relationships/hyperlink" Target="https://www.itu.int/pub/R-REP-TF.2487/es"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6DEB0-A1D1-4370-916C-E4E32C839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816</Words>
  <Characters>5135</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5940</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Editors</cp:lastModifiedBy>
  <cp:revision>3</cp:revision>
  <cp:lastPrinted>2013-03-08T10:15:00Z</cp:lastPrinted>
  <dcterms:created xsi:type="dcterms:W3CDTF">2026-04-08T14:30:00Z</dcterms:created>
  <dcterms:modified xsi:type="dcterms:W3CDTF">2026-04-08T14:35:00Z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