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216B91D2" w:rsidR="00AB357B" w:rsidRPr="000335C8" w:rsidRDefault="00AB357B" w:rsidP="00AB357B">
            <w:pPr>
              <w:spacing w:before="0"/>
              <w:jc w:val="left"/>
              <w:rPr>
                <w:b/>
                <w:bCs/>
                <w:szCs w:val="24"/>
                <w:lang w:val="fr-CH" w:eastAsia="zh-CN"/>
              </w:rPr>
            </w:pPr>
            <w:r w:rsidRPr="000335C8">
              <w:rPr>
                <w:b/>
                <w:bCs/>
                <w:szCs w:val="24"/>
                <w:lang w:val="fr-CH"/>
              </w:rPr>
              <w:t>CACE/</w:t>
            </w:r>
            <w:r w:rsidR="006F1163">
              <w:rPr>
                <w:b/>
                <w:bCs/>
                <w:szCs w:val="24"/>
                <w:lang w:val="en-GB"/>
              </w:rPr>
              <w:t>1178</w:t>
            </w:r>
          </w:p>
        </w:tc>
        <w:tc>
          <w:tcPr>
            <w:tcW w:w="2835" w:type="dxa"/>
          </w:tcPr>
          <w:p w14:paraId="1FD00109" w14:textId="47ACD093" w:rsidR="00AB357B" w:rsidRPr="000335C8" w:rsidRDefault="006F1163" w:rsidP="00AB357B">
            <w:pPr>
              <w:spacing w:before="0"/>
              <w:jc w:val="right"/>
              <w:rPr>
                <w:szCs w:val="24"/>
                <w:lang w:val="en-GB" w:eastAsia="zh-CN"/>
              </w:rPr>
            </w:pPr>
            <w:r w:rsidRPr="006F1163">
              <w:rPr>
                <w:rFonts w:cs="Arial" w:hint="eastAsia"/>
                <w:szCs w:val="24"/>
                <w:lang w:val="en-GB" w:eastAsia="zh-CN"/>
              </w:rPr>
              <w:t>2026</w:t>
            </w:r>
            <w:r w:rsidRPr="006F1163">
              <w:rPr>
                <w:rFonts w:cs="Arial" w:hint="eastAsia"/>
                <w:szCs w:val="24"/>
                <w:lang w:val="en-GB" w:eastAsia="zh-CN"/>
              </w:rPr>
              <w:t>年</w:t>
            </w:r>
            <w:r w:rsidRPr="006F1163">
              <w:rPr>
                <w:rFonts w:cs="Arial" w:hint="eastAsia"/>
                <w:szCs w:val="24"/>
                <w:lang w:val="en-GB" w:eastAsia="zh-CN"/>
              </w:rPr>
              <w:t>3</w:t>
            </w:r>
            <w:r w:rsidRPr="006F1163">
              <w:rPr>
                <w:rFonts w:cs="Arial" w:hint="eastAsia"/>
                <w:szCs w:val="24"/>
                <w:lang w:val="en-GB" w:eastAsia="zh-CN"/>
              </w:rPr>
              <w:t>月</w:t>
            </w:r>
            <w:r w:rsidRPr="006F1163">
              <w:rPr>
                <w:rFonts w:cs="Arial" w:hint="eastAsia"/>
                <w:szCs w:val="24"/>
                <w:lang w:val="en-GB" w:eastAsia="zh-CN"/>
              </w:rPr>
              <w:t>3</w:t>
            </w:r>
            <w:r w:rsidRPr="006F1163">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50B5DE56" w:rsidR="00AB357B" w:rsidRPr="0043362C" w:rsidRDefault="006F1163" w:rsidP="00AB357B">
            <w:pPr>
              <w:spacing w:before="0"/>
              <w:jc w:val="left"/>
              <w:rPr>
                <w:rFonts w:eastAsia="SimSun"/>
                <w:b/>
                <w:bCs/>
                <w:szCs w:val="24"/>
                <w:lang w:eastAsia="zh-CN"/>
              </w:rPr>
            </w:pPr>
            <w:r w:rsidRPr="006F1163">
              <w:rPr>
                <w:rFonts w:eastAsia="SimSun" w:hint="eastAsia"/>
                <w:b/>
                <w:bCs/>
                <w:szCs w:val="24"/>
                <w:lang w:eastAsia="zh-CN"/>
              </w:rPr>
              <w:t>致国际电联各成员国主管部门、无线电通信部门成员、参加无线电通信第</w:t>
            </w:r>
            <w:r w:rsidRPr="006F1163">
              <w:rPr>
                <w:rFonts w:eastAsia="SimSun" w:hint="eastAsia"/>
                <w:b/>
                <w:bCs/>
                <w:szCs w:val="24"/>
                <w:lang w:eastAsia="zh-CN"/>
              </w:rPr>
              <w:t>5</w:t>
            </w:r>
            <w:r w:rsidRPr="006F1163">
              <w:rPr>
                <w:rFonts w:eastAsia="SimSun" w:hint="eastAsia"/>
                <w:b/>
                <w:bCs/>
                <w:szCs w:val="24"/>
                <w:lang w:eastAsia="zh-CN"/>
              </w:rPr>
              <w:t>研究组工作的</w:t>
            </w:r>
            <w:r w:rsidRPr="006F1163">
              <w:rPr>
                <w:rFonts w:eastAsia="SimSun" w:hint="eastAsia"/>
                <w:b/>
                <w:bCs/>
                <w:szCs w:val="24"/>
                <w:lang w:eastAsia="zh-CN"/>
              </w:rPr>
              <w:t>ITU-R</w:t>
            </w:r>
            <w:r w:rsidRPr="006F1163">
              <w:rPr>
                <w:rFonts w:eastAsia="SimSun" w:hint="eastAsia"/>
                <w:b/>
                <w:bCs/>
                <w:szCs w:val="24"/>
                <w:lang w:eastAsia="zh-CN"/>
              </w:rPr>
              <w:t>部门准成员和国际电联学术成员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403133E1" w14:textId="77777777" w:rsidR="006F1163" w:rsidRPr="006F1163" w:rsidRDefault="006F1163" w:rsidP="006F1163">
            <w:pPr>
              <w:tabs>
                <w:tab w:val="clear" w:pos="1588"/>
                <w:tab w:val="left" w:pos="1560"/>
              </w:tabs>
              <w:spacing w:before="0" w:after="120"/>
              <w:ind w:left="778" w:hanging="778"/>
              <w:rPr>
                <w:rFonts w:eastAsia="SimSun"/>
                <w:b/>
                <w:bCs/>
                <w:szCs w:val="24"/>
                <w:lang w:eastAsia="zh-CN"/>
              </w:rPr>
            </w:pPr>
            <w:r w:rsidRPr="006F1163">
              <w:rPr>
                <w:rFonts w:eastAsia="SimSun" w:hint="eastAsia"/>
                <w:b/>
                <w:bCs/>
                <w:szCs w:val="24"/>
                <w:lang w:eastAsia="zh-CN"/>
              </w:rPr>
              <w:t>无线电通信第</w:t>
            </w:r>
            <w:r w:rsidRPr="006F1163">
              <w:rPr>
                <w:rFonts w:eastAsia="SimSun" w:hint="eastAsia"/>
                <w:b/>
                <w:bCs/>
                <w:szCs w:val="24"/>
                <w:lang w:eastAsia="zh-CN"/>
              </w:rPr>
              <w:t>5</w:t>
            </w:r>
            <w:r w:rsidRPr="006F1163">
              <w:rPr>
                <w:rFonts w:eastAsia="SimSun" w:hint="eastAsia"/>
                <w:b/>
                <w:bCs/>
                <w:szCs w:val="24"/>
                <w:lang w:eastAsia="zh-CN"/>
              </w:rPr>
              <w:t>研究组（地面业务）</w:t>
            </w:r>
          </w:p>
          <w:p w14:paraId="5081C472" w14:textId="75C402BC" w:rsidR="00AB357B" w:rsidRPr="000335C8" w:rsidRDefault="006F1163" w:rsidP="006F1163">
            <w:pPr>
              <w:tabs>
                <w:tab w:val="clear" w:pos="1588"/>
                <w:tab w:val="left" w:pos="1560"/>
              </w:tabs>
              <w:spacing w:before="0" w:after="120"/>
              <w:ind w:left="778" w:hanging="778"/>
              <w:rPr>
                <w:b/>
                <w:bCs/>
                <w:szCs w:val="24"/>
                <w:lang w:eastAsia="zh-CN"/>
              </w:rPr>
            </w:pPr>
            <w:r w:rsidRPr="006F1163">
              <w:rPr>
                <w:rFonts w:eastAsia="SimSun"/>
                <w:b/>
                <w:bCs/>
                <w:szCs w:val="24"/>
                <w:lang w:eastAsia="zh-CN"/>
              </w:rPr>
              <w:t>–</w:t>
            </w:r>
            <w:r>
              <w:rPr>
                <w:rFonts w:eastAsia="SimSun"/>
                <w:b/>
                <w:bCs/>
                <w:szCs w:val="24"/>
                <w:lang w:eastAsia="zh-CN"/>
              </w:rPr>
              <w:tab/>
            </w:r>
            <w:r w:rsidRPr="006F1163">
              <w:rPr>
                <w:rFonts w:eastAsia="SimSun" w:hint="eastAsia"/>
                <w:b/>
                <w:bCs/>
                <w:szCs w:val="24"/>
                <w:lang w:eastAsia="zh-CN"/>
              </w:rPr>
              <w:t>批准</w:t>
            </w:r>
            <w:r w:rsidRPr="006F1163">
              <w:rPr>
                <w:rFonts w:eastAsia="SimSun" w:hint="eastAsia"/>
                <w:b/>
                <w:bCs/>
                <w:szCs w:val="24"/>
                <w:lang w:eastAsia="zh-CN"/>
              </w:rPr>
              <w:t>3</w:t>
            </w:r>
            <w:r w:rsidRPr="006F1163">
              <w:rPr>
                <w:rFonts w:eastAsia="SimSun" w:hint="eastAsia"/>
                <w:b/>
                <w:bCs/>
                <w:szCs w:val="24"/>
                <w:lang w:eastAsia="zh-CN"/>
              </w:rPr>
              <w:t>份新</w:t>
            </w:r>
            <w:r w:rsidR="001F670F">
              <w:rPr>
                <w:rFonts w:eastAsia="SimSun" w:hint="eastAsia"/>
                <w:b/>
                <w:bCs/>
                <w:szCs w:val="24"/>
                <w:lang w:eastAsia="zh-CN"/>
              </w:rPr>
              <w:t>的</w:t>
            </w:r>
            <w:r w:rsidRPr="006F1163">
              <w:rPr>
                <w:rFonts w:eastAsia="SimSun" w:hint="eastAsia"/>
                <w:b/>
                <w:bCs/>
                <w:szCs w:val="24"/>
                <w:lang w:eastAsia="zh-CN"/>
              </w:rPr>
              <w:t>和</w:t>
            </w:r>
            <w:r w:rsidRPr="006F1163">
              <w:rPr>
                <w:rFonts w:eastAsia="SimSun" w:hint="eastAsia"/>
                <w:b/>
                <w:bCs/>
                <w:szCs w:val="24"/>
                <w:lang w:eastAsia="zh-CN"/>
              </w:rPr>
              <w:t>7</w:t>
            </w:r>
            <w:r w:rsidRPr="006F1163">
              <w:rPr>
                <w:rFonts w:eastAsia="SimSun" w:hint="eastAsia"/>
                <w:b/>
                <w:bCs/>
                <w:szCs w:val="24"/>
                <w:lang w:eastAsia="zh-CN"/>
              </w:rPr>
              <w:t>份经修订的</w:t>
            </w:r>
            <w:r w:rsidRPr="006F1163">
              <w:rPr>
                <w:rFonts w:eastAsia="SimSun" w:hint="eastAsia"/>
                <w:b/>
                <w:bCs/>
                <w:szCs w:val="24"/>
                <w:lang w:eastAsia="zh-CN"/>
              </w:rPr>
              <w:t>ITU-R</w:t>
            </w:r>
            <w:r w:rsidRPr="006F1163">
              <w:rPr>
                <w:rFonts w:eastAsia="SimSun" w:hint="eastAsia"/>
                <w:b/>
                <w:bCs/>
                <w:szCs w:val="24"/>
                <w:lang w:eastAsia="zh-CN"/>
              </w:rPr>
              <w:t>建议书</w:t>
            </w:r>
          </w:p>
        </w:tc>
      </w:tr>
      <w:tr w:rsidR="00AB357B" w:rsidRPr="000335C8" w14:paraId="66693313" w14:textId="77777777" w:rsidTr="00DA4711">
        <w:trPr>
          <w:jc w:val="center"/>
        </w:trPr>
        <w:tc>
          <w:tcPr>
            <w:tcW w:w="1526" w:type="dxa"/>
          </w:tcPr>
          <w:p w14:paraId="26DEDC96" w14:textId="77777777" w:rsidR="00AB357B" w:rsidRPr="006F1163" w:rsidRDefault="00AB357B" w:rsidP="00AB357B">
            <w:pPr>
              <w:tabs>
                <w:tab w:val="clear" w:pos="1588"/>
                <w:tab w:val="left" w:pos="1560"/>
              </w:tabs>
              <w:spacing w:before="0"/>
              <w:jc w:val="left"/>
              <w:rPr>
                <w:b/>
                <w:bCs/>
                <w:szCs w:val="24"/>
                <w:lang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5F9D6BF2" w14:textId="4FFD91A7" w:rsidR="006F1163" w:rsidRPr="006F1163" w:rsidRDefault="006F1163" w:rsidP="006F1163">
      <w:pPr>
        <w:spacing w:before="360"/>
        <w:ind w:firstLineChars="200" w:firstLine="480"/>
        <w:rPr>
          <w:lang w:eastAsia="zh-CN"/>
        </w:rPr>
      </w:pPr>
      <w:r w:rsidRPr="006F1163">
        <w:rPr>
          <w:rFonts w:ascii="SimSun" w:eastAsia="SimSun" w:hAnsi="SimSun" w:cs="SimSun" w:hint="eastAsia"/>
          <w:lang w:eastAsia="zh-CN"/>
        </w:rPr>
        <w:t>根据</w:t>
      </w:r>
      <w:r w:rsidRPr="006F1163">
        <w:rPr>
          <w:rFonts w:hint="eastAsia"/>
          <w:lang w:eastAsia="zh-CN"/>
        </w:rPr>
        <w:t>2025</w:t>
      </w:r>
      <w:r w:rsidRPr="006F1163">
        <w:rPr>
          <w:rFonts w:ascii="SimSun" w:eastAsia="SimSun" w:hAnsi="SimSun" w:cs="SimSun" w:hint="eastAsia"/>
          <w:lang w:eastAsia="zh-CN"/>
        </w:rPr>
        <w:t>年</w:t>
      </w:r>
      <w:r w:rsidRPr="006F1163">
        <w:rPr>
          <w:rFonts w:hint="eastAsia"/>
          <w:lang w:eastAsia="zh-CN"/>
        </w:rPr>
        <w:t>12</w:t>
      </w:r>
      <w:r w:rsidRPr="006F1163">
        <w:rPr>
          <w:rFonts w:ascii="SimSun" w:eastAsia="SimSun" w:hAnsi="SimSun" w:cs="SimSun" w:hint="eastAsia"/>
          <w:lang w:eastAsia="zh-CN"/>
        </w:rPr>
        <w:t>月</w:t>
      </w:r>
      <w:r w:rsidRPr="006F1163">
        <w:rPr>
          <w:rFonts w:hint="eastAsia"/>
          <w:lang w:eastAsia="zh-CN"/>
        </w:rPr>
        <w:t>23</w:t>
      </w:r>
      <w:r w:rsidRPr="006F1163">
        <w:rPr>
          <w:rFonts w:ascii="SimSun" w:eastAsia="SimSun" w:hAnsi="SimSun" w:cs="SimSun" w:hint="eastAsia"/>
          <w:lang w:eastAsia="zh-CN"/>
        </w:rPr>
        <w:t>日的第</w:t>
      </w:r>
      <w:hyperlink r:id="rId8" w:history="1">
        <w:r w:rsidR="00894762" w:rsidRPr="00845C8B">
          <w:rPr>
            <w:rStyle w:val="Hyperlink"/>
            <w:rFonts w:asciiTheme="minorHAnsi" w:hAnsiTheme="minorHAnsi" w:cstheme="minorHAnsi"/>
            <w:lang w:eastAsia="zh-CN"/>
          </w:rPr>
          <w:t>CACE/1170</w:t>
        </w:r>
      </w:hyperlink>
      <w:r w:rsidRPr="006F1163">
        <w:rPr>
          <w:rFonts w:ascii="SimSun" w:eastAsia="SimSun" w:hAnsi="SimSun" w:cs="SimSun" w:hint="eastAsia"/>
          <w:lang w:eastAsia="zh-CN"/>
        </w:rPr>
        <w:t>号行政通函，</w:t>
      </w:r>
      <w:r w:rsidRPr="006F1163">
        <w:rPr>
          <w:rFonts w:hint="eastAsia"/>
          <w:lang w:eastAsia="zh-CN"/>
        </w:rPr>
        <w:t>3</w:t>
      </w:r>
      <w:r w:rsidRPr="006F1163">
        <w:rPr>
          <w:rFonts w:ascii="SimSun" w:eastAsia="SimSun" w:hAnsi="SimSun" w:cs="SimSun" w:hint="eastAsia"/>
          <w:lang w:eastAsia="zh-CN"/>
        </w:rPr>
        <w:t>份新的和</w:t>
      </w:r>
      <w:r w:rsidRPr="006F1163">
        <w:rPr>
          <w:rFonts w:hint="eastAsia"/>
          <w:lang w:eastAsia="zh-CN"/>
        </w:rPr>
        <w:t>7</w:t>
      </w:r>
      <w:r w:rsidRPr="006F1163">
        <w:rPr>
          <w:rFonts w:ascii="SimSun" w:eastAsia="SimSun" w:hAnsi="SimSun" w:cs="SimSun" w:hint="eastAsia"/>
          <w:lang w:eastAsia="zh-CN"/>
        </w:rPr>
        <w:t>份经修订的国际电联无线电通信部门（</w:t>
      </w:r>
      <w:r w:rsidRPr="006F1163">
        <w:rPr>
          <w:rFonts w:hint="eastAsia"/>
          <w:lang w:eastAsia="zh-CN"/>
        </w:rPr>
        <w:t>ITU-R</w:t>
      </w:r>
      <w:r w:rsidRPr="006F1163">
        <w:rPr>
          <w:rFonts w:ascii="SimSun" w:eastAsia="SimSun" w:hAnsi="SimSun" w:cs="SimSun" w:hint="eastAsia"/>
          <w:lang w:eastAsia="zh-CN"/>
        </w:rPr>
        <w:t>）建议书已按照</w:t>
      </w:r>
      <w:r w:rsidRPr="006F1163">
        <w:rPr>
          <w:rFonts w:hint="eastAsia"/>
          <w:lang w:eastAsia="zh-CN"/>
        </w:rPr>
        <w:t>ITU-R</w:t>
      </w:r>
      <w:r w:rsidRPr="006F1163">
        <w:rPr>
          <w:rFonts w:ascii="SimSun" w:eastAsia="SimSun" w:hAnsi="SimSun" w:cs="SimSun" w:hint="eastAsia"/>
          <w:lang w:eastAsia="zh-CN"/>
        </w:rPr>
        <w:t>第</w:t>
      </w:r>
      <w:r w:rsidRPr="006F1163">
        <w:rPr>
          <w:rFonts w:hint="eastAsia"/>
          <w:lang w:eastAsia="zh-CN"/>
        </w:rPr>
        <w:t>1-9</w:t>
      </w:r>
      <w:r w:rsidRPr="006F1163">
        <w:rPr>
          <w:rFonts w:ascii="SimSun" w:eastAsia="SimSun" w:hAnsi="SimSun" w:cs="SimSun" w:hint="eastAsia"/>
          <w:lang w:eastAsia="zh-CN"/>
        </w:rPr>
        <w:t>号决议（第</w:t>
      </w:r>
      <w:r w:rsidRPr="006F1163">
        <w:rPr>
          <w:rFonts w:hint="eastAsia"/>
          <w:lang w:eastAsia="zh-CN"/>
        </w:rPr>
        <w:t>A2.6.2.3</w:t>
      </w:r>
      <w:r w:rsidRPr="006F1163">
        <w:rPr>
          <w:rFonts w:ascii="SimSun" w:eastAsia="SimSun" w:hAnsi="SimSun" w:cs="SimSun" w:hint="eastAsia"/>
          <w:lang w:eastAsia="zh-CN"/>
        </w:rPr>
        <w:t>段）规定的程序提交批准。</w:t>
      </w:r>
    </w:p>
    <w:p w14:paraId="35430EC6" w14:textId="77777777" w:rsidR="006F1163" w:rsidRPr="006F1163" w:rsidRDefault="006F1163" w:rsidP="006F1163">
      <w:pPr>
        <w:ind w:firstLineChars="200" w:firstLine="480"/>
        <w:rPr>
          <w:lang w:eastAsia="zh-CN"/>
        </w:rPr>
      </w:pPr>
      <w:r w:rsidRPr="006F1163">
        <w:rPr>
          <w:rFonts w:ascii="SimSun" w:eastAsia="SimSun" w:hAnsi="SimSun" w:cs="SimSun" w:hint="eastAsia"/>
          <w:lang w:eastAsia="zh-CN"/>
        </w:rPr>
        <w:t>有关此程序的条件已于</w:t>
      </w:r>
      <w:r w:rsidRPr="006F1163">
        <w:rPr>
          <w:rFonts w:hint="eastAsia"/>
          <w:lang w:eastAsia="zh-CN"/>
        </w:rPr>
        <w:t>2026</w:t>
      </w:r>
      <w:r w:rsidRPr="006F1163">
        <w:rPr>
          <w:rFonts w:ascii="SimSun" w:eastAsia="SimSun" w:hAnsi="SimSun" w:cs="SimSun" w:hint="eastAsia"/>
          <w:lang w:eastAsia="zh-CN"/>
        </w:rPr>
        <w:t>年</w:t>
      </w:r>
      <w:r w:rsidRPr="006F1163">
        <w:rPr>
          <w:rFonts w:hint="eastAsia"/>
          <w:lang w:eastAsia="zh-CN"/>
        </w:rPr>
        <w:t>2</w:t>
      </w:r>
      <w:r w:rsidRPr="006F1163">
        <w:rPr>
          <w:rFonts w:ascii="SimSun" w:eastAsia="SimSun" w:hAnsi="SimSun" w:cs="SimSun" w:hint="eastAsia"/>
          <w:lang w:eastAsia="zh-CN"/>
        </w:rPr>
        <w:t>月</w:t>
      </w:r>
      <w:r w:rsidRPr="006F1163">
        <w:rPr>
          <w:rFonts w:hint="eastAsia"/>
          <w:lang w:eastAsia="zh-CN"/>
        </w:rPr>
        <w:t>23</w:t>
      </w:r>
      <w:r w:rsidRPr="006F1163">
        <w:rPr>
          <w:rFonts w:ascii="SimSun" w:eastAsia="SimSun" w:hAnsi="SimSun" w:cs="SimSun" w:hint="eastAsia"/>
          <w:lang w:eastAsia="zh-CN"/>
        </w:rPr>
        <w:t>日得到满足。</w:t>
      </w:r>
    </w:p>
    <w:p w14:paraId="5F272EDB" w14:textId="444CA9DC" w:rsidR="006B3736" w:rsidRPr="006F1163" w:rsidRDefault="006F1163" w:rsidP="006F1163">
      <w:pPr>
        <w:ind w:firstLineChars="200" w:firstLine="480"/>
        <w:rPr>
          <w:lang w:eastAsia="zh-CN"/>
        </w:rPr>
      </w:pPr>
      <w:r w:rsidRPr="006F1163">
        <w:rPr>
          <w:rFonts w:ascii="SimSun" w:eastAsia="SimSun" w:hAnsi="SimSun" w:cs="SimSun" w:hint="eastAsia"/>
          <w:lang w:eastAsia="zh-CN"/>
        </w:rPr>
        <w:t>已经批准的建议书将</w:t>
      </w:r>
      <w:r>
        <w:rPr>
          <w:rFonts w:ascii="SimSun" w:eastAsia="SimSun" w:hAnsi="SimSun" w:cs="SimSun" w:hint="eastAsia"/>
          <w:lang w:eastAsia="zh-CN"/>
        </w:rPr>
        <w:t>由</w:t>
      </w:r>
      <w:r w:rsidRPr="006F1163">
        <w:rPr>
          <w:rFonts w:ascii="SimSun" w:eastAsia="SimSun" w:hAnsi="SimSun" w:cs="SimSun" w:hint="eastAsia"/>
          <w:lang w:eastAsia="zh-CN"/>
        </w:rPr>
        <w:t>国际电信联盟（国际电联）公布出版。本通函</w:t>
      </w:r>
      <w:r w:rsidR="00CF5A5C">
        <w:rPr>
          <w:rFonts w:ascii="SimSun" w:eastAsia="SimSun" w:hAnsi="SimSun" w:cs="SimSun" w:hint="eastAsia"/>
          <w:lang w:eastAsia="zh-CN"/>
        </w:rPr>
        <w:t>的</w:t>
      </w:r>
      <w:r w:rsidRPr="006F1163">
        <w:rPr>
          <w:rFonts w:ascii="SimSun" w:eastAsia="SimSun" w:hAnsi="SimSun" w:cs="SimSun" w:hint="eastAsia"/>
          <w:lang w:eastAsia="zh-CN"/>
        </w:rPr>
        <w:t>附件提供了这些建议书的标题和分配的编号。</w:t>
      </w:r>
    </w:p>
    <w:p w14:paraId="729997B2" w14:textId="09B9385E" w:rsidR="00AD029D" w:rsidRDefault="00AD029D" w:rsidP="006262EA">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33FFF028" w14:textId="653701B7" w:rsidR="000335C8" w:rsidRDefault="00AD029D" w:rsidP="00FF3D1B">
      <w:pPr>
        <w:pStyle w:val="Footer"/>
        <w:spacing w:before="2400"/>
        <w:rPr>
          <w:noProof/>
          <w:lang w:eastAsia="zh-CN"/>
        </w:rPr>
      </w:pPr>
      <w:r w:rsidRPr="00115C83">
        <w:rPr>
          <w:rFonts w:hint="eastAsia"/>
          <w:b/>
          <w:lang w:val="fr-FR" w:eastAsia="zh-CN"/>
        </w:rPr>
        <w:t>附件</w:t>
      </w:r>
      <w:r w:rsidRPr="00115C83">
        <w:rPr>
          <w:rFonts w:hint="eastAsia"/>
          <w:b/>
          <w:lang w:eastAsia="zh-CN"/>
        </w:rPr>
        <w:t>：</w:t>
      </w:r>
      <w:r w:rsidR="006F1163">
        <w:rPr>
          <w:rFonts w:hint="eastAsia"/>
          <w:lang w:eastAsia="zh-CN"/>
        </w:rPr>
        <w:t>1</w:t>
      </w:r>
      <w:r w:rsidR="006F1163">
        <w:rPr>
          <w:rFonts w:hint="eastAsia"/>
          <w:lang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7B73A2DC" w14:textId="2062089A" w:rsidR="00EA0DB4" w:rsidRPr="00D160A0" w:rsidRDefault="00EA0DB4" w:rsidP="00006423">
      <w:pPr>
        <w:pStyle w:val="AnnexNoTitle"/>
        <w:tabs>
          <w:tab w:val="left" w:pos="3150"/>
          <w:tab w:val="center" w:pos="4819"/>
        </w:tabs>
        <w:spacing w:after="360"/>
        <w:rPr>
          <w:szCs w:val="28"/>
          <w:lang w:eastAsia="zh-CN"/>
        </w:rPr>
      </w:pPr>
      <w:r w:rsidRPr="00FC7055">
        <w:rPr>
          <w:szCs w:val="28"/>
          <w:lang w:eastAsia="zh-CN"/>
        </w:rPr>
        <w:lastRenderedPageBreak/>
        <w:t>附件</w:t>
      </w:r>
      <w:r w:rsidRPr="00FC7055">
        <w:rPr>
          <w:szCs w:val="28"/>
          <w:lang w:eastAsia="zh-CN"/>
        </w:rPr>
        <w:br/>
      </w:r>
      <w:r w:rsidRPr="00D160A0">
        <w:rPr>
          <w:szCs w:val="28"/>
          <w:lang w:eastAsia="zh-CN"/>
        </w:rPr>
        <w:br/>
      </w:r>
      <w:r w:rsidR="006F1163" w:rsidRPr="006F1163">
        <w:rPr>
          <w:rFonts w:hint="eastAsia"/>
          <w:szCs w:val="28"/>
          <w:lang w:eastAsia="zh-CN"/>
        </w:rPr>
        <w:t>已获批准的</w:t>
      </w:r>
      <w:r w:rsidR="006F1163" w:rsidRPr="006F1163">
        <w:rPr>
          <w:rFonts w:hint="eastAsia"/>
          <w:szCs w:val="28"/>
          <w:lang w:eastAsia="zh-CN"/>
        </w:rPr>
        <w:t>ITU-R</w:t>
      </w:r>
      <w:r w:rsidR="006F1163" w:rsidRPr="006F1163">
        <w:rPr>
          <w:rFonts w:hint="eastAsia"/>
          <w:szCs w:val="28"/>
          <w:lang w:eastAsia="zh-CN"/>
        </w:rPr>
        <w:t>建议书的标题</w:t>
      </w:r>
    </w:p>
    <w:tbl>
      <w:tblPr>
        <w:tblStyle w:val="TableGrid"/>
        <w:tblW w:w="9356" w:type="dxa"/>
        <w:tblLook w:val="04A0" w:firstRow="1" w:lastRow="0" w:firstColumn="1" w:lastColumn="0" w:noHBand="0" w:noVBand="1"/>
      </w:tblPr>
      <w:tblGrid>
        <w:gridCol w:w="1838"/>
        <w:gridCol w:w="6095"/>
        <w:gridCol w:w="1423"/>
      </w:tblGrid>
      <w:tr w:rsidR="006F1163" w14:paraId="58C3515F" w14:textId="77777777" w:rsidTr="00006423">
        <w:tc>
          <w:tcPr>
            <w:tcW w:w="1838" w:type="dxa"/>
            <w:vAlign w:val="center"/>
          </w:tcPr>
          <w:p w14:paraId="42C7892F" w14:textId="77777777" w:rsidR="006F1163" w:rsidRPr="007B51AE" w:rsidRDefault="006F1163" w:rsidP="005649E4">
            <w:pPr>
              <w:pStyle w:val="Tablehead"/>
              <w:rPr>
                <w:lang w:val="en-GB"/>
              </w:rPr>
            </w:pPr>
            <w:r>
              <w:t>ITU-R</w:t>
            </w:r>
            <w:r>
              <w:br/>
            </w:r>
            <w:r>
              <w:rPr>
                <w:rFonts w:hint="eastAsia"/>
                <w:lang w:eastAsia="zh-CN"/>
              </w:rPr>
              <w:t>建议书</w:t>
            </w:r>
          </w:p>
        </w:tc>
        <w:tc>
          <w:tcPr>
            <w:tcW w:w="6095" w:type="dxa"/>
            <w:vAlign w:val="center"/>
          </w:tcPr>
          <w:p w14:paraId="7BE6A351" w14:textId="77777777" w:rsidR="006F1163" w:rsidRPr="007B51AE" w:rsidRDefault="006F1163" w:rsidP="005649E4">
            <w:pPr>
              <w:pStyle w:val="Tablehead"/>
              <w:rPr>
                <w:lang w:val="en-GB"/>
              </w:rPr>
            </w:pPr>
            <w:r>
              <w:rPr>
                <w:rFonts w:hint="eastAsia"/>
                <w:lang w:val="en-GB" w:eastAsia="zh-CN"/>
              </w:rPr>
              <w:t>标题</w:t>
            </w:r>
          </w:p>
        </w:tc>
        <w:tc>
          <w:tcPr>
            <w:tcW w:w="1423" w:type="dxa"/>
            <w:vAlign w:val="center"/>
          </w:tcPr>
          <w:p w14:paraId="5A14530F" w14:textId="77777777" w:rsidR="006F1163" w:rsidRPr="007B51AE" w:rsidRDefault="006F1163" w:rsidP="005649E4">
            <w:pPr>
              <w:pStyle w:val="Tablehead"/>
            </w:pPr>
            <w:r>
              <w:rPr>
                <w:rFonts w:hint="eastAsia"/>
                <w:lang w:eastAsia="zh-CN"/>
              </w:rPr>
              <w:t>文件号</w:t>
            </w:r>
            <w:r>
              <w:t xml:space="preserve"> 5/</w:t>
            </w:r>
          </w:p>
        </w:tc>
      </w:tr>
      <w:tr w:rsidR="006F1163" w14:paraId="2C19613F" w14:textId="77777777" w:rsidTr="00006423">
        <w:tc>
          <w:tcPr>
            <w:tcW w:w="1838" w:type="dxa"/>
            <w:vAlign w:val="center"/>
          </w:tcPr>
          <w:p w14:paraId="58158B11" w14:textId="77777777" w:rsidR="006F1163" w:rsidRPr="00DC474E" w:rsidRDefault="006F1163" w:rsidP="005649E4">
            <w:pPr>
              <w:pStyle w:val="Tabletext"/>
              <w:jc w:val="center"/>
              <w:rPr>
                <w:color w:val="333F50"/>
                <w:lang w:val="en-GB"/>
              </w:rPr>
            </w:pPr>
            <w:r w:rsidRPr="00DC474E">
              <w:rPr>
                <w:color w:val="333F50"/>
                <w:lang w:val="en-GB"/>
              </w:rPr>
              <w:t>M.2171-0</w:t>
            </w:r>
          </w:p>
        </w:tc>
        <w:tc>
          <w:tcPr>
            <w:tcW w:w="6095" w:type="dxa"/>
            <w:vAlign w:val="center"/>
          </w:tcPr>
          <w:p w14:paraId="4D84F80C" w14:textId="77777777" w:rsidR="006F1163" w:rsidRPr="005172C3" w:rsidRDefault="006F1163" w:rsidP="005649E4">
            <w:pPr>
              <w:pStyle w:val="Tabletext"/>
              <w:rPr>
                <w:lang w:val="en-GB" w:eastAsia="zh-CN"/>
              </w:rPr>
            </w:pPr>
            <w:r>
              <w:rPr>
                <w:rFonts w:hint="eastAsia"/>
                <w:lang w:val="en-GB" w:eastAsia="zh-CN"/>
              </w:rPr>
              <w:t>关于</w:t>
            </w:r>
            <w:r w:rsidRPr="00C818D1">
              <w:rPr>
                <w:rFonts w:hint="eastAsia"/>
                <w:lang w:val="en-GB" w:eastAsia="zh-CN"/>
              </w:rPr>
              <w:t>在划分给移动业务</w:t>
            </w:r>
            <w:r>
              <w:rPr>
                <w:rFonts w:hint="eastAsia"/>
                <w:lang w:val="en-GB" w:eastAsia="zh-CN"/>
              </w:rPr>
              <w:t>并</w:t>
            </w:r>
            <w:r w:rsidRPr="00E4437D">
              <w:rPr>
                <w:rFonts w:hint="eastAsia"/>
                <w:lang w:val="en-GB" w:eastAsia="zh-CN"/>
              </w:rPr>
              <w:t>按照《无线电规则》操作</w:t>
            </w:r>
            <w:r w:rsidRPr="00C818D1">
              <w:rPr>
                <w:rFonts w:hint="eastAsia"/>
                <w:lang w:val="en-GB" w:eastAsia="zh-CN"/>
              </w:rPr>
              <w:t>的频段内为现有和未来的列车与轨旁间的铁路无线电通信系统（</w:t>
            </w:r>
            <w:r w:rsidRPr="00C818D1">
              <w:rPr>
                <w:rFonts w:hint="eastAsia"/>
                <w:lang w:val="en-GB" w:eastAsia="zh-CN"/>
              </w:rPr>
              <w:t>RSTT</w:t>
            </w:r>
            <w:r w:rsidRPr="00C818D1">
              <w:rPr>
                <w:rFonts w:hint="eastAsia"/>
                <w:lang w:val="en-GB" w:eastAsia="zh-CN"/>
              </w:rPr>
              <w:t>）协调频谱</w:t>
            </w:r>
            <w:r>
              <w:rPr>
                <w:rFonts w:hint="eastAsia"/>
                <w:lang w:val="en-GB" w:eastAsia="zh-CN"/>
              </w:rPr>
              <w:t>的指南</w:t>
            </w:r>
          </w:p>
        </w:tc>
        <w:tc>
          <w:tcPr>
            <w:tcW w:w="1423" w:type="dxa"/>
            <w:vAlign w:val="center"/>
          </w:tcPr>
          <w:p w14:paraId="012CBB48" w14:textId="77777777" w:rsidR="006F1163" w:rsidRPr="005172C3" w:rsidRDefault="006F1163" w:rsidP="005649E4">
            <w:pPr>
              <w:pStyle w:val="Tabletext"/>
              <w:jc w:val="center"/>
              <w:rPr>
                <w:lang w:val="en-GB"/>
              </w:rPr>
            </w:pPr>
            <w:r>
              <w:t>69</w:t>
            </w:r>
          </w:p>
        </w:tc>
      </w:tr>
      <w:tr w:rsidR="006F1163" w14:paraId="20C53B06" w14:textId="77777777" w:rsidTr="00006423">
        <w:tc>
          <w:tcPr>
            <w:tcW w:w="1838" w:type="dxa"/>
            <w:vAlign w:val="center"/>
          </w:tcPr>
          <w:p w14:paraId="64B4682E" w14:textId="77777777" w:rsidR="006F1163" w:rsidRPr="00DC474E" w:rsidRDefault="006F1163" w:rsidP="005649E4">
            <w:pPr>
              <w:pStyle w:val="Tabletext"/>
              <w:jc w:val="center"/>
              <w:rPr>
                <w:color w:val="333F50"/>
                <w:lang w:val="en-GB"/>
              </w:rPr>
            </w:pPr>
            <w:r w:rsidRPr="00DC474E">
              <w:rPr>
                <w:color w:val="333F50"/>
                <w:lang w:val="en-GB"/>
              </w:rPr>
              <w:t>F.2172-0</w:t>
            </w:r>
          </w:p>
        </w:tc>
        <w:tc>
          <w:tcPr>
            <w:tcW w:w="6095" w:type="dxa"/>
            <w:vAlign w:val="center"/>
          </w:tcPr>
          <w:p w14:paraId="780D9E30" w14:textId="69ED3F79" w:rsidR="006F1163" w:rsidRPr="007B51AE" w:rsidRDefault="006F1163" w:rsidP="005649E4">
            <w:pPr>
              <w:pStyle w:val="Tabletext"/>
              <w:rPr>
                <w:highlight w:val="yellow"/>
                <w:lang w:val="en-GB" w:eastAsia="zh-CN"/>
              </w:rPr>
            </w:pPr>
            <w:r>
              <w:rPr>
                <w:rFonts w:hint="eastAsia"/>
                <w:lang w:val="en-GB" w:eastAsia="zh-CN"/>
              </w:rPr>
              <w:t>工作在</w:t>
            </w:r>
            <w:r w:rsidRPr="00CA508E">
              <w:rPr>
                <w:lang w:val="en-GB" w:eastAsia="zh-CN"/>
              </w:rPr>
              <w:t>130-134</w:t>
            </w:r>
            <w:r w:rsidR="00006423">
              <w:rPr>
                <w:lang w:val="en-GB" w:eastAsia="zh-CN"/>
              </w:rPr>
              <w:t> </w:t>
            </w:r>
            <w:r w:rsidRPr="00CA508E">
              <w:rPr>
                <w:lang w:val="en-GB" w:eastAsia="zh-CN"/>
              </w:rPr>
              <w:t>GHz</w:t>
            </w:r>
            <w:r>
              <w:rPr>
                <w:rFonts w:hint="eastAsia"/>
                <w:lang w:val="en-GB" w:eastAsia="zh-CN"/>
              </w:rPr>
              <w:t>、</w:t>
            </w:r>
            <w:r w:rsidRPr="00CA508E">
              <w:rPr>
                <w:lang w:val="en-GB" w:eastAsia="zh-CN"/>
              </w:rPr>
              <w:t>141-148.5</w:t>
            </w:r>
            <w:r w:rsidR="00006423">
              <w:rPr>
                <w:lang w:val="en-GB" w:eastAsia="zh-CN"/>
              </w:rPr>
              <w:t> </w:t>
            </w:r>
            <w:r w:rsidRPr="00CA508E">
              <w:rPr>
                <w:lang w:val="en-GB" w:eastAsia="zh-CN"/>
              </w:rPr>
              <w:t>GHz</w:t>
            </w:r>
            <w:r>
              <w:rPr>
                <w:rFonts w:hint="eastAsia"/>
                <w:lang w:val="en-GB" w:eastAsia="zh-CN"/>
              </w:rPr>
              <w:t>、</w:t>
            </w:r>
            <w:r w:rsidRPr="00CA508E">
              <w:rPr>
                <w:lang w:val="en-GB" w:eastAsia="zh-CN"/>
              </w:rPr>
              <w:t>151.5-164</w:t>
            </w:r>
            <w:r w:rsidR="00006423">
              <w:rPr>
                <w:lang w:val="en-GB" w:eastAsia="zh-CN"/>
              </w:rPr>
              <w:t> </w:t>
            </w:r>
            <w:r w:rsidRPr="00CA508E">
              <w:rPr>
                <w:lang w:val="en-GB" w:eastAsia="zh-CN"/>
              </w:rPr>
              <w:t>GHz</w:t>
            </w:r>
            <w:r>
              <w:rPr>
                <w:rFonts w:hint="eastAsia"/>
                <w:lang w:val="en-GB" w:eastAsia="zh-CN"/>
              </w:rPr>
              <w:t>和</w:t>
            </w:r>
            <w:r w:rsidRPr="00CA508E">
              <w:rPr>
                <w:lang w:val="en-GB" w:eastAsia="zh-CN"/>
              </w:rPr>
              <w:t>167-174.8</w:t>
            </w:r>
            <w:r w:rsidR="00006423">
              <w:rPr>
                <w:lang w:val="en-GB" w:eastAsia="zh-CN"/>
              </w:rPr>
              <w:t> </w:t>
            </w:r>
            <w:r w:rsidRPr="00CA508E">
              <w:rPr>
                <w:lang w:val="en-GB" w:eastAsia="zh-CN"/>
              </w:rPr>
              <w:t>GHz</w:t>
            </w:r>
            <w:r>
              <w:rPr>
                <w:rFonts w:hint="eastAsia"/>
                <w:lang w:val="en-GB" w:eastAsia="zh-CN"/>
              </w:rPr>
              <w:t>频率范围的固定业务系统的</w:t>
            </w:r>
            <w:r w:rsidRPr="00E4437D">
              <w:rPr>
                <w:rFonts w:hint="eastAsia"/>
                <w:lang w:val="en-GB" w:eastAsia="zh-CN"/>
              </w:rPr>
              <w:t>无线电频率信道和</w:t>
            </w:r>
            <w:proofErr w:type="gramStart"/>
            <w:r w:rsidRPr="00E4437D">
              <w:rPr>
                <w:rFonts w:hint="eastAsia"/>
                <w:lang w:val="en-GB" w:eastAsia="zh-CN"/>
              </w:rPr>
              <w:t>射频组配置</w:t>
            </w:r>
            <w:proofErr w:type="gramEnd"/>
          </w:p>
        </w:tc>
        <w:tc>
          <w:tcPr>
            <w:tcW w:w="1423" w:type="dxa"/>
            <w:vAlign w:val="center"/>
          </w:tcPr>
          <w:p w14:paraId="3D7A8821" w14:textId="77777777" w:rsidR="006F1163" w:rsidRPr="007B51AE" w:rsidRDefault="006F1163" w:rsidP="005649E4">
            <w:pPr>
              <w:pStyle w:val="Tabletext"/>
              <w:jc w:val="center"/>
              <w:rPr>
                <w:highlight w:val="yellow"/>
              </w:rPr>
            </w:pPr>
            <w:r>
              <w:rPr>
                <w:lang w:val="en-GB"/>
              </w:rPr>
              <w:t>75(Rev.2)</w:t>
            </w:r>
          </w:p>
        </w:tc>
      </w:tr>
      <w:tr w:rsidR="006F1163" w14:paraId="79FEAE32" w14:textId="77777777" w:rsidTr="00006423">
        <w:tc>
          <w:tcPr>
            <w:tcW w:w="1838" w:type="dxa"/>
            <w:vAlign w:val="center"/>
          </w:tcPr>
          <w:p w14:paraId="49761146" w14:textId="77777777" w:rsidR="006F1163" w:rsidRPr="00DC474E" w:rsidRDefault="006F1163" w:rsidP="005649E4">
            <w:pPr>
              <w:pStyle w:val="Tabletext"/>
              <w:jc w:val="center"/>
              <w:rPr>
                <w:color w:val="333F50"/>
                <w:lang w:val="en-GB"/>
              </w:rPr>
            </w:pPr>
            <w:r w:rsidRPr="00DC474E">
              <w:rPr>
                <w:color w:val="333F50"/>
                <w:lang w:val="en-GB"/>
              </w:rPr>
              <w:t>F.2173-0</w:t>
            </w:r>
          </w:p>
        </w:tc>
        <w:tc>
          <w:tcPr>
            <w:tcW w:w="6095" w:type="dxa"/>
            <w:vAlign w:val="center"/>
          </w:tcPr>
          <w:p w14:paraId="518177D4" w14:textId="0B0CBA34" w:rsidR="006F1163" w:rsidRPr="007B51AE" w:rsidRDefault="006F1163" w:rsidP="005649E4">
            <w:pPr>
              <w:pStyle w:val="Tabletext"/>
              <w:rPr>
                <w:highlight w:val="yellow"/>
                <w:lang w:val="en-GB" w:eastAsia="zh-CN"/>
              </w:rPr>
            </w:pPr>
            <w:r>
              <w:rPr>
                <w:rFonts w:hint="eastAsia"/>
                <w:lang w:val="en-GB" w:eastAsia="zh-CN"/>
              </w:rPr>
              <w:t>工作在</w:t>
            </w:r>
            <w:r w:rsidRPr="00E4437D">
              <w:rPr>
                <w:lang w:val="en-GB" w:eastAsia="zh-CN"/>
              </w:rPr>
              <w:t>92-94</w:t>
            </w:r>
            <w:r w:rsidR="00006423">
              <w:rPr>
                <w:lang w:val="en-GB" w:eastAsia="zh-CN"/>
              </w:rPr>
              <w:t> </w:t>
            </w:r>
            <w:r w:rsidRPr="00E4437D">
              <w:rPr>
                <w:lang w:val="en-GB" w:eastAsia="zh-CN"/>
              </w:rPr>
              <w:t>GHz</w:t>
            </w:r>
            <w:r>
              <w:rPr>
                <w:rFonts w:hint="eastAsia"/>
                <w:lang w:val="en-GB" w:eastAsia="zh-CN"/>
              </w:rPr>
              <w:t>、</w:t>
            </w:r>
            <w:r w:rsidRPr="00E4437D">
              <w:rPr>
                <w:lang w:val="en-GB" w:eastAsia="zh-CN"/>
              </w:rPr>
              <w:t>94.1-100</w:t>
            </w:r>
            <w:r w:rsidR="00006423">
              <w:rPr>
                <w:lang w:val="en-GB" w:eastAsia="zh-CN"/>
              </w:rPr>
              <w:t> </w:t>
            </w:r>
            <w:r w:rsidRPr="00E4437D">
              <w:rPr>
                <w:lang w:val="en-GB" w:eastAsia="zh-CN"/>
              </w:rPr>
              <w:t>GHz</w:t>
            </w:r>
            <w:r>
              <w:rPr>
                <w:rFonts w:hint="eastAsia"/>
                <w:lang w:val="en-GB" w:eastAsia="zh-CN"/>
              </w:rPr>
              <w:t>、</w:t>
            </w:r>
            <w:r w:rsidRPr="00E4437D">
              <w:rPr>
                <w:lang w:val="en-GB" w:eastAsia="zh-CN"/>
              </w:rPr>
              <w:t>102-109.5</w:t>
            </w:r>
            <w:r w:rsidR="00006423">
              <w:rPr>
                <w:lang w:val="en-GB" w:eastAsia="zh-CN"/>
              </w:rPr>
              <w:t> </w:t>
            </w:r>
            <w:r w:rsidRPr="00E4437D">
              <w:rPr>
                <w:lang w:val="en-GB" w:eastAsia="zh-CN"/>
              </w:rPr>
              <w:t>GHz</w:t>
            </w:r>
            <w:r>
              <w:rPr>
                <w:rFonts w:hint="eastAsia"/>
                <w:lang w:val="en-GB" w:eastAsia="zh-CN"/>
              </w:rPr>
              <w:t>和</w:t>
            </w:r>
            <w:r w:rsidRPr="00E4437D">
              <w:rPr>
                <w:lang w:val="en-GB" w:eastAsia="zh-CN"/>
              </w:rPr>
              <w:t>111.8-114.25</w:t>
            </w:r>
            <w:r w:rsidR="00006423">
              <w:rPr>
                <w:lang w:val="en-GB" w:eastAsia="zh-CN"/>
              </w:rPr>
              <w:t> </w:t>
            </w:r>
            <w:r w:rsidRPr="00E4437D">
              <w:rPr>
                <w:lang w:val="en-GB" w:eastAsia="zh-CN"/>
              </w:rPr>
              <w:t>GHz</w:t>
            </w:r>
            <w:r>
              <w:rPr>
                <w:rFonts w:hint="eastAsia"/>
                <w:lang w:val="en-GB" w:eastAsia="zh-CN"/>
              </w:rPr>
              <w:t>频率范围的固定业务系统的</w:t>
            </w:r>
            <w:r w:rsidRPr="00E4437D">
              <w:rPr>
                <w:rFonts w:hint="eastAsia"/>
                <w:lang w:val="en-GB" w:eastAsia="zh-CN"/>
              </w:rPr>
              <w:t>无线电频率信道和</w:t>
            </w:r>
            <w:proofErr w:type="gramStart"/>
            <w:r w:rsidRPr="00E4437D">
              <w:rPr>
                <w:rFonts w:hint="eastAsia"/>
                <w:lang w:val="en-GB" w:eastAsia="zh-CN"/>
              </w:rPr>
              <w:t>射频组配置</w:t>
            </w:r>
            <w:proofErr w:type="gramEnd"/>
          </w:p>
        </w:tc>
        <w:tc>
          <w:tcPr>
            <w:tcW w:w="1423" w:type="dxa"/>
            <w:vAlign w:val="center"/>
          </w:tcPr>
          <w:p w14:paraId="6EDEF234" w14:textId="77777777" w:rsidR="006F1163" w:rsidRPr="007B51AE" w:rsidRDefault="006F1163" w:rsidP="005649E4">
            <w:pPr>
              <w:pStyle w:val="Tabletext"/>
              <w:jc w:val="center"/>
              <w:rPr>
                <w:highlight w:val="yellow"/>
              </w:rPr>
            </w:pPr>
            <w:r>
              <w:rPr>
                <w:lang w:val="en-GB"/>
              </w:rPr>
              <w:t>76(Rev.2)</w:t>
            </w:r>
          </w:p>
        </w:tc>
      </w:tr>
      <w:tr w:rsidR="006F1163" w14:paraId="32E82370" w14:textId="77777777" w:rsidTr="00006423">
        <w:tc>
          <w:tcPr>
            <w:tcW w:w="1838" w:type="dxa"/>
            <w:vAlign w:val="center"/>
          </w:tcPr>
          <w:p w14:paraId="3A6DB75D" w14:textId="77777777" w:rsidR="006F1163" w:rsidRPr="007B51AE" w:rsidRDefault="006F1163" w:rsidP="005649E4">
            <w:pPr>
              <w:pStyle w:val="Tabletext"/>
              <w:jc w:val="center"/>
              <w:rPr>
                <w:highlight w:val="yellow"/>
              </w:rPr>
            </w:pPr>
            <w:r>
              <w:rPr>
                <w:color w:val="333F50"/>
                <w:lang w:val="en-GB"/>
              </w:rPr>
              <w:t>M.1036-8</w:t>
            </w:r>
          </w:p>
        </w:tc>
        <w:tc>
          <w:tcPr>
            <w:tcW w:w="6095" w:type="dxa"/>
            <w:vAlign w:val="center"/>
          </w:tcPr>
          <w:p w14:paraId="1E2046B9" w14:textId="77777777" w:rsidR="006F1163" w:rsidRPr="007B51AE" w:rsidRDefault="006F1163" w:rsidP="005649E4">
            <w:pPr>
              <w:pStyle w:val="Tabletext"/>
              <w:rPr>
                <w:highlight w:val="yellow"/>
                <w:lang w:val="en-GB" w:eastAsia="zh-CN"/>
              </w:rPr>
            </w:pPr>
            <w:r w:rsidRPr="008F2797">
              <w:rPr>
                <w:rFonts w:hint="eastAsia"/>
                <w:lang w:val="en-GB" w:eastAsia="zh-CN"/>
              </w:rPr>
              <w:t>在《无线电规则》确定的国际移动通信（</w:t>
            </w:r>
            <w:r w:rsidRPr="008F2797">
              <w:rPr>
                <w:rFonts w:hint="eastAsia"/>
                <w:lang w:val="en-GB" w:eastAsia="zh-CN"/>
              </w:rPr>
              <w:t>IMT</w:t>
            </w:r>
            <w:r w:rsidRPr="008F2797">
              <w:rPr>
                <w:rFonts w:hint="eastAsia"/>
                <w:lang w:val="en-GB" w:eastAsia="zh-CN"/>
              </w:rPr>
              <w:t>）频段内实施</w:t>
            </w:r>
            <w:r w:rsidRPr="008F2797">
              <w:rPr>
                <w:rFonts w:hint="eastAsia"/>
                <w:lang w:val="en-GB" w:eastAsia="zh-CN"/>
              </w:rPr>
              <w:t>IMT</w:t>
            </w:r>
            <w:r w:rsidRPr="008F2797">
              <w:rPr>
                <w:rFonts w:hint="eastAsia"/>
                <w:lang w:val="en-GB" w:eastAsia="zh-CN"/>
              </w:rPr>
              <w:t>地面部分的频率安排</w:t>
            </w:r>
          </w:p>
        </w:tc>
        <w:tc>
          <w:tcPr>
            <w:tcW w:w="1423" w:type="dxa"/>
            <w:vAlign w:val="center"/>
          </w:tcPr>
          <w:p w14:paraId="5745FC2D" w14:textId="77777777" w:rsidR="006F1163" w:rsidRPr="007B51AE" w:rsidRDefault="006F1163" w:rsidP="005649E4">
            <w:pPr>
              <w:pStyle w:val="Tabletext"/>
              <w:jc w:val="center"/>
              <w:rPr>
                <w:highlight w:val="yellow"/>
              </w:rPr>
            </w:pPr>
            <w:r>
              <w:rPr>
                <w:color w:val="000000"/>
                <w:lang w:val="en-GB"/>
              </w:rPr>
              <w:t>61(Rev.1)</w:t>
            </w:r>
          </w:p>
        </w:tc>
      </w:tr>
      <w:tr w:rsidR="006F1163" w14:paraId="7220C031" w14:textId="77777777" w:rsidTr="00006423">
        <w:tc>
          <w:tcPr>
            <w:tcW w:w="1838" w:type="dxa"/>
            <w:vAlign w:val="center"/>
          </w:tcPr>
          <w:p w14:paraId="0EA45868" w14:textId="77777777" w:rsidR="006F1163" w:rsidRPr="007B51AE" w:rsidRDefault="006F1163" w:rsidP="005649E4">
            <w:pPr>
              <w:pStyle w:val="Tabletext"/>
              <w:jc w:val="center"/>
              <w:rPr>
                <w:highlight w:val="yellow"/>
              </w:rPr>
            </w:pPr>
            <w:r>
              <w:rPr>
                <w:color w:val="333F50"/>
                <w:lang w:val="en-GB"/>
              </w:rPr>
              <w:t>M.1450-6</w:t>
            </w:r>
          </w:p>
        </w:tc>
        <w:tc>
          <w:tcPr>
            <w:tcW w:w="6095" w:type="dxa"/>
            <w:vAlign w:val="center"/>
          </w:tcPr>
          <w:p w14:paraId="51E043A7" w14:textId="77777777" w:rsidR="006F1163" w:rsidRPr="007B51AE" w:rsidRDefault="006F1163" w:rsidP="005649E4">
            <w:pPr>
              <w:pStyle w:val="Tabletext"/>
              <w:rPr>
                <w:highlight w:val="yellow"/>
                <w:lang w:val="en-GB" w:eastAsia="zh-CN"/>
              </w:rPr>
            </w:pPr>
            <w:r w:rsidRPr="008F2797">
              <w:rPr>
                <w:rFonts w:hint="eastAsia"/>
                <w:lang w:val="en-GB" w:eastAsia="zh-CN"/>
              </w:rPr>
              <w:t>宽带无线电局域网的特性</w:t>
            </w:r>
          </w:p>
        </w:tc>
        <w:tc>
          <w:tcPr>
            <w:tcW w:w="1423" w:type="dxa"/>
            <w:vAlign w:val="center"/>
          </w:tcPr>
          <w:p w14:paraId="23904E83" w14:textId="77777777" w:rsidR="006F1163" w:rsidRPr="007B51AE" w:rsidRDefault="006F1163" w:rsidP="005649E4">
            <w:pPr>
              <w:pStyle w:val="Tabletext"/>
              <w:jc w:val="center"/>
              <w:rPr>
                <w:highlight w:val="yellow"/>
              </w:rPr>
            </w:pPr>
            <w:r>
              <w:rPr>
                <w:color w:val="000000"/>
                <w:lang w:val="en-GB"/>
              </w:rPr>
              <w:t>66(Rev.1)</w:t>
            </w:r>
          </w:p>
        </w:tc>
      </w:tr>
      <w:tr w:rsidR="006F1163" w14:paraId="41A3EC81" w14:textId="77777777" w:rsidTr="00006423">
        <w:tc>
          <w:tcPr>
            <w:tcW w:w="1838" w:type="dxa"/>
            <w:vAlign w:val="center"/>
          </w:tcPr>
          <w:p w14:paraId="6D7A1860" w14:textId="77777777" w:rsidR="006F1163" w:rsidRPr="007B51AE" w:rsidRDefault="006F1163" w:rsidP="005649E4">
            <w:pPr>
              <w:pStyle w:val="Tabletext"/>
              <w:jc w:val="center"/>
              <w:rPr>
                <w:highlight w:val="yellow"/>
              </w:rPr>
            </w:pPr>
            <w:r>
              <w:rPr>
                <w:color w:val="333F50"/>
                <w:lang w:val="en-GB"/>
              </w:rPr>
              <w:t>M.1801-3</w:t>
            </w:r>
          </w:p>
        </w:tc>
        <w:tc>
          <w:tcPr>
            <w:tcW w:w="6095" w:type="dxa"/>
            <w:vAlign w:val="center"/>
          </w:tcPr>
          <w:p w14:paraId="00060F65" w14:textId="77777777" w:rsidR="006F1163" w:rsidRPr="007B51AE" w:rsidRDefault="006F1163" w:rsidP="005649E4">
            <w:pPr>
              <w:pStyle w:val="Tabletext"/>
              <w:rPr>
                <w:highlight w:val="yellow"/>
                <w:lang w:val="en-GB" w:eastAsia="zh-CN"/>
              </w:rPr>
            </w:pPr>
            <w:r w:rsidRPr="008F2797">
              <w:rPr>
                <w:rFonts w:hint="eastAsia"/>
                <w:lang w:val="en-GB" w:eastAsia="zh-CN"/>
              </w:rPr>
              <w:t>移动业务中包括移动和漫游应用在内的宽带无线接入系统的无线电接口标准</w:t>
            </w:r>
          </w:p>
        </w:tc>
        <w:tc>
          <w:tcPr>
            <w:tcW w:w="1423" w:type="dxa"/>
            <w:vAlign w:val="center"/>
          </w:tcPr>
          <w:p w14:paraId="03893431" w14:textId="77777777" w:rsidR="006F1163" w:rsidRPr="007B51AE" w:rsidRDefault="006F1163" w:rsidP="005649E4">
            <w:pPr>
              <w:pStyle w:val="Tabletext"/>
              <w:jc w:val="center"/>
              <w:rPr>
                <w:highlight w:val="yellow"/>
              </w:rPr>
            </w:pPr>
            <w:r>
              <w:rPr>
                <w:color w:val="000000"/>
                <w:lang w:val="en-GB"/>
              </w:rPr>
              <w:t>67(Rev.1)</w:t>
            </w:r>
          </w:p>
        </w:tc>
      </w:tr>
      <w:tr w:rsidR="006F1163" w14:paraId="4913967E" w14:textId="77777777" w:rsidTr="00006423">
        <w:tc>
          <w:tcPr>
            <w:tcW w:w="1838" w:type="dxa"/>
            <w:vAlign w:val="center"/>
          </w:tcPr>
          <w:p w14:paraId="48B4FAE8" w14:textId="77777777" w:rsidR="006F1163" w:rsidRPr="007B51AE" w:rsidRDefault="006F1163" w:rsidP="005649E4">
            <w:pPr>
              <w:pStyle w:val="Tabletext"/>
              <w:jc w:val="center"/>
              <w:rPr>
                <w:highlight w:val="yellow"/>
              </w:rPr>
            </w:pPr>
            <w:r>
              <w:rPr>
                <w:color w:val="333F50"/>
                <w:lang w:val="en-GB"/>
              </w:rPr>
              <w:t>F.1763-2</w:t>
            </w:r>
          </w:p>
        </w:tc>
        <w:tc>
          <w:tcPr>
            <w:tcW w:w="6095" w:type="dxa"/>
            <w:vAlign w:val="center"/>
          </w:tcPr>
          <w:p w14:paraId="620A6913" w14:textId="4B5AD131" w:rsidR="006F1163" w:rsidRPr="007B51AE" w:rsidRDefault="006F1163" w:rsidP="005649E4">
            <w:pPr>
              <w:pStyle w:val="Tabletext"/>
              <w:rPr>
                <w:highlight w:val="yellow"/>
                <w:lang w:val="en-GB" w:eastAsia="zh-CN"/>
              </w:rPr>
            </w:pPr>
            <w:r w:rsidRPr="008F2797">
              <w:rPr>
                <w:rFonts w:hint="eastAsia"/>
                <w:lang w:val="en-GB" w:eastAsia="zh-CN"/>
              </w:rPr>
              <w:t>固定业务宽带无线接入系统的无线电接口标准</w:t>
            </w:r>
          </w:p>
        </w:tc>
        <w:tc>
          <w:tcPr>
            <w:tcW w:w="1423" w:type="dxa"/>
            <w:vAlign w:val="center"/>
          </w:tcPr>
          <w:p w14:paraId="446DF317" w14:textId="77777777" w:rsidR="006F1163" w:rsidRPr="007B51AE" w:rsidRDefault="006F1163" w:rsidP="005649E4">
            <w:pPr>
              <w:pStyle w:val="Tabletext"/>
              <w:jc w:val="center"/>
              <w:rPr>
                <w:highlight w:val="yellow"/>
              </w:rPr>
            </w:pPr>
            <w:r>
              <w:rPr>
                <w:color w:val="000000"/>
                <w:lang w:val="en-GB"/>
              </w:rPr>
              <w:t>68(Rev.1)</w:t>
            </w:r>
          </w:p>
        </w:tc>
      </w:tr>
      <w:tr w:rsidR="006F1163" w14:paraId="7C6D9CC0" w14:textId="77777777" w:rsidTr="00006423">
        <w:tc>
          <w:tcPr>
            <w:tcW w:w="1838" w:type="dxa"/>
            <w:vAlign w:val="center"/>
          </w:tcPr>
          <w:p w14:paraId="0F813126" w14:textId="77777777" w:rsidR="006F1163" w:rsidRPr="007B51AE" w:rsidRDefault="006F1163" w:rsidP="005649E4">
            <w:pPr>
              <w:pStyle w:val="Tabletext"/>
              <w:jc w:val="center"/>
              <w:rPr>
                <w:highlight w:val="yellow"/>
              </w:rPr>
            </w:pPr>
            <w:r>
              <w:rPr>
                <w:color w:val="333F50"/>
                <w:lang w:val="en-GB"/>
              </w:rPr>
              <w:t>F.1821-1</w:t>
            </w:r>
          </w:p>
        </w:tc>
        <w:tc>
          <w:tcPr>
            <w:tcW w:w="6095" w:type="dxa"/>
            <w:vAlign w:val="center"/>
          </w:tcPr>
          <w:p w14:paraId="6A473C52" w14:textId="76180F5A" w:rsidR="006F1163" w:rsidRPr="00520941" w:rsidRDefault="006F1163" w:rsidP="005649E4">
            <w:pPr>
              <w:pStyle w:val="Tabletext"/>
              <w:rPr>
                <w:lang w:val="en-GB" w:eastAsia="zh-CN"/>
              </w:rPr>
            </w:pPr>
            <w:r>
              <w:rPr>
                <w:rFonts w:hint="eastAsia"/>
                <w:lang w:val="en-GB" w:eastAsia="zh-CN"/>
              </w:rPr>
              <w:t>固定和移动业务</w:t>
            </w:r>
            <w:r w:rsidR="00FF3D1B">
              <w:rPr>
                <w:rFonts w:hint="eastAsia"/>
                <w:lang w:val="en-GB" w:eastAsia="zh-CN"/>
              </w:rPr>
              <w:t>中</w:t>
            </w:r>
            <w:r w:rsidRPr="008F2797">
              <w:rPr>
                <w:rFonts w:hint="eastAsia"/>
                <w:lang w:val="en-GB" w:eastAsia="zh-CN"/>
              </w:rPr>
              <w:t>高级数字高频</w:t>
            </w:r>
            <w:r w:rsidRPr="00006423">
              <w:rPr>
                <w:lang w:val="en-GB" w:eastAsia="zh-CN"/>
              </w:rPr>
              <w:footnoteReference w:customMarkFollows="1" w:id="1"/>
              <w:t>*</w:t>
            </w:r>
            <w:r w:rsidRPr="008F2797">
              <w:rPr>
                <w:rFonts w:hint="eastAsia"/>
                <w:lang w:val="en-GB" w:eastAsia="zh-CN"/>
              </w:rPr>
              <w:t>无线电通信系统的特性</w:t>
            </w:r>
          </w:p>
        </w:tc>
        <w:tc>
          <w:tcPr>
            <w:tcW w:w="1423" w:type="dxa"/>
            <w:vAlign w:val="center"/>
          </w:tcPr>
          <w:p w14:paraId="49E1F480" w14:textId="77777777" w:rsidR="006F1163" w:rsidRPr="007B51AE" w:rsidRDefault="006F1163" w:rsidP="005649E4">
            <w:pPr>
              <w:pStyle w:val="Tabletext"/>
              <w:jc w:val="center"/>
              <w:rPr>
                <w:highlight w:val="yellow"/>
              </w:rPr>
            </w:pPr>
            <w:r>
              <w:rPr>
                <w:color w:val="000000"/>
                <w:lang w:val="en-GB"/>
              </w:rPr>
              <w:t>72(Rev.1)</w:t>
            </w:r>
          </w:p>
        </w:tc>
      </w:tr>
      <w:tr w:rsidR="006F1163" w14:paraId="2E72D9C2" w14:textId="77777777" w:rsidTr="00006423">
        <w:tc>
          <w:tcPr>
            <w:tcW w:w="1838" w:type="dxa"/>
            <w:vAlign w:val="center"/>
          </w:tcPr>
          <w:p w14:paraId="1423722E" w14:textId="77777777" w:rsidR="006F1163" w:rsidRPr="007B51AE" w:rsidRDefault="006F1163" w:rsidP="005649E4">
            <w:pPr>
              <w:pStyle w:val="Tabletext"/>
              <w:jc w:val="center"/>
              <w:rPr>
                <w:highlight w:val="yellow"/>
              </w:rPr>
            </w:pPr>
            <w:r>
              <w:rPr>
                <w:color w:val="333F50"/>
                <w:lang w:val="en-GB"/>
              </w:rPr>
              <w:t>F.1762-1</w:t>
            </w:r>
          </w:p>
        </w:tc>
        <w:tc>
          <w:tcPr>
            <w:tcW w:w="6095" w:type="dxa"/>
            <w:vAlign w:val="center"/>
          </w:tcPr>
          <w:p w14:paraId="2EE00F13" w14:textId="7E921A48" w:rsidR="006F1163" w:rsidRPr="00520941" w:rsidRDefault="006F1163" w:rsidP="005649E4">
            <w:pPr>
              <w:pStyle w:val="Tabletext"/>
              <w:rPr>
                <w:lang w:val="en-GB" w:eastAsia="zh-CN"/>
              </w:rPr>
            </w:pPr>
            <w:r w:rsidRPr="008F2797">
              <w:rPr>
                <w:rFonts w:hint="eastAsia"/>
                <w:lang w:val="en-GB" w:eastAsia="zh-CN"/>
              </w:rPr>
              <w:t>固定和移动业务</w:t>
            </w:r>
            <w:r w:rsidR="00FF3D1B">
              <w:rPr>
                <w:rFonts w:hint="eastAsia"/>
                <w:lang w:val="en-GB" w:eastAsia="zh-CN"/>
              </w:rPr>
              <w:t>中</w:t>
            </w:r>
            <w:r w:rsidRPr="008F2797">
              <w:rPr>
                <w:rFonts w:hint="eastAsia"/>
                <w:lang w:val="en-GB" w:eastAsia="zh-CN"/>
              </w:rPr>
              <w:t>高频</w:t>
            </w:r>
            <w:r w:rsidRPr="00006423">
              <w:rPr>
                <w:lang w:val="en-GB" w:eastAsia="zh-CN"/>
              </w:rPr>
              <w:t>*</w:t>
            </w:r>
            <w:r w:rsidRPr="008F2797">
              <w:rPr>
                <w:rFonts w:hint="eastAsia"/>
                <w:lang w:val="en-GB" w:eastAsia="zh-CN"/>
              </w:rPr>
              <w:t>无线电通信系统增强型应用特点</w:t>
            </w:r>
          </w:p>
        </w:tc>
        <w:tc>
          <w:tcPr>
            <w:tcW w:w="1423" w:type="dxa"/>
            <w:vAlign w:val="center"/>
          </w:tcPr>
          <w:p w14:paraId="64AF26DD" w14:textId="77777777" w:rsidR="006F1163" w:rsidRPr="007B51AE" w:rsidRDefault="006F1163" w:rsidP="005649E4">
            <w:pPr>
              <w:pStyle w:val="Tabletext"/>
              <w:jc w:val="center"/>
              <w:rPr>
                <w:highlight w:val="yellow"/>
              </w:rPr>
            </w:pPr>
            <w:r>
              <w:rPr>
                <w:color w:val="000000"/>
                <w:lang w:val="en-GB"/>
              </w:rPr>
              <w:t>73(Rev.1)</w:t>
            </w:r>
          </w:p>
        </w:tc>
      </w:tr>
      <w:tr w:rsidR="006F1163" w14:paraId="565B5980" w14:textId="77777777" w:rsidTr="00006423">
        <w:tc>
          <w:tcPr>
            <w:tcW w:w="1838" w:type="dxa"/>
            <w:vAlign w:val="center"/>
          </w:tcPr>
          <w:p w14:paraId="0718A96B" w14:textId="77777777" w:rsidR="006F1163" w:rsidRPr="007B51AE" w:rsidRDefault="006F1163" w:rsidP="005649E4">
            <w:pPr>
              <w:pStyle w:val="Tabletext"/>
              <w:jc w:val="center"/>
              <w:rPr>
                <w:highlight w:val="yellow"/>
              </w:rPr>
            </w:pPr>
            <w:r>
              <w:rPr>
                <w:color w:val="333F50"/>
                <w:lang w:val="en-GB"/>
              </w:rPr>
              <w:t>F.699-9</w:t>
            </w:r>
          </w:p>
        </w:tc>
        <w:tc>
          <w:tcPr>
            <w:tcW w:w="6095" w:type="dxa"/>
            <w:vAlign w:val="center"/>
          </w:tcPr>
          <w:p w14:paraId="58281B5A" w14:textId="6AB79231" w:rsidR="006F1163" w:rsidRPr="00520941" w:rsidRDefault="006F1163" w:rsidP="005649E4">
            <w:pPr>
              <w:pStyle w:val="Tabletext"/>
              <w:rPr>
                <w:lang w:val="en-GB" w:eastAsia="zh-CN"/>
              </w:rPr>
            </w:pPr>
            <w:bookmarkStart w:id="0" w:name="_Hlk120175874"/>
            <w:r>
              <w:rPr>
                <w:rFonts w:hint="eastAsia"/>
                <w:lang w:val="en-GB" w:eastAsia="zh-CN"/>
              </w:rPr>
              <w:t>在</w:t>
            </w:r>
            <w:r w:rsidRPr="00520941">
              <w:rPr>
                <w:lang w:val="en-GB" w:eastAsia="zh-CN"/>
              </w:rPr>
              <w:t>100</w:t>
            </w:r>
            <w:r w:rsidR="00006423">
              <w:rPr>
                <w:lang w:val="en-GB" w:eastAsia="zh-CN"/>
              </w:rPr>
              <w:t> </w:t>
            </w:r>
            <w:r w:rsidRPr="00520941">
              <w:rPr>
                <w:lang w:val="en-GB" w:eastAsia="zh-CN"/>
              </w:rPr>
              <w:t>MHz</w:t>
            </w:r>
            <w:r>
              <w:rPr>
                <w:rFonts w:hint="eastAsia"/>
                <w:lang w:val="en-GB" w:eastAsia="zh-CN"/>
              </w:rPr>
              <w:t>至</w:t>
            </w:r>
            <w:r w:rsidRPr="00520941">
              <w:rPr>
                <w:lang w:val="en-GB" w:eastAsia="zh-CN"/>
              </w:rPr>
              <w:t>174.8</w:t>
            </w:r>
            <w:r w:rsidR="00006423">
              <w:rPr>
                <w:lang w:val="en-GB" w:eastAsia="zh-CN"/>
              </w:rPr>
              <w:t> </w:t>
            </w:r>
            <w:r w:rsidRPr="00520941">
              <w:rPr>
                <w:lang w:val="en-GB" w:eastAsia="zh-CN"/>
              </w:rPr>
              <w:t>GHz</w:t>
            </w:r>
            <w:r w:rsidRPr="00A4154B">
              <w:rPr>
                <w:rFonts w:hint="eastAsia"/>
                <w:lang w:val="en-GB" w:eastAsia="zh-CN"/>
              </w:rPr>
              <w:t>频率范围内</w:t>
            </w:r>
            <w:r>
              <w:rPr>
                <w:rFonts w:hint="eastAsia"/>
                <w:lang w:val="en-GB" w:eastAsia="zh-CN"/>
              </w:rPr>
              <w:t>进行</w:t>
            </w:r>
            <w:r w:rsidRPr="00A4154B">
              <w:rPr>
                <w:rFonts w:hint="eastAsia"/>
                <w:lang w:val="en-GB" w:eastAsia="zh-CN"/>
              </w:rPr>
              <w:t>协调研究</w:t>
            </w:r>
            <w:r>
              <w:rPr>
                <w:rFonts w:hint="eastAsia"/>
                <w:lang w:val="en-GB" w:eastAsia="zh-CN"/>
              </w:rPr>
              <w:t>和</w:t>
            </w:r>
            <w:r w:rsidRPr="00A4154B">
              <w:rPr>
                <w:rFonts w:hint="eastAsia"/>
                <w:lang w:val="en-GB" w:eastAsia="zh-CN"/>
              </w:rPr>
              <w:t>干扰</w:t>
            </w:r>
            <w:r>
              <w:rPr>
                <w:rFonts w:hint="eastAsia"/>
                <w:lang w:val="en-GB" w:eastAsia="zh-CN"/>
              </w:rPr>
              <w:t>评估</w:t>
            </w:r>
            <w:r w:rsidR="000D2D84">
              <w:rPr>
                <w:rFonts w:hint="eastAsia"/>
                <w:lang w:val="en-GB" w:eastAsia="zh-CN"/>
              </w:rPr>
              <w:t>所</w:t>
            </w:r>
            <w:r>
              <w:rPr>
                <w:rFonts w:hint="eastAsia"/>
                <w:lang w:val="en-GB" w:eastAsia="zh-CN"/>
              </w:rPr>
              <w:t>使用</w:t>
            </w:r>
            <w:r w:rsidRPr="00A4154B">
              <w:rPr>
                <w:rFonts w:hint="eastAsia"/>
                <w:lang w:val="en-GB" w:eastAsia="zh-CN"/>
              </w:rPr>
              <w:t>的固定无线系统天线的参考辐射方向图</w:t>
            </w:r>
            <w:bookmarkEnd w:id="0"/>
          </w:p>
        </w:tc>
        <w:tc>
          <w:tcPr>
            <w:tcW w:w="1423" w:type="dxa"/>
            <w:vAlign w:val="center"/>
          </w:tcPr>
          <w:p w14:paraId="15AE2F5A" w14:textId="77777777" w:rsidR="006F1163" w:rsidRPr="007B51AE" w:rsidRDefault="006F1163" w:rsidP="005649E4">
            <w:pPr>
              <w:pStyle w:val="Tabletext"/>
              <w:jc w:val="center"/>
              <w:rPr>
                <w:highlight w:val="yellow"/>
              </w:rPr>
            </w:pPr>
            <w:r>
              <w:rPr>
                <w:color w:val="000000"/>
                <w:lang w:val="en-GB"/>
              </w:rPr>
              <w:t>74(Rev.1)</w:t>
            </w:r>
          </w:p>
        </w:tc>
      </w:tr>
    </w:tbl>
    <w:p w14:paraId="458D7763" w14:textId="3C5E3F42" w:rsidR="00115C83" w:rsidRDefault="00115C83" w:rsidP="00115C83">
      <w:pPr>
        <w:jc w:val="center"/>
      </w:pPr>
      <w:r>
        <w:t>_______________</w:t>
      </w:r>
    </w:p>
    <w:sectPr w:rsidR="00115C83" w:rsidSect="00FD46A6">
      <w:headerReference w:type="even" r:id="rId9"/>
      <w:headerReference w:type="default" r:id="rId10"/>
      <w:footerReference w:type="even" r:id="rId11"/>
      <w:headerReference w:type="first" r:id="rId12"/>
      <w:footerReference w:type="first" r:id="rId13"/>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316690E4"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6262EA">
      <w:rPr>
        <w:noProof/>
        <w:sz w:val="16"/>
        <w:szCs w:val="16"/>
      </w:rPr>
      <w:t>25.02.26</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 w:id="1">
    <w:p w14:paraId="09855A1F" w14:textId="1411E5A3" w:rsidR="006F1163" w:rsidRDefault="006F1163" w:rsidP="006F1163">
      <w:pPr>
        <w:pStyle w:val="FootnoteText"/>
        <w:ind w:left="142" w:right="141" w:hanging="142"/>
        <w:rPr>
          <w:rFonts w:eastAsiaTheme="minorHAnsi"/>
          <w:szCs w:val="20"/>
        </w:rPr>
      </w:pPr>
      <w:r>
        <w:rPr>
          <w:rStyle w:val="FootnoteReference"/>
          <w:szCs w:val="18"/>
        </w:rPr>
        <w:t>*</w:t>
      </w:r>
      <w:r w:rsidR="00006423">
        <w:rPr>
          <w:rStyle w:val="FootnoteReference"/>
          <w:rFonts w:hint="eastAsia"/>
          <w:szCs w:val="18"/>
          <w:lang w:eastAsia="zh-CN"/>
        </w:rPr>
        <w:t xml:space="preserve"> </w:t>
      </w:r>
      <w:r w:rsidR="00215FE5">
        <w:rPr>
          <w:rFonts w:hint="eastAsia"/>
          <w:lang w:eastAsia="zh-CN"/>
        </w:rPr>
        <w:t>频率范围为</w:t>
      </w:r>
      <w:r>
        <w:t>2-30 MHz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12CC6673" w:rsidR="00E915AF" w:rsidRPr="00286889" w:rsidRDefault="00286889" w:rsidP="00006423">
    <w:pPr>
      <w:pStyle w:val="Header"/>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423"/>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D2D84"/>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1F670F"/>
    <w:rsid w:val="00201097"/>
    <w:rsid w:val="00201B6E"/>
    <w:rsid w:val="00215FE5"/>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1793"/>
    <w:rsid w:val="004623F7"/>
    <w:rsid w:val="00480F51"/>
    <w:rsid w:val="00481124"/>
    <w:rsid w:val="004815EB"/>
    <w:rsid w:val="00482555"/>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262EA"/>
    <w:rsid w:val="0064371D"/>
    <w:rsid w:val="00650543"/>
    <w:rsid w:val="00650B2A"/>
    <w:rsid w:val="00651777"/>
    <w:rsid w:val="006550F8"/>
    <w:rsid w:val="006829F3"/>
    <w:rsid w:val="006A518B"/>
    <w:rsid w:val="006B0590"/>
    <w:rsid w:val="006B3736"/>
    <w:rsid w:val="006B49DA"/>
    <w:rsid w:val="006C53F8"/>
    <w:rsid w:val="006C6541"/>
    <w:rsid w:val="006C7CDE"/>
    <w:rsid w:val="006F1163"/>
    <w:rsid w:val="006F6838"/>
    <w:rsid w:val="006F7484"/>
    <w:rsid w:val="00704E96"/>
    <w:rsid w:val="00720500"/>
    <w:rsid w:val="007234B1"/>
    <w:rsid w:val="00723D08"/>
    <w:rsid w:val="007248A0"/>
    <w:rsid w:val="007253AF"/>
    <w:rsid w:val="00725FDA"/>
    <w:rsid w:val="00727816"/>
    <w:rsid w:val="00730B9A"/>
    <w:rsid w:val="00750CFA"/>
    <w:rsid w:val="007553DA"/>
    <w:rsid w:val="007553F6"/>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94762"/>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31370"/>
    <w:rsid w:val="00A34D6F"/>
    <w:rsid w:val="00A41F91"/>
    <w:rsid w:val="00A55124"/>
    <w:rsid w:val="00A63355"/>
    <w:rsid w:val="00A7596D"/>
    <w:rsid w:val="00A851AA"/>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CF5A5C"/>
    <w:rsid w:val="00D10BA0"/>
    <w:rsid w:val="00D21694"/>
    <w:rsid w:val="00D24EB5"/>
    <w:rsid w:val="00D35AB9"/>
    <w:rsid w:val="00D403C4"/>
    <w:rsid w:val="00D41571"/>
    <w:rsid w:val="00D416A0"/>
    <w:rsid w:val="00D47672"/>
    <w:rsid w:val="00D5123C"/>
    <w:rsid w:val="00D55560"/>
    <w:rsid w:val="00D61C5A"/>
    <w:rsid w:val="00D631CE"/>
    <w:rsid w:val="00D6790C"/>
    <w:rsid w:val="00D73277"/>
    <w:rsid w:val="00D76586"/>
    <w:rsid w:val="00D82657"/>
    <w:rsid w:val="00D87E20"/>
    <w:rsid w:val="00D91C2E"/>
    <w:rsid w:val="00DA16E6"/>
    <w:rsid w:val="00DA1E5A"/>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B4C59"/>
    <w:rsid w:val="00EC00EF"/>
    <w:rsid w:val="00EC02FE"/>
    <w:rsid w:val="00EC4000"/>
    <w:rsid w:val="00EC4A96"/>
    <w:rsid w:val="00ED5EDE"/>
    <w:rsid w:val="00EE03A0"/>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 w:val="00FF3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styleId="FollowedHyperlink">
    <w:name w:val="FollowedHyperlink"/>
    <w:basedOn w:val="DefaultParagraphFont"/>
    <w:semiHidden/>
    <w:unhideWhenUsed/>
    <w:rsid w:val="006F1163"/>
    <w:rPr>
      <w:color w:val="800080" w:themeColor="followedHyperlink"/>
      <w:u w:val="single"/>
    </w:rPr>
  </w:style>
  <w:style w:type="character" w:customStyle="1" w:styleId="TabletextChar">
    <w:name w:val="Table_text Char"/>
    <w:link w:val="Tabletext"/>
    <w:locked/>
    <w:rsid w:val="006F1163"/>
    <w:rPr>
      <w:szCs w:val="22"/>
      <w:lang w:val="en-US" w:eastAsia="en-US"/>
    </w:rPr>
  </w:style>
  <w:style w:type="character" w:customStyle="1" w:styleId="TableheadChar">
    <w:name w:val="Table_head Char"/>
    <w:basedOn w:val="DefaultParagraphFont"/>
    <w:link w:val="Tablehead"/>
    <w:locked/>
    <w:rsid w:val="006F1163"/>
    <w:rPr>
      <w:b/>
      <w:szCs w:val="22"/>
      <w:lang w:val="en-US" w:eastAsia="en-US"/>
    </w:rPr>
  </w:style>
  <w:style w:type="character" w:customStyle="1" w:styleId="FootnoteTextChar">
    <w:name w:val="Footnote Text Char"/>
    <w:basedOn w:val="DefaultParagraphFont"/>
    <w:link w:val="FootnoteText"/>
    <w:uiPriority w:val="99"/>
    <w:semiHidden/>
    <w:rsid w:val="006F1163"/>
    <w:rPr>
      <w:szCs w:val="22"/>
      <w:lang w:val="en-US" w:eastAsia="en-US"/>
    </w:rPr>
  </w:style>
  <w:style w:type="paragraph" w:styleId="Revision">
    <w:name w:val="Revision"/>
    <w:hidden/>
    <w:uiPriority w:val="99"/>
    <w:semiHidden/>
    <w:rsid w:val="00704E96"/>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70/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471</Characters>
  <Application>Microsoft Office Word</Application>
  <DocSecurity>0</DocSecurity>
  <Lines>3</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1108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Chamova, Alisa</cp:lastModifiedBy>
  <cp:revision>3</cp:revision>
  <cp:lastPrinted>2013-03-08T10:15:00Z</cp:lastPrinted>
  <dcterms:created xsi:type="dcterms:W3CDTF">2026-02-25T15:14:00Z</dcterms:created>
  <dcterms:modified xsi:type="dcterms:W3CDTF">2026-03-02T09:42:00Z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