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6C5731E6" w14:textId="77777777" w:rsidTr="00153E23">
        <w:tc>
          <w:tcPr>
            <w:tcW w:w="5000" w:type="pct"/>
            <w:gridSpan w:val="3"/>
          </w:tcPr>
          <w:p w14:paraId="2EB516C0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43690A0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07C04115" w14:textId="77777777" w:rsidTr="00153E23">
        <w:tc>
          <w:tcPr>
            <w:tcW w:w="2707" w:type="pct"/>
            <w:gridSpan w:val="2"/>
          </w:tcPr>
          <w:p w14:paraId="0341F46C" w14:textId="354AECD7" w:rsidR="000F7BBE" w:rsidRPr="000D15F8" w:rsidRDefault="000F7BBE" w:rsidP="004C217A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0D15F8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4C217A">
              <w:rPr>
                <w:position w:val="2"/>
                <w:rtl/>
                <w:lang w:bidi="ar-EG"/>
              </w:rPr>
              <w:br/>
            </w:r>
            <w:r w:rsidRPr="000D15F8">
              <w:rPr>
                <w:b/>
                <w:bCs/>
                <w:position w:val="2"/>
                <w:lang w:val="en-GB" w:bidi="ar-EG"/>
              </w:rPr>
              <w:t>CACE/</w:t>
            </w:r>
            <w:r w:rsidR="001709C4" w:rsidRPr="000D15F8">
              <w:rPr>
                <w:b/>
                <w:bCs/>
                <w:position w:val="2"/>
                <w:lang w:val="en-GB" w:bidi="ar-EG"/>
              </w:rPr>
              <w:t>1178</w:t>
            </w:r>
          </w:p>
        </w:tc>
        <w:tc>
          <w:tcPr>
            <w:tcW w:w="2293" w:type="pct"/>
          </w:tcPr>
          <w:p w14:paraId="144A76E7" w14:textId="0AA28442" w:rsidR="000F7BBE" w:rsidRPr="000D15F8" w:rsidRDefault="001709C4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0D15F8">
              <w:rPr>
                <w:position w:val="2"/>
                <w:lang w:val="fr-FR" w:bidi="ar-EG"/>
              </w:rPr>
              <w:t>3</w:t>
            </w:r>
            <w:r w:rsidR="00F16820" w:rsidRPr="000D15F8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0D15F8">
              <w:rPr>
                <w:rFonts w:hint="cs"/>
                <w:position w:val="2"/>
                <w:rtl/>
                <w:lang w:bidi="ar-SY"/>
              </w:rPr>
              <w:t>مارس</w:t>
            </w:r>
            <w:r w:rsidR="000F7BBE" w:rsidRPr="000D15F8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4C39C6" w:rsidRPr="000D15F8">
              <w:rPr>
                <w:position w:val="2"/>
                <w:lang w:bidi="ar-EG"/>
              </w:rPr>
              <w:t>202</w:t>
            </w:r>
            <w:r w:rsidRPr="000D15F8">
              <w:rPr>
                <w:position w:val="2"/>
                <w:lang w:bidi="ar-EG"/>
              </w:rPr>
              <w:t>6</w:t>
            </w:r>
          </w:p>
        </w:tc>
      </w:tr>
      <w:tr w:rsidR="000F7BBE" w:rsidRPr="000F7BBE" w14:paraId="506E6AAB" w14:textId="77777777" w:rsidTr="00153E23">
        <w:tc>
          <w:tcPr>
            <w:tcW w:w="5000" w:type="pct"/>
            <w:gridSpan w:val="3"/>
          </w:tcPr>
          <w:p w14:paraId="758D7FD8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F375C7C" w14:textId="77777777" w:rsidTr="00153E23">
        <w:tc>
          <w:tcPr>
            <w:tcW w:w="5000" w:type="pct"/>
            <w:gridSpan w:val="3"/>
          </w:tcPr>
          <w:p w14:paraId="36FEFCDC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795619E9" w14:textId="77777777" w:rsidTr="00153E23">
        <w:tc>
          <w:tcPr>
            <w:tcW w:w="5000" w:type="pct"/>
            <w:gridSpan w:val="3"/>
          </w:tcPr>
          <w:p w14:paraId="39E3F5B6" w14:textId="27AA968C" w:rsidR="000F7BBE" w:rsidRPr="00921F32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921F32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921F32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921F32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921F32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921F32">
              <w:rPr>
                <w:b/>
                <w:bCs/>
                <w:position w:val="2"/>
                <w:rtl/>
              </w:rPr>
              <w:t>المنتسبين إليه</w:t>
            </w:r>
            <w:r w:rsidRPr="00921F32">
              <w:rPr>
                <w:b/>
                <w:bCs/>
                <w:position w:val="2"/>
                <w:rtl/>
              </w:rPr>
              <w:br/>
            </w:r>
            <w:r w:rsidRPr="00921F32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0D15F8">
              <w:rPr>
                <w:b/>
                <w:bCs/>
                <w:position w:val="2"/>
                <w:lang w:val="en-GB" w:bidi="ar-EG"/>
              </w:rPr>
              <w:t>5</w:t>
            </w:r>
            <w:r w:rsidRPr="00921F32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921F32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12B96C85" w14:textId="77777777" w:rsidTr="00153E23">
        <w:tc>
          <w:tcPr>
            <w:tcW w:w="5000" w:type="pct"/>
            <w:gridSpan w:val="3"/>
          </w:tcPr>
          <w:p w14:paraId="772CF4D4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78FB94E6" w14:textId="77777777" w:rsidTr="00153E23">
        <w:tc>
          <w:tcPr>
            <w:tcW w:w="5000" w:type="pct"/>
            <w:gridSpan w:val="3"/>
          </w:tcPr>
          <w:p w14:paraId="6E84D56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0F28ECA" w14:textId="77777777" w:rsidTr="00153E23">
        <w:trPr>
          <w:trHeight w:val="452"/>
        </w:trPr>
        <w:tc>
          <w:tcPr>
            <w:tcW w:w="699" w:type="pct"/>
          </w:tcPr>
          <w:p w14:paraId="668C3CA7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2CFFD1AC" w14:textId="0DD28040" w:rsidR="00D37F70" w:rsidRPr="008D3F8E" w:rsidRDefault="00D37F70" w:rsidP="00D37F70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D226D5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921F32">
              <w:rPr>
                <w:b/>
                <w:bCs/>
                <w:lang w:bidi="ar-EG"/>
              </w:rPr>
              <w:t>5</w:t>
            </w:r>
            <w:r w:rsidRPr="00D226D5">
              <w:rPr>
                <w:b/>
                <w:bCs/>
                <w:rtl/>
                <w:lang w:bidi="ar-EG"/>
              </w:rPr>
              <w:t xml:space="preserve"> للاتصالات </w:t>
            </w:r>
            <w:r w:rsidRPr="00774404">
              <w:rPr>
                <w:b/>
                <w:bCs/>
                <w:rtl/>
                <w:lang w:bidi="ar-EG"/>
              </w:rPr>
              <w:t>الراديوي</w:t>
            </w:r>
            <w:r w:rsidRPr="00774404">
              <w:rPr>
                <w:rFonts w:hint="cs"/>
                <w:b/>
                <w:bCs/>
                <w:rtl/>
                <w:lang w:bidi="ar-EG"/>
              </w:rPr>
              <w:t>ة</w:t>
            </w:r>
            <w:r w:rsidRPr="00774404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G"/>
                <w:tag w:val="SG"/>
                <w:id w:val="-2083972692"/>
                <w:placeholder>
                  <w:docPart w:val="F3C7E53A05F244949A0984DAA0BE074D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rtl/>
                      <w:lang w:bidi="ar-EG"/>
                    </w:rPr>
                    <w:id w:val="1324467921"/>
                    <w:placeholder>
                      <w:docPart w:val="FC853BB750C04B8CB441C78E0BAC080A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950866" w:rsidRPr="0095086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(</w:t>
                    </w:r>
                    <w:r w:rsidR="00921F32" w:rsidRPr="0095086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خدم</w:t>
                    </w:r>
                    <w:r w:rsidRPr="0095086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ات</w:t>
                    </w:r>
                    <w:r w:rsidR="00921F32" w:rsidRPr="0095086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="00950866" w:rsidRPr="0095086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الأرض)</w:t>
                    </w:r>
                  </w:sdtContent>
                </w:sdt>
              </w:sdtContent>
            </w:sdt>
          </w:p>
          <w:p w14:paraId="545A22B6" w14:textId="5E5E269B" w:rsidR="000F7BBE" w:rsidRPr="000D15F8" w:rsidRDefault="00D37F70" w:rsidP="000D15F8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bidi="ar-EG"/>
              </w:rPr>
            </w:pPr>
            <w:r w:rsidRPr="00C73C4F">
              <w:rPr>
                <w:rFonts w:hint="cs"/>
                <w:b/>
                <w:bCs/>
                <w:rtl/>
                <w:lang w:bidi="ar-EG"/>
              </w:rPr>
              <w:t>-</w:t>
            </w:r>
            <w:r w:rsidRPr="00C73C4F">
              <w:rPr>
                <w:b/>
                <w:bCs/>
                <w:rtl/>
                <w:lang w:bidi="ar-EG"/>
              </w:rPr>
              <w:tab/>
            </w:r>
            <w:r w:rsidR="00950866" w:rsidRPr="00950866">
              <w:rPr>
                <w:b/>
                <w:bCs/>
                <w:rtl/>
                <w:lang w:bidi="ar-EG"/>
              </w:rPr>
              <w:t xml:space="preserve">الموافقة على 3 توصيات جديدة </w:t>
            </w:r>
            <w:r w:rsidR="00950866" w:rsidRPr="00950866">
              <w:rPr>
                <w:b/>
                <w:bCs/>
                <w:rtl/>
              </w:rPr>
              <w:t>و</w:t>
            </w:r>
            <w:r w:rsidR="00950866" w:rsidRPr="00950866">
              <w:rPr>
                <w:b/>
                <w:bCs/>
                <w:rtl/>
                <w:lang w:bidi="ar-EG"/>
              </w:rPr>
              <w:t>7 توصيات مراجَعة لقطاع الاتصالات الراديوية</w:t>
            </w:r>
          </w:p>
        </w:tc>
      </w:tr>
      <w:tr w:rsidR="00FC09E8" w:rsidRPr="000F7BBE" w14:paraId="7FFF1DC0" w14:textId="77777777" w:rsidTr="00153E23">
        <w:trPr>
          <w:trHeight w:val="452"/>
        </w:trPr>
        <w:tc>
          <w:tcPr>
            <w:tcW w:w="699" w:type="pct"/>
          </w:tcPr>
          <w:p w14:paraId="145C99BA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3F822CD8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7925534C" w14:textId="77777777" w:rsidR="00D02121" w:rsidRPr="00E32A3B" w:rsidRDefault="00D02121" w:rsidP="00F02F26">
      <w:pPr>
        <w:spacing w:before="48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27F970E3" w14:textId="64DF4996" w:rsidR="00D02121" w:rsidRPr="00633473" w:rsidRDefault="00D02121" w:rsidP="00437D3C">
      <w:pPr>
        <w:pStyle w:val="Tablelegend"/>
        <w:spacing w:before="120"/>
        <w:rPr>
          <w:spacing w:val="-2"/>
          <w:rtl/>
          <w:lang w:bidi="ar-EG"/>
        </w:rPr>
      </w:pPr>
      <w:r w:rsidRPr="00633473">
        <w:rPr>
          <w:rFonts w:hint="cs"/>
          <w:spacing w:val="-2"/>
          <w:rtl/>
          <w:lang w:bidi="ar-SA"/>
        </w:rPr>
        <w:t xml:space="preserve">تم </w:t>
      </w:r>
      <w:r w:rsidRPr="00633473">
        <w:rPr>
          <w:rFonts w:hint="cs"/>
          <w:spacing w:val="-2"/>
          <w:rtl/>
          <w:lang w:bidi="ar-EG"/>
        </w:rPr>
        <w:t>بموجب</w:t>
      </w:r>
      <w:r w:rsidRPr="00633473">
        <w:rPr>
          <w:spacing w:val="-2"/>
          <w:rtl/>
          <w:lang w:bidi="ar-EG"/>
        </w:rPr>
        <w:t xml:space="preserve"> </w:t>
      </w:r>
      <w:r w:rsidRPr="00633473">
        <w:rPr>
          <w:rFonts w:hint="cs"/>
          <w:spacing w:val="-2"/>
          <w:rtl/>
          <w:lang w:bidi="ar-EG"/>
        </w:rPr>
        <w:t>الرسالة</w:t>
      </w:r>
      <w:r w:rsidRPr="00633473">
        <w:rPr>
          <w:spacing w:val="-2"/>
          <w:rtl/>
          <w:lang w:bidi="ar-EG"/>
        </w:rPr>
        <w:t xml:space="preserve"> الإدارية</w:t>
      </w:r>
      <w:r w:rsidRPr="00633473">
        <w:rPr>
          <w:rFonts w:hint="cs"/>
          <w:spacing w:val="-2"/>
          <w:rtl/>
          <w:lang w:bidi="ar-EG"/>
        </w:rPr>
        <w:t xml:space="preserve"> المعممة</w:t>
      </w:r>
      <w:r w:rsidRPr="00633473">
        <w:rPr>
          <w:spacing w:val="-2"/>
          <w:rtl/>
          <w:lang w:bidi="ar-EG"/>
        </w:rPr>
        <w:t xml:space="preserve"> </w:t>
      </w:r>
      <w:hyperlink r:id="rId8" w:history="1">
        <w:r w:rsidR="00C075A4" w:rsidRPr="00633473">
          <w:rPr>
            <w:rStyle w:val="Hyperlink"/>
            <w:spacing w:val="-2"/>
          </w:rPr>
          <w:t>CACE/1170</w:t>
        </w:r>
      </w:hyperlink>
      <w:r w:rsidRPr="00633473">
        <w:rPr>
          <w:spacing w:val="-2"/>
          <w:rtl/>
          <w:lang w:bidi="ar-EG"/>
        </w:rPr>
        <w:t xml:space="preserve"> </w:t>
      </w:r>
      <w:r w:rsidR="00437D3C" w:rsidRPr="00633473">
        <w:rPr>
          <w:spacing w:val="-2"/>
          <w:rtl/>
          <w:lang w:bidi="ar-EG"/>
        </w:rPr>
        <w:t>المؤرخة 23 ديسمبر 2025، تقديم 3 مشاريع توصيات جديدة ومشاريع مراجعة 7 توصيات لقطاع الاتصالات الراديوية للموافقة عليها وفقاً للإجراء المنصوص عليه في القرار ITU-R 1-9 (الفقرة</w:t>
      </w:r>
      <w:r w:rsidR="00437D3C" w:rsidRPr="00633473">
        <w:rPr>
          <w:rFonts w:hint="eastAsia"/>
          <w:spacing w:val="-2"/>
          <w:rtl/>
          <w:lang w:bidi="ar-EG"/>
        </w:rPr>
        <w:t> </w:t>
      </w:r>
      <w:r w:rsidR="00437D3C" w:rsidRPr="00633473">
        <w:rPr>
          <w:spacing w:val="-2"/>
          <w:lang w:bidi="ar-EG"/>
        </w:rPr>
        <w:t>3.2.6.A2</w:t>
      </w:r>
      <w:r w:rsidR="00437D3C" w:rsidRPr="00633473">
        <w:rPr>
          <w:spacing w:val="-2"/>
          <w:rtl/>
          <w:lang w:bidi="ar-EG"/>
        </w:rPr>
        <w:t>).</w:t>
      </w:r>
    </w:p>
    <w:p w14:paraId="0F0E196F" w14:textId="77777777" w:rsidR="00437D3C" w:rsidRPr="00500AD4" w:rsidRDefault="00437D3C" w:rsidP="00437D3C">
      <w:pPr>
        <w:textDirection w:val="tbRlV"/>
        <w:rPr>
          <w:lang w:bidi="ar-EG"/>
        </w:rPr>
      </w:pPr>
      <w:r w:rsidRPr="00500AD4">
        <w:rPr>
          <w:rtl/>
          <w:lang w:bidi="ar-EG"/>
        </w:rPr>
        <w:t>وقد تم استيفاء الشروط التي تحكم هذا الإجراء في 23 فبراير 2026.</w:t>
      </w:r>
    </w:p>
    <w:p w14:paraId="0A45DBE4" w14:textId="2AF282A1" w:rsidR="00D02121" w:rsidRPr="00702F12" w:rsidRDefault="00437D3C" w:rsidP="00437D3C">
      <w:pPr>
        <w:pStyle w:val="Tablelegend"/>
        <w:keepNext/>
        <w:keepLines/>
        <w:spacing w:before="120"/>
        <w:rPr>
          <w:spacing w:val="-2"/>
          <w:rtl/>
          <w:lang w:bidi="ar-EG"/>
        </w:rPr>
      </w:pPr>
      <w:r w:rsidRPr="00702F12">
        <w:rPr>
          <w:spacing w:val="-2"/>
          <w:rtl/>
          <w:lang w:bidi="ar-EG"/>
        </w:rPr>
        <w:t>وسينشر الاتحاد التوصيات الموافَق عليها، ويتضمن الملحق بهذه الرسالة المعممة عناوين هذه التوصيات والأرقام المخصصة لها.</w:t>
      </w:r>
    </w:p>
    <w:p w14:paraId="35117566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79D18D0A" w14:textId="77777777" w:rsidR="00D02121" w:rsidRDefault="00D02121" w:rsidP="008F6F55">
      <w:pPr>
        <w:spacing w:before="1200"/>
        <w:jc w:val="left"/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771CA14E" w14:textId="520B21E0" w:rsidR="00D02121" w:rsidRDefault="00D02121" w:rsidP="008F6F55">
      <w:pPr>
        <w:spacing w:before="2400"/>
        <w:rPr>
          <w:lang w:bidi="ar-EG"/>
        </w:rPr>
      </w:pPr>
      <w:r w:rsidRPr="00633473">
        <w:rPr>
          <w:rFonts w:hint="cs"/>
          <w:b/>
          <w:bCs/>
          <w:rtl/>
          <w:lang w:bidi="ar-EG"/>
        </w:rPr>
        <w:t>الملحقات</w:t>
      </w:r>
      <w:r w:rsidRPr="00633473">
        <w:rPr>
          <w:rFonts w:hint="cs"/>
          <w:rtl/>
          <w:lang w:bidi="ar-EG"/>
        </w:rPr>
        <w:t xml:space="preserve">: </w:t>
      </w:r>
      <w:r w:rsidR="00437D3C" w:rsidRPr="00633473">
        <w:rPr>
          <w:lang w:bidi="ar-EG"/>
        </w:rPr>
        <w:t>1</w:t>
      </w:r>
    </w:p>
    <w:p w14:paraId="20652419" w14:textId="77777777" w:rsidR="00FC09E8" w:rsidRDefault="00FC09E8" w:rsidP="007A1910">
      <w:pPr>
        <w:rPr>
          <w:rtl/>
        </w:rPr>
      </w:pPr>
      <w:r>
        <w:rPr>
          <w:rtl/>
        </w:rPr>
        <w:br w:type="page"/>
      </w:r>
    </w:p>
    <w:p w14:paraId="0A905EEC" w14:textId="7F222B97" w:rsidR="00D02121" w:rsidRDefault="00D02121" w:rsidP="00437D3C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</w:t>
      </w:r>
      <w:r>
        <w:rPr>
          <w:rtl/>
          <w:lang w:bidi="ar-EG"/>
        </w:rPr>
        <w:br/>
      </w:r>
      <w:r>
        <w:rPr>
          <w:rtl/>
          <w:lang w:bidi="ar-EG"/>
        </w:rPr>
        <w:br/>
      </w:r>
      <w:r w:rsidR="00437D3C" w:rsidRPr="00437D3C">
        <w:rPr>
          <w:rtl/>
          <w:lang w:bidi="ar-SA"/>
        </w:rPr>
        <w:t>عناوين التوصيات الموافَق عليها لقطاع الاتصالات الراديوية</w:t>
      </w:r>
    </w:p>
    <w:tbl>
      <w:tblPr>
        <w:tblStyle w:val="TableGrid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2026"/>
        <w:gridCol w:w="5907"/>
        <w:gridCol w:w="1423"/>
      </w:tblGrid>
      <w:tr w:rsidR="00437D3C" w:rsidRPr="00F02F26" w14:paraId="6DD8DC66" w14:textId="77777777" w:rsidTr="00FC4D35">
        <w:tc>
          <w:tcPr>
            <w:tcW w:w="2026" w:type="dxa"/>
            <w:vAlign w:val="center"/>
          </w:tcPr>
          <w:p w14:paraId="6A6ADB23" w14:textId="77777777" w:rsidR="00437D3C" w:rsidRPr="00F02F26" w:rsidRDefault="00437D3C" w:rsidP="00F02F26">
            <w:pPr>
              <w:pStyle w:val="Tablehead0"/>
              <w:bidi/>
              <w:spacing w:after="60" w:line="260" w:lineRule="exact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bCs/>
                <w:color w:val="000000"/>
                <w:position w:val="2"/>
                <w:szCs w:val="20"/>
                <w:rtl/>
              </w:rPr>
              <w:t xml:space="preserve">توصية قطاع الاتصالات الراديوية </w:t>
            </w:r>
            <w:r w:rsidRPr="00F02F26">
              <w:rPr>
                <w:rFonts w:ascii="Dubai" w:hAnsi="Dubai" w:cs="Dubai"/>
                <w:bCs/>
                <w:color w:val="000000"/>
                <w:position w:val="2"/>
                <w:szCs w:val="20"/>
              </w:rPr>
              <w:t>(ITU-R)</w:t>
            </w:r>
          </w:p>
        </w:tc>
        <w:tc>
          <w:tcPr>
            <w:tcW w:w="5907" w:type="dxa"/>
            <w:vAlign w:val="center"/>
          </w:tcPr>
          <w:p w14:paraId="2065ADB3" w14:textId="77777777" w:rsidR="00437D3C" w:rsidRPr="00F02F26" w:rsidRDefault="00437D3C" w:rsidP="00F02F26">
            <w:pPr>
              <w:pStyle w:val="Tablehead0"/>
              <w:bidi/>
              <w:spacing w:after="60" w:line="260" w:lineRule="exact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bCs/>
                <w:color w:val="000000"/>
                <w:position w:val="2"/>
                <w:szCs w:val="20"/>
                <w:rtl/>
              </w:rPr>
              <w:t>العنوان</w:t>
            </w:r>
          </w:p>
        </w:tc>
        <w:tc>
          <w:tcPr>
            <w:tcW w:w="1423" w:type="dxa"/>
            <w:vAlign w:val="center"/>
          </w:tcPr>
          <w:p w14:paraId="77C579A6" w14:textId="1FFB8A53" w:rsidR="00437D3C" w:rsidRPr="00F02F26" w:rsidRDefault="00437D3C" w:rsidP="00F02F26">
            <w:pPr>
              <w:pStyle w:val="Tablehead0"/>
              <w:bidi/>
              <w:spacing w:after="60" w:line="260" w:lineRule="exact"/>
              <w:textDirection w:val="tbRlV"/>
              <w:rPr>
                <w:rFonts w:ascii="Dubai" w:hAnsi="Dubai" w:cs="Dubai"/>
                <w:position w:val="2"/>
                <w:szCs w:val="20"/>
                <w:rtl/>
                <w:lang w:val="ar-SA" w:eastAsia="zh-TW" w:bidi="ar-EG"/>
              </w:rPr>
            </w:pPr>
            <w:r w:rsidRPr="00F02F26">
              <w:rPr>
                <w:rFonts w:ascii="Dubai" w:hAnsi="Dubai" w:cs="Dubai"/>
                <w:bCs/>
                <w:color w:val="000000"/>
                <w:position w:val="2"/>
                <w:szCs w:val="20"/>
                <w:rtl/>
              </w:rPr>
              <w:t xml:space="preserve">الوثيقة </w:t>
            </w:r>
            <w:r w:rsidR="00AA582B">
              <w:rPr>
                <w:rFonts w:ascii="Dubai" w:hAnsi="Dubai" w:cs="Dubai"/>
                <w:bCs/>
                <w:color w:val="000000"/>
                <w:position w:val="2"/>
                <w:szCs w:val="20"/>
              </w:rPr>
              <w:t>/5</w:t>
            </w:r>
          </w:p>
        </w:tc>
      </w:tr>
      <w:tr w:rsidR="00437D3C" w:rsidRPr="00F02F26" w14:paraId="00E20BE0" w14:textId="77777777" w:rsidTr="00FC4D35">
        <w:tc>
          <w:tcPr>
            <w:tcW w:w="2026" w:type="dxa"/>
            <w:vAlign w:val="center"/>
          </w:tcPr>
          <w:p w14:paraId="338C2214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M.2171-0</w:t>
            </w:r>
          </w:p>
        </w:tc>
        <w:tc>
          <w:tcPr>
            <w:tcW w:w="5907" w:type="dxa"/>
            <w:vAlign w:val="center"/>
          </w:tcPr>
          <w:p w14:paraId="220417D5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توجيهات بشأن ‏مواءمة الطيف من أجل أنظمة الاتصالات الراديوية للسكك الحديدية بين القطار وجانبي مساره 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</w:rPr>
              <w:t>(‎RSTT)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‏ الحالية والمستقبلية ضمن نطاقات الترددات الموزعة للخدمة المتنقلة والعاملة طبقاً للوائح الراديو</w:t>
            </w:r>
          </w:p>
        </w:tc>
        <w:tc>
          <w:tcPr>
            <w:tcW w:w="1423" w:type="dxa"/>
            <w:vAlign w:val="center"/>
          </w:tcPr>
          <w:p w14:paraId="1213138F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</w:rPr>
              <w:t>69</w:t>
            </w:r>
          </w:p>
        </w:tc>
      </w:tr>
      <w:tr w:rsidR="00437D3C" w:rsidRPr="00F02F26" w14:paraId="7905499C" w14:textId="77777777" w:rsidTr="00FC4D35">
        <w:tc>
          <w:tcPr>
            <w:tcW w:w="2026" w:type="dxa"/>
            <w:vAlign w:val="center"/>
          </w:tcPr>
          <w:p w14:paraId="7AEE4951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F.2172-0</w:t>
            </w:r>
          </w:p>
        </w:tc>
        <w:tc>
          <w:tcPr>
            <w:tcW w:w="5907" w:type="dxa"/>
            <w:vAlign w:val="center"/>
          </w:tcPr>
          <w:p w14:paraId="227FAA6E" w14:textId="5E1E27B5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ترتيبات قنوات وكتل الترددات الراديوية لأنظمة الخدمة الثابتة العاملة في</w:t>
            </w:r>
            <w:r w:rsidR="00702F12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> 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المديات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134-130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وGHz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148,5-141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وGHz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 164</w:t>
            </w:r>
            <w:r w:rsidR="00446C49"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noBreakHyphen/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151,5</w:t>
            </w:r>
            <w:r w:rsidR="00446C49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 xml:space="preserve">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وGHz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174,8-167</w:t>
            </w:r>
          </w:p>
        </w:tc>
        <w:tc>
          <w:tcPr>
            <w:tcW w:w="1423" w:type="dxa"/>
            <w:vAlign w:val="center"/>
          </w:tcPr>
          <w:p w14:paraId="16BA02AC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75(Rev.2)</w:t>
            </w:r>
          </w:p>
        </w:tc>
      </w:tr>
      <w:tr w:rsidR="00437D3C" w:rsidRPr="00F02F26" w14:paraId="79154010" w14:textId="77777777" w:rsidTr="00FC4D35">
        <w:tc>
          <w:tcPr>
            <w:tcW w:w="2026" w:type="dxa"/>
            <w:vAlign w:val="center"/>
          </w:tcPr>
          <w:p w14:paraId="5AE5F0AA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F.2173-0</w:t>
            </w:r>
          </w:p>
        </w:tc>
        <w:tc>
          <w:tcPr>
            <w:tcW w:w="5907" w:type="dxa"/>
            <w:vAlign w:val="center"/>
          </w:tcPr>
          <w:p w14:paraId="424E8180" w14:textId="2CD3EE21" w:rsidR="00437D3C" w:rsidRPr="001B2A4F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0"/>
                <w:rtl/>
                <w:lang w:val="en-US" w:bidi="ar-EG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ترتيبات قنوات وكتل الترددات الراديوية لأنظمة الخدمة الثابتة العاملة في</w:t>
            </w:r>
            <w:r w:rsidR="004B2B9E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> 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المديات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94-92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وGHz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100,1-94,1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وGHz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109,5-102 </w:t>
            </w:r>
            <w:r w:rsidR="001B2A4F">
              <w:rPr>
                <w:rFonts w:ascii="Dubai" w:hAnsi="Dubai" w:cs="Dubai" w:hint="cs"/>
                <w:color w:val="000000"/>
                <w:position w:val="2"/>
                <w:szCs w:val="20"/>
                <w:rtl/>
                <w:lang w:bidi="ar-EG"/>
              </w:rPr>
              <w:t>و</w:t>
            </w:r>
            <w:r w:rsidR="001B2A4F">
              <w:rPr>
                <w:rFonts w:ascii="Dubai" w:hAnsi="Dubai" w:cs="Dubai"/>
                <w:color w:val="000000"/>
                <w:position w:val="2"/>
                <w:szCs w:val="20"/>
                <w:lang w:bidi="ar-EG"/>
              </w:rPr>
              <w:t>GHz 114,25</w:t>
            </w:r>
            <w:r w:rsidR="001B2A4F">
              <w:rPr>
                <w:rFonts w:ascii="Dubai" w:hAnsi="Dubai" w:cs="Dubai"/>
                <w:color w:val="000000"/>
                <w:position w:val="2"/>
                <w:szCs w:val="20"/>
                <w:lang w:bidi="ar-EG"/>
              </w:rPr>
              <w:noBreakHyphen/>
              <w:t>111,8</w:t>
            </w:r>
          </w:p>
        </w:tc>
        <w:tc>
          <w:tcPr>
            <w:tcW w:w="1423" w:type="dxa"/>
            <w:vAlign w:val="center"/>
          </w:tcPr>
          <w:p w14:paraId="58CAD9E0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76(Rev.2)</w:t>
            </w:r>
          </w:p>
        </w:tc>
      </w:tr>
      <w:tr w:rsidR="00437D3C" w:rsidRPr="00F02F26" w14:paraId="44A22DDD" w14:textId="77777777" w:rsidTr="00FC4D35">
        <w:tc>
          <w:tcPr>
            <w:tcW w:w="2026" w:type="dxa"/>
            <w:vAlign w:val="center"/>
          </w:tcPr>
          <w:p w14:paraId="3F478FE9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M.1036-8</w:t>
            </w:r>
          </w:p>
        </w:tc>
        <w:tc>
          <w:tcPr>
            <w:tcW w:w="5907" w:type="dxa"/>
            <w:vAlign w:val="center"/>
          </w:tcPr>
          <w:p w14:paraId="3768BF47" w14:textId="622E9105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ترتيبات التردد لتنفيذ المكون الأرضي في الاتصالات المتنقلة الدولية في</w:t>
            </w:r>
            <w:r w:rsidR="004B2B9E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> 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النطاقات المحددة للاتصالات المتنقلة الدولية في لوائح الراديو</w:t>
            </w:r>
          </w:p>
        </w:tc>
        <w:tc>
          <w:tcPr>
            <w:tcW w:w="1423" w:type="dxa"/>
            <w:vAlign w:val="center"/>
          </w:tcPr>
          <w:p w14:paraId="487ED445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lang w:val="en-GB"/>
              </w:rPr>
              <w:t>61(Rev.1)</w:t>
            </w:r>
          </w:p>
        </w:tc>
      </w:tr>
      <w:tr w:rsidR="00437D3C" w:rsidRPr="00F02F26" w14:paraId="4DFBC391" w14:textId="77777777" w:rsidTr="00FC4D35">
        <w:tc>
          <w:tcPr>
            <w:tcW w:w="2026" w:type="dxa"/>
            <w:vAlign w:val="center"/>
          </w:tcPr>
          <w:p w14:paraId="1CC6461D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M.1450-6</w:t>
            </w:r>
          </w:p>
        </w:tc>
        <w:tc>
          <w:tcPr>
            <w:tcW w:w="5907" w:type="dxa"/>
            <w:vAlign w:val="center"/>
          </w:tcPr>
          <w:p w14:paraId="7D7C7D4E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خصائص الشبكات المحلية الراديوية عريضة النطاق</w:t>
            </w:r>
          </w:p>
        </w:tc>
        <w:tc>
          <w:tcPr>
            <w:tcW w:w="1423" w:type="dxa"/>
            <w:vAlign w:val="center"/>
          </w:tcPr>
          <w:p w14:paraId="2BE01113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lang w:val="en-GB"/>
              </w:rPr>
              <w:t>66(Rev.1)</w:t>
            </w:r>
          </w:p>
        </w:tc>
      </w:tr>
      <w:tr w:rsidR="00437D3C" w:rsidRPr="00F02F26" w14:paraId="0C7F1813" w14:textId="77777777" w:rsidTr="00FC4D35">
        <w:tc>
          <w:tcPr>
            <w:tcW w:w="2026" w:type="dxa"/>
            <w:vAlign w:val="center"/>
          </w:tcPr>
          <w:p w14:paraId="4E8A7E52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M.1801-3</w:t>
            </w:r>
          </w:p>
        </w:tc>
        <w:tc>
          <w:tcPr>
            <w:tcW w:w="5907" w:type="dxa"/>
            <w:vAlign w:val="center"/>
          </w:tcPr>
          <w:p w14:paraId="321CF82A" w14:textId="1F76F282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معايير السطوح البينية الراديوية لأنظمة النفاذ اللاسلكي عريض النطاق، بما</w:t>
            </w:r>
            <w:r w:rsidR="004B2B9E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> 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في ذلك التطبيقات المتنقلة والتطبيقات الجوالة، في الخدمة المتنقلة</w:t>
            </w:r>
          </w:p>
        </w:tc>
        <w:tc>
          <w:tcPr>
            <w:tcW w:w="1423" w:type="dxa"/>
            <w:vAlign w:val="center"/>
          </w:tcPr>
          <w:p w14:paraId="1C693E13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lang w:val="en-GB"/>
              </w:rPr>
              <w:t>67(Rev.1)</w:t>
            </w:r>
          </w:p>
        </w:tc>
      </w:tr>
      <w:tr w:rsidR="00437D3C" w:rsidRPr="00F02F26" w14:paraId="00D75DF1" w14:textId="77777777" w:rsidTr="00FC4D35">
        <w:tc>
          <w:tcPr>
            <w:tcW w:w="2026" w:type="dxa"/>
            <w:vAlign w:val="center"/>
          </w:tcPr>
          <w:p w14:paraId="02CB5B16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F.1763-2</w:t>
            </w:r>
          </w:p>
        </w:tc>
        <w:tc>
          <w:tcPr>
            <w:tcW w:w="5907" w:type="dxa"/>
            <w:vAlign w:val="center"/>
          </w:tcPr>
          <w:p w14:paraId="4E7207B9" w14:textId="5374D820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معايير السطوح البينية الراديوية لأنظمة النفاذ اللاسلكي عريض النطاق في</w:t>
            </w:r>
            <w:r w:rsidR="004B2B9E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> 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الخدمة الثابتة </w:t>
            </w:r>
          </w:p>
        </w:tc>
        <w:tc>
          <w:tcPr>
            <w:tcW w:w="1423" w:type="dxa"/>
            <w:vAlign w:val="center"/>
          </w:tcPr>
          <w:p w14:paraId="079F2EE9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lang w:val="en-GB"/>
              </w:rPr>
              <w:t>68(Rev.1)</w:t>
            </w:r>
          </w:p>
        </w:tc>
      </w:tr>
      <w:tr w:rsidR="00437D3C" w:rsidRPr="00F02F26" w14:paraId="545E768F" w14:textId="77777777" w:rsidTr="00FC4D35">
        <w:tc>
          <w:tcPr>
            <w:tcW w:w="2026" w:type="dxa"/>
            <w:vAlign w:val="center"/>
          </w:tcPr>
          <w:p w14:paraId="613B89FD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F.1821-1</w:t>
            </w:r>
          </w:p>
        </w:tc>
        <w:tc>
          <w:tcPr>
            <w:tcW w:w="5907" w:type="dxa"/>
            <w:vAlign w:val="center"/>
          </w:tcPr>
          <w:p w14:paraId="4429ABE4" w14:textId="1FCA1521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en-US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خصائص أنظمة الاتصالات الراديوية الرقمية المتقدمة</w:t>
            </w:r>
            <w:bookmarkStart w:id="0" w:name="_Ref222910313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عالية التردد</w:t>
            </w:r>
            <w:r w:rsidR="00FA1CB7" w:rsidRPr="001B2A4F">
              <w:rPr>
                <w:rStyle w:val="FootnoteReference"/>
                <w:color w:val="000000"/>
                <w:rtl/>
              </w:rPr>
              <w:footnoteReference w:customMarkFollows="1" w:id="1"/>
              <w:t>*</w:t>
            </w:r>
            <w:bookmarkEnd w:id="0"/>
            <w:r w:rsidR="00A756EA" w:rsidRPr="00F02F26">
              <w:rPr>
                <w:rFonts w:ascii="Dubai" w:hAnsi="Dubai" w:cs="Dubai"/>
                <w:position w:val="2"/>
                <w:szCs w:val="20"/>
                <w:rtl/>
              </w:rPr>
              <w:t xml:space="preserve"> 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في</w:t>
            </w:r>
            <w:r w:rsidR="00FA1CB7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> 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الخدمتين الثابتة والمتنقلة </w:t>
            </w:r>
          </w:p>
        </w:tc>
        <w:tc>
          <w:tcPr>
            <w:tcW w:w="1423" w:type="dxa"/>
            <w:vAlign w:val="center"/>
          </w:tcPr>
          <w:p w14:paraId="0DB42E3C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lang w:val="en-GB"/>
              </w:rPr>
              <w:t>72(Rev.1)</w:t>
            </w:r>
          </w:p>
        </w:tc>
      </w:tr>
      <w:tr w:rsidR="00437D3C" w:rsidRPr="00F02F26" w14:paraId="60DF681F" w14:textId="77777777" w:rsidTr="00FC4D35">
        <w:tc>
          <w:tcPr>
            <w:tcW w:w="2026" w:type="dxa"/>
            <w:vAlign w:val="center"/>
          </w:tcPr>
          <w:p w14:paraId="46F71FB8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F.1762-1</w:t>
            </w:r>
          </w:p>
        </w:tc>
        <w:tc>
          <w:tcPr>
            <w:tcW w:w="5907" w:type="dxa"/>
            <w:vAlign w:val="center"/>
          </w:tcPr>
          <w:p w14:paraId="1188B289" w14:textId="45D0749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خصائص التطبيقات المعززة لأنظمة الاتصالات الراديوية عالية التردد</w:t>
            </w:r>
            <w:r w:rsidRPr="001B2A4F">
              <w:rPr>
                <w:rStyle w:val="FootnoteReference"/>
                <w:rtl/>
              </w:rPr>
              <w:fldChar w:fldCharType="begin"/>
            </w:r>
            <w:r w:rsidRPr="001B2A4F">
              <w:rPr>
                <w:rStyle w:val="FootnoteReference"/>
                <w:rtl/>
              </w:rPr>
              <w:instrText xml:space="preserve"> </w:instrText>
            </w:r>
            <w:r w:rsidRPr="001B2A4F">
              <w:rPr>
                <w:rStyle w:val="FootnoteReference"/>
              </w:rPr>
              <w:instrText>NOTEREF</w:instrText>
            </w:r>
            <w:r w:rsidRPr="001B2A4F">
              <w:rPr>
                <w:rStyle w:val="FootnoteReference"/>
                <w:rtl/>
              </w:rPr>
              <w:instrText xml:space="preserve"> _</w:instrText>
            </w:r>
            <w:r w:rsidRPr="001B2A4F">
              <w:rPr>
                <w:rStyle w:val="FootnoteReference"/>
              </w:rPr>
              <w:instrText>Ref222910313 \h</w:instrText>
            </w:r>
            <w:r w:rsidRPr="001B2A4F">
              <w:rPr>
                <w:rStyle w:val="FootnoteReference"/>
                <w:rtl/>
              </w:rPr>
              <w:instrText xml:space="preserve"> </w:instrText>
            </w:r>
            <w:r w:rsidR="0028173B" w:rsidRPr="001B2A4F">
              <w:rPr>
                <w:rStyle w:val="FootnoteReference"/>
                <w:rtl/>
              </w:rPr>
              <w:instrText xml:space="preserve"> \* </w:instrText>
            </w:r>
            <w:r w:rsidR="0028173B" w:rsidRPr="001B2A4F">
              <w:rPr>
                <w:rStyle w:val="FootnoteReference"/>
              </w:rPr>
              <w:instrText>MERGEFORMAT</w:instrText>
            </w:r>
            <w:r w:rsidR="0028173B" w:rsidRPr="001B2A4F">
              <w:rPr>
                <w:rStyle w:val="FootnoteReference"/>
                <w:rtl/>
              </w:rPr>
              <w:instrText xml:space="preserve"> </w:instrText>
            </w:r>
            <w:r w:rsidRPr="001B2A4F">
              <w:rPr>
                <w:rStyle w:val="FootnoteReference"/>
                <w:rtl/>
              </w:rPr>
            </w:r>
            <w:r w:rsidRPr="001B2A4F">
              <w:rPr>
                <w:rStyle w:val="FootnoteReference"/>
                <w:rtl/>
              </w:rPr>
              <w:fldChar w:fldCharType="separate"/>
            </w:r>
            <w:r w:rsidRPr="001B2A4F">
              <w:rPr>
                <w:rStyle w:val="FootnoteReference"/>
                <w:rtl/>
              </w:rPr>
              <w:t>*</w:t>
            </w:r>
            <w:r w:rsidRPr="001B2A4F">
              <w:rPr>
                <w:rStyle w:val="FootnoteReference"/>
                <w:rtl/>
              </w:rPr>
              <w:fldChar w:fldCharType="end"/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في</w:t>
            </w:r>
            <w:r w:rsidR="00FA1CB7" w:rsidRPr="00F02F26">
              <w:rPr>
                <w:rFonts w:ascii="Dubai" w:hAnsi="Dubai" w:cs="Dubai" w:hint="cs"/>
                <w:color w:val="000000"/>
                <w:position w:val="2"/>
                <w:szCs w:val="20"/>
                <w:rtl/>
              </w:rPr>
              <w:t> </w:t>
            </w:r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الخدمتين الثابتة والمتنقلة</w:t>
            </w:r>
          </w:p>
        </w:tc>
        <w:tc>
          <w:tcPr>
            <w:tcW w:w="1423" w:type="dxa"/>
            <w:vAlign w:val="center"/>
          </w:tcPr>
          <w:p w14:paraId="4435D955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lang w:val="en-GB"/>
              </w:rPr>
              <w:t>73(Rev.1)</w:t>
            </w:r>
          </w:p>
        </w:tc>
      </w:tr>
      <w:tr w:rsidR="00437D3C" w:rsidRPr="00F02F26" w14:paraId="6FECC613" w14:textId="77777777" w:rsidTr="00FC4D35">
        <w:tc>
          <w:tcPr>
            <w:tcW w:w="2026" w:type="dxa"/>
            <w:vAlign w:val="center"/>
          </w:tcPr>
          <w:p w14:paraId="75AA49B8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en-GB"/>
              </w:rPr>
            </w:pPr>
            <w:r w:rsidRPr="00F02F26">
              <w:rPr>
                <w:rFonts w:ascii="Dubai" w:hAnsi="Dubai" w:cs="Dubai"/>
                <w:position w:val="2"/>
                <w:szCs w:val="20"/>
                <w:lang w:val="en-GB"/>
              </w:rPr>
              <w:t>F.699-9</w:t>
            </w:r>
          </w:p>
        </w:tc>
        <w:tc>
          <w:tcPr>
            <w:tcW w:w="5907" w:type="dxa"/>
            <w:vAlign w:val="center"/>
          </w:tcPr>
          <w:p w14:paraId="20DB1D98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bookmarkStart w:id="1" w:name="_Hlk120175874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مخططات الإشعاع المرجعية لهوائيات الأنظمة اللاسلكية الثابتة التي يجب استعمالها في دراسات التنسيق وفي تقييم التداخل في مدى الترددات الذي يتراوح بين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MHz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100 </w:t>
            </w:r>
            <w:proofErr w:type="spellStart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وGHz</w:t>
            </w:r>
            <w:proofErr w:type="spellEnd"/>
            <w:r w:rsidRPr="00F02F26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174,8</w:t>
            </w:r>
            <w:bookmarkEnd w:id="1"/>
          </w:p>
        </w:tc>
        <w:tc>
          <w:tcPr>
            <w:tcW w:w="1423" w:type="dxa"/>
            <w:vAlign w:val="center"/>
          </w:tcPr>
          <w:p w14:paraId="110B0C8A" w14:textId="77777777" w:rsidR="00437D3C" w:rsidRPr="00F02F26" w:rsidRDefault="00437D3C" w:rsidP="00F02F26">
            <w:pPr>
              <w:pStyle w:val="Tabletext"/>
              <w:bidi/>
              <w:spacing w:before="80" w:after="60" w:line="26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F02F26">
              <w:rPr>
                <w:rFonts w:ascii="Dubai" w:hAnsi="Dubai" w:cs="Dubai"/>
                <w:color w:val="000000"/>
                <w:position w:val="2"/>
                <w:szCs w:val="20"/>
                <w:lang w:val="en-GB"/>
              </w:rPr>
              <w:t>74(Rev.1)</w:t>
            </w:r>
          </w:p>
        </w:tc>
      </w:tr>
    </w:tbl>
    <w:p w14:paraId="64D401DA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D9D9" w14:textId="77777777" w:rsidR="008D3361" w:rsidRDefault="008D3361" w:rsidP="006C3242">
      <w:pPr>
        <w:spacing w:before="0" w:line="240" w:lineRule="auto"/>
      </w:pPr>
      <w:r>
        <w:separator/>
      </w:r>
    </w:p>
  </w:endnote>
  <w:endnote w:type="continuationSeparator" w:id="0">
    <w:p w14:paraId="22789B98" w14:textId="77777777" w:rsidR="008D3361" w:rsidRDefault="008D336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B572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A338" w14:textId="77777777" w:rsidR="008D3361" w:rsidRDefault="008D3361" w:rsidP="006C3242">
      <w:pPr>
        <w:spacing w:before="0" w:line="240" w:lineRule="auto"/>
      </w:pPr>
      <w:r>
        <w:separator/>
      </w:r>
    </w:p>
  </w:footnote>
  <w:footnote w:type="continuationSeparator" w:id="0">
    <w:p w14:paraId="27C48A4B" w14:textId="77777777" w:rsidR="008D3361" w:rsidRDefault="008D3361" w:rsidP="006C3242">
      <w:pPr>
        <w:spacing w:before="0" w:line="240" w:lineRule="auto"/>
      </w:pPr>
      <w:r>
        <w:continuationSeparator/>
      </w:r>
    </w:p>
  </w:footnote>
  <w:footnote w:id="1">
    <w:p w14:paraId="56552026" w14:textId="5AB54F44" w:rsidR="00FA1CB7" w:rsidRDefault="00FA1CB7" w:rsidP="002E498B">
      <w:pPr>
        <w:pStyle w:val="FootnoteText"/>
        <w:tabs>
          <w:tab w:val="clear" w:pos="794"/>
          <w:tab w:val="left" w:pos="283"/>
        </w:tabs>
      </w:pPr>
      <w:r>
        <w:rPr>
          <w:rStyle w:val="FootnoteReference"/>
          <w:rtl/>
        </w:rPr>
        <w:t>*</w:t>
      </w:r>
      <w:r w:rsidR="005E46F9" w:rsidRPr="005E46F9">
        <w:rPr>
          <w:szCs w:val="20"/>
          <w:rtl/>
        </w:rPr>
        <w:tab/>
      </w:r>
      <w:r w:rsidR="005E46F9" w:rsidRPr="00A91F41">
        <w:rPr>
          <w:szCs w:val="20"/>
          <w:rtl/>
        </w:rPr>
        <w:t xml:space="preserve">في مدى التردد من 2 إلى </w:t>
      </w:r>
      <w:proofErr w:type="spellStart"/>
      <w:r w:rsidR="005E46F9" w:rsidRPr="00A91F41">
        <w:rPr>
          <w:szCs w:val="20"/>
          <w:rtl/>
        </w:rPr>
        <w:t>MHz</w:t>
      </w:r>
      <w:proofErr w:type="spellEnd"/>
      <w:r w:rsidR="005E46F9" w:rsidRPr="00A91F41">
        <w:rPr>
          <w:szCs w:val="20"/>
          <w:rtl/>
        </w:rPr>
        <w:t xml:space="preserve">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9B2D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D916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5BE25CA7" wp14:editId="160957AD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AA"/>
    <w:rsid w:val="0006468A"/>
    <w:rsid w:val="00090574"/>
    <w:rsid w:val="000C1C0E"/>
    <w:rsid w:val="000C548A"/>
    <w:rsid w:val="000D15F8"/>
    <w:rsid w:val="000F7BBE"/>
    <w:rsid w:val="00150DB9"/>
    <w:rsid w:val="001709C4"/>
    <w:rsid w:val="001B2A4F"/>
    <w:rsid w:val="001C0169"/>
    <w:rsid w:val="001D1D50"/>
    <w:rsid w:val="001D6745"/>
    <w:rsid w:val="001E446E"/>
    <w:rsid w:val="001E6BE7"/>
    <w:rsid w:val="002154EE"/>
    <w:rsid w:val="002276D2"/>
    <w:rsid w:val="0023283D"/>
    <w:rsid w:val="0026373E"/>
    <w:rsid w:val="00271C43"/>
    <w:rsid w:val="0028173B"/>
    <w:rsid w:val="00290728"/>
    <w:rsid w:val="002978F4"/>
    <w:rsid w:val="002B028D"/>
    <w:rsid w:val="002E498B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37D3C"/>
    <w:rsid w:val="00443869"/>
    <w:rsid w:val="00446C49"/>
    <w:rsid w:val="00447F32"/>
    <w:rsid w:val="004563AF"/>
    <w:rsid w:val="00475EAA"/>
    <w:rsid w:val="004B2B9E"/>
    <w:rsid w:val="004C217A"/>
    <w:rsid w:val="004C39C6"/>
    <w:rsid w:val="004E11DC"/>
    <w:rsid w:val="00525DDD"/>
    <w:rsid w:val="005409AC"/>
    <w:rsid w:val="0055516A"/>
    <w:rsid w:val="0058491B"/>
    <w:rsid w:val="00592EA5"/>
    <w:rsid w:val="005A3170"/>
    <w:rsid w:val="005E46F9"/>
    <w:rsid w:val="0061405C"/>
    <w:rsid w:val="00633473"/>
    <w:rsid w:val="00677396"/>
    <w:rsid w:val="0069200F"/>
    <w:rsid w:val="006A65CB"/>
    <w:rsid w:val="006C3242"/>
    <w:rsid w:val="006C7CC0"/>
    <w:rsid w:val="006E5F73"/>
    <w:rsid w:val="006F63F7"/>
    <w:rsid w:val="007025C7"/>
    <w:rsid w:val="00702F12"/>
    <w:rsid w:val="00706D7A"/>
    <w:rsid w:val="00722F0D"/>
    <w:rsid w:val="0074420E"/>
    <w:rsid w:val="00783E26"/>
    <w:rsid w:val="007A1910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8D3361"/>
    <w:rsid w:val="008F6F55"/>
    <w:rsid w:val="0091702E"/>
    <w:rsid w:val="00921F32"/>
    <w:rsid w:val="00923B0C"/>
    <w:rsid w:val="0094021C"/>
    <w:rsid w:val="00950866"/>
    <w:rsid w:val="00952F86"/>
    <w:rsid w:val="00982B28"/>
    <w:rsid w:val="009D313F"/>
    <w:rsid w:val="00A47A5A"/>
    <w:rsid w:val="00A6683B"/>
    <w:rsid w:val="00A756EA"/>
    <w:rsid w:val="00A97F94"/>
    <w:rsid w:val="00AA582B"/>
    <w:rsid w:val="00AA7EA2"/>
    <w:rsid w:val="00B02BF4"/>
    <w:rsid w:val="00B03099"/>
    <w:rsid w:val="00B05BC8"/>
    <w:rsid w:val="00B1143A"/>
    <w:rsid w:val="00B64B47"/>
    <w:rsid w:val="00B930ED"/>
    <w:rsid w:val="00C002DE"/>
    <w:rsid w:val="00C075A4"/>
    <w:rsid w:val="00C502CD"/>
    <w:rsid w:val="00C53BF8"/>
    <w:rsid w:val="00C66157"/>
    <w:rsid w:val="00C674FE"/>
    <w:rsid w:val="00C67501"/>
    <w:rsid w:val="00C75633"/>
    <w:rsid w:val="00C87297"/>
    <w:rsid w:val="00CE2EE1"/>
    <w:rsid w:val="00CE3349"/>
    <w:rsid w:val="00CE36E5"/>
    <w:rsid w:val="00CF27F5"/>
    <w:rsid w:val="00CF3FFD"/>
    <w:rsid w:val="00D02121"/>
    <w:rsid w:val="00D10CCF"/>
    <w:rsid w:val="00D37F70"/>
    <w:rsid w:val="00D77D0F"/>
    <w:rsid w:val="00DA1CF0"/>
    <w:rsid w:val="00DC1E02"/>
    <w:rsid w:val="00DC24B4"/>
    <w:rsid w:val="00DC5FB0"/>
    <w:rsid w:val="00DF16DC"/>
    <w:rsid w:val="00E3415A"/>
    <w:rsid w:val="00E45211"/>
    <w:rsid w:val="00E473C5"/>
    <w:rsid w:val="00E92863"/>
    <w:rsid w:val="00EB796D"/>
    <w:rsid w:val="00ED5EDE"/>
    <w:rsid w:val="00F02F26"/>
    <w:rsid w:val="00F058DC"/>
    <w:rsid w:val="00F16820"/>
    <w:rsid w:val="00F24FC4"/>
    <w:rsid w:val="00F2676C"/>
    <w:rsid w:val="00F84366"/>
    <w:rsid w:val="00F85089"/>
    <w:rsid w:val="00F974C5"/>
    <w:rsid w:val="00FA1CB7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3AA7"/>
  <w15:chartTrackingRefBased/>
  <w15:docId w15:val="{9B5F0EC0-8769-4CB5-A4AC-CEC40501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paragraph" w:customStyle="1" w:styleId="Tabletext">
    <w:name w:val="Table_text"/>
    <w:basedOn w:val="Normal"/>
    <w:link w:val="TabletextChar"/>
    <w:rsid w:val="00437D3C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Calibri" w:cs="Simplified Arabic"/>
      <w:sz w:val="20"/>
      <w:szCs w:val="30"/>
      <w:lang w:val="fr-CH"/>
    </w:rPr>
  </w:style>
  <w:style w:type="character" w:customStyle="1" w:styleId="TabletextChar">
    <w:name w:val="Table_text Char"/>
    <w:link w:val="Tabletext"/>
    <w:locked/>
    <w:rsid w:val="00437D3C"/>
    <w:rPr>
      <w:rFonts w:ascii="Times New Roman" w:eastAsia="Times New Roman" w:hAnsi="Calibri" w:cs="Simplified Arabic"/>
      <w:sz w:val="20"/>
      <w:szCs w:val="30"/>
      <w:lang w:val="fr-CH"/>
    </w:rPr>
  </w:style>
  <w:style w:type="paragraph" w:customStyle="1" w:styleId="Tablehead0">
    <w:name w:val="Table_head"/>
    <w:basedOn w:val="Normal"/>
    <w:next w:val="Tabletext"/>
    <w:link w:val="TableheadChar"/>
    <w:rsid w:val="00437D3C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Calibri" w:cs="Simplified Arabic"/>
      <w:b/>
      <w:sz w:val="20"/>
      <w:szCs w:val="30"/>
      <w:lang w:val="fr-CH"/>
    </w:rPr>
  </w:style>
  <w:style w:type="character" w:customStyle="1" w:styleId="TableheadChar">
    <w:name w:val="Table_head Char"/>
    <w:basedOn w:val="DefaultParagraphFont"/>
    <w:link w:val="Tablehead0"/>
    <w:locked/>
    <w:rsid w:val="00437D3C"/>
    <w:rPr>
      <w:rFonts w:ascii="Times New Roman" w:eastAsia="Times New Roman" w:hAnsi="Calibri" w:cs="Simplified Arabic"/>
      <w:b/>
      <w:sz w:val="20"/>
      <w:szCs w:val="30"/>
      <w:lang w:val="fr-CH"/>
    </w:rPr>
  </w:style>
  <w:style w:type="character" w:styleId="FollowedHyperlink">
    <w:name w:val="FollowedHyperlink"/>
    <w:basedOn w:val="DefaultParagraphFont"/>
    <w:uiPriority w:val="99"/>
    <w:semiHidden/>
    <w:unhideWhenUsed/>
    <w:rsid w:val="00702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70/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abdul\Desktop\type\Arabic%20Templates%202026\ITU-R%20(BR)\PA_CACE%20Mo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7E53A05F244949A0984DAA0BE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6BD8-3999-412E-A8EF-4A1C7119B790}"/>
      </w:docPartPr>
      <w:docPartBody>
        <w:p w:rsidR="00DF4532" w:rsidRDefault="00DF4532">
          <w:pPr>
            <w:pStyle w:val="F3C7E53A05F244949A0984DAA0BE074D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53BB750C04B8CB441C78E0BAC0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B2EF-FC7C-4518-922E-AE3341F191E6}"/>
      </w:docPartPr>
      <w:docPartBody>
        <w:p w:rsidR="00DF4532" w:rsidRDefault="00DF4532">
          <w:pPr>
            <w:pStyle w:val="FC853BB750C04B8CB441C78E0BAC080A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82"/>
    <w:rsid w:val="00D82682"/>
    <w:rsid w:val="00DF4532"/>
    <w:rsid w:val="00E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C7E53A05F244949A0984DAA0BE074D">
    <w:name w:val="F3C7E53A05F244949A0984DAA0BE074D"/>
  </w:style>
  <w:style w:type="paragraph" w:customStyle="1" w:styleId="FC853BB750C04B8CB441C78E0BAC080A">
    <w:name w:val="FC853BB750C04B8CB441C78E0BAC0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18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Chamova, Alisa</cp:lastModifiedBy>
  <cp:revision>6</cp:revision>
  <dcterms:created xsi:type="dcterms:W3CDTF">2026-02-26T14:42:00Z</dcterms:created>
  <dcterms:modified xsi:type="dcterms:W3CDTF">2026-03-02T09:40:00Z</dcterms:modified>
</cp:coreProperties>
</file>