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925CE4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Pr="00925CE4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25CE4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Pr="00925CE4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925CE4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925CE4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22148D0D" w:rsidR="00E53DCE" w:rsidRPr="00925CE4" w:rsidRDefault="00A96D3A" w:rsidP="00F167FB">
            <w:pPr>
              <w:spacing w:before="0"/>
            </w:pPr>
            <w:r w:rsidRPr="00925CE4">
              <w:t xml:space="preserve">Circular </w:t>
            </w:r>
            <w:r w:rsidRPr="00925CE4">
              <w:rPr>
                <w:lang w:val="es-ES"/>
              </w:rPr>
              <w:t>Administrativa</w:t>
            </w:r>
          </w:p>
          <w:p w14:paraId="69D58805" w14:textId="08276E3D" w:rsidR="00E53DCE" w:rsidRPr="00925CE4" w:rsidRDefault="001B3D4D" w:rsidP="00F167FB">
            <w:pPr>
              <w:spacing w:before="0"/>
              <w:rPr>
                <w:b/>
                <w:bCs/>
              </w:rPr>
            </w:pPr>
            <w:r w:rsidRPr="00925CE4">
              <w:rPr>
                <w:b/>
                <w:bCs/>
              </w:rPr>
              <w:t>CACE/</w:t>
            </w:r>
            <w:r w:rsidR="00DC3A2A" w:rsidRPr="00925CE4">
              <w:rPr>
                <w:b/>
                <w:bCs/>
              </w:rPr>
              <w:t>1176</w:t>
            </w:r>
          </w:p>
        </w:tc>
        <w:tc>
          <w:tcPr>
            <w:tcW w:w="2835" w:type="dxa"/>
          </w:tcPr>
          <w:p w14:paraId="3FD01BE1" w14:textId="0CA1C176" w:rsidR="00E53DCE" w:rsidRPr="00925CE4" w:rsidRDefault="00DC3A2A" w:rsidP="00B062F4">
            <w:pPr>
              <w:spacing w:before="0"/>
              <w:jc w:val="right"/>
            </w:pPr>
            <w:r w:rsidRPr="00925CE4">
              <w:rPr>
                <w:lang w:val="es-ES_tradnl"/>
              </w:rPr>
              <w:t>25 de febrero de 2026</w:t>
            </w:r>
          </w:p>
        </w:tc>
      </w:tr>
      <w:tr w:rsidR="00E53DCE" w:rsidRPr="00925CE4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925CE4" w:rsidRDefault="00E53DCE" w:rsidP="00F167FB">
            <w:pPr>
              <w:spacing w:before="0"/>
            </w:pPr>
          </w:p>
        </w:tc>
      </w:tr>
      <w:tr w:rsidR="00E53DCE" w:rsidRPr="00925CE4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925CE4" w:rsidRDefault="00E53DCE" w:rsidP="00F167FB">
            <w:pPr>
              <w:spacing w:before="0"/>
            </w:pPr>
          </w:p>
        </w:tc>
      </w:tr>
      <w:tr w:rsidR="00E53DCE" w:rsidRPr="00340989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4CD128C7" w:rsidR="00E53DCE" w:rsidRPr="00925CE4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925CE4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DC3A2A" w:rsidRPr="00925CE4">
              <w:rPr>
                <w:b/>
                <w:bCs/>
                <w:lang w:val="es-ES"/>
              </w:rPr>
              <w:t>5</w:t>
            </w:r>
            <w:r w:rsidRPr="00925CE4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340989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925CE4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340989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925CE4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340989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925CE4" w:rsidRDefault="00311970" w:rsidP="00F167FB">
            <w:pPr>
              <w:spacing w:before="0"/>
            </w:pPr>
            <w:proofErr w:type="spellStart"/>
            <w:r w:rsidRPr="00925CE4">
              <w:t>Asunto</w:t>
            </w:r>
            <w:proofErr w:type="spellEnd"/>
            <w:r w:rsidRPr="00925CE4"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370494C5" w14:textId="59591C77" w:rsidR="00F167FB" w:rsidRPr="00925CE4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925CE4">
              <w:rPr>
                <w:b/>
                <w:bCs/>
                <w:lang w:val="es-ES"/>
              </w:rPr>
              <w:t xml:space="preserve">Comisión de Estudio </w:t>
            </w:r>
            <w:r w:rsidR="00DC3A2A" w:rsidRPr="00925CE4">
              <w:rPr>
                <w:b/>
                <w:bCs/>
                <w:lang w:val="es-ES"/>
              </w:rPr>
              <w:t>5 de Radiocomunicaciones (Servicios terrenales)</w:t>
            </w:r>
          </w:p>
          <w:p w14:paraId="3612960C" w14:textId="7F9B3F29" w:rsidR="00E53DCE" w:rsidRPr="00925CE4" w:rsidRDefault="00F167FB" w:rsidP="002338AD">
            <w:pPr>
              <w:spacing w:before="40"/>
              <w:ind w:left="794" w:hanging="794"/>
              <w:jc w:val="left"/>
              <w:rPr>
                <w:b/>
                <w:bCs/>
                <w:lang w:val="es-ES"/>
              </w:rPr>
            </w:pPr>
            <w:r w:rsidRPr="00925CE4">
              <w:rPr>
                <w:b/>
                <w:bCs/>
                <w:lang w:val="es-ES"/>
              </w:rPr>
              <w:t>–</w:t>
            </w:r>
            <w:r w:rsidRPr="00925CE4">
              <w:rPr>
                <w:b/>
                <w:bCs/>
                <w:lang w:val="es-ES"/>
              </w:rPr>
              <w:tab/>
              <w:t xml:space="preserve">Adopción de </w:t>
            </w:r>
            <w:r w:rsidR="00DC3A2A" w:rsidRPr="00925CE4">
              <w:rPr>
                <w:b/>
                <w:bCs/>
                <w:lang w:val="es-ES"/>
              </w:rPr>
              <w:t>un</w:t>
            </w:r>
            <w:r w:rsidR="00990A6E">
              <w:rPr>
                <w:b/>
                <w:bCs/>
                <w:lang w:val="es-ES"/>
              </w:rPr>
              <w:t>a</w:t>
            </w:r>
            <w:r w:rsidRPr="00925CE4">
              <w:rPr>
                <w:b/>
                <w:bCs/>
                <w:lang w:val="es-ES"/>
              </w:rPr>
              <w:t xml:space="preserve"> Recomendación </w:t>
            </w:r>
            <w:r w:rsidR="00C814ED" w:rsidRPr="00925CE4">
              <w:rPr>
                <w:b/>
                <w:bCs/>
                <w:lang w:val="es-ES"/>
              </w:rPr>
              <w:t xml:space="preserve">UIT-R </w:t>
            </w:r>
            <w:r w:rsidRPr="00925CE4">
              <w:rPr>
                <w:b/>
                <w:bCs/>
                <w:lang w:val="es-ES"/>
              </w:rPr>
              <w:t xml:space="preserve">nueva y </w:t>
            </w:r>
            <w:r w:rsidR="00DC3A2A" w:rsidRPr="00925CE4">
              <w:rPr>
                <w:b/>
                <w:bCs/>
                <w:lang w:val="es-ES"/>
              </w:rPr>
              <w:t>7</w:t>
            </w:r>
            <w:r w:rsidRPr="00925CE4">
              <w:rPr>
                <w:b/>
                <w:bCs/>
                <w:lang w:val="es-ES"/>
              </w:rPr>
              <w:t xml:space="preserve"> Recomendaci</w:t>
            </w:r>
            <w:r w:rsidR="00DC3A2A" w:rsidRPr="00925CE4">
              <w:rPr>
                <w:b/>
                <w:bCs/>
                <w:lang w:val="es-ES"/>
              </w:rPr>
              <w:t>o</w:t>
            </w:r>
            <w:r w:rsidRPr="00925CE4">
              <w:rPr>
                <w:b/>
                <w:bCs/>
                <w:lang w:val="es-ES"/>
              </w:rPr>
              <w:t xml:space="preserve">nes </w:t>
            </w:r>
            <w:r w:rsidR="00E26A21" w:rsidRPr="00925CE4">
              <w:rPr>
                <w:b/>
                <w:bCs/>
                <w:lang w:val="es-ES"/>
              </w:rPr>
              <w:t>UIT</w:t>
            </w:r>
            <w:r w:rsidR="00E26A21" w:rsidRPr="00925CE4">
              <w:rPr>
                <w:b/>
                <w:bCs/>
                <w:lang w:val="es-ES"/>
              </w:rPr>
              <w:noBreakHyphen/>
              <w:t xml:space="preserve">R </w:t>
            </w:r>
            <w:r w:rsidRPr="00925CE4">
              <w:rPr>
                <w:b/>
                <w:bCs/>
                <w:lang w:val="es-ES"/>
              </w:rPr>
              <w:t>revisadas y su aprobación simultánea por correspondencia de conformidad con el § A2.6.2.4 de la Resolución UIT</w:t>
            </w:r>
            <w:r w:rsidRPr="00925CE4">
              <w:rPr>
                <w:b/>
                <w:bCs/>
                <w:lang w:val="es-ES"/>
              </w:rPr>
              <w:noBreakHyphen/>
              <w:t>R 1</w:t>
            </w:r>
            <w:r w:rsidRPr="00925CE4">
              <w:rPr>
                <w:b/>
                <w:bCs/>
                <w:lang w:val="es-ES"/>
              </w:rPr>
              <w:noBreakHyphen/>
              <w:t>9 (Procedimiento de adopción y aprobación simultáneas por correspondencia)</w:t>
            </w:r>
          </w:p>
        </w:tc>
      </w:tr>
      <w:tr w:rsidR="00E53DCE" w:rsidRPr="00340989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925CE4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925CE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40989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925CE4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925CE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990A6E" w:rsidRPr="00340989" w14:paraId="10546CF7" w14:textId="77777777" w:rsidTr="00306452">
        <w:trPr>
          <w:jc w:val="center"/>
        </w:trPr>
        <w:tc>
          <w:tcPr>
            <w:tcW w:w="1526" w:type="dxa"/>
          </w:tcPr>
          <w:p w14:paraId="5C239999" w14:textId="77777777" w:rsidR="00990A6E" w:rsidRPr="00925CE4" w:rsidRDefault="00990A6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</w:tcPr>
          <w:p w14:paraId="5CC86EED" w14:textId="77777777" w:rsidR="00990A6E" w:rsidRPr="00925CE4" w:rsidRDefault="00990A6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78E2533E" w14:textId="35E4DFBB" w:rsidR="00F167FB" w:rsidRPr="00925CE4" w:rsidRDefault="00F167FB" w:rsidP="00F167FB">
      <w:pPr>
        <w:pStyle w:val="Normalaftertitle"/>
        <w:rPr>
          <w:lang w:val="es-ES"/>
        </w:rPr>
      </w:pPr>
      <w:r w:rsidRPr="00925CE4">
        <w:rPr>
          <w:lang w:val="es-ES"/>
        </w:rPr>
        <w:t xml:space="preserve">Mediante la Circular Administrativa </w:t>
      </w:r>
      <w:hyperlink r:id="rId8" w:history="1">
        <w:r w:rsidRPr="00925CE4">
          <w:rPr>
            <w:rStyle w:val="Hyperlink"/>
            <w:lang w:val="es-ES"/>
          </w:rPr>
          <w:t>CACE/</w:t>
        </w:r>
        <w:r w:rsidR="002338AD" w:rsidRPr="00925CE4">
          <w:rPr>
            <w:rStyle w:val="Hyperlink"/>
            <w:lang w:val="es-ES"/>
          </w:rPr>
          <w:t>116</w:t>
        </w:r>
        <w:r w:rsidR="00BE48C1">
          <w:rPr>
            <w:rStyle w:val="Hyperlink"/>
            <w:lang w:val="es-ES"/>
          </w:rPr>
          <w:t>8</w:t>
        </w:r>
      </w:hyperlink>
      <w:r w:rsidRPr="00925CE4">
        <w:rPr>
          <w:lang w:val="es-ES"/>
        </w:rPr>
        <w:t xml:space="preserve"> de </w:t>
      </w:r>
      <w:r w:rsidR="002338AD" w:rsidRPr="00925CE4">
        <w:rPr>
          <w:lang w:val="es-ES"/>
        </w:rPr>
        <w:t>19</w:t>
      </w:r>
      <w:r w:rsidRPr="00925CE4">
        <w:rPr>
          <w:lang w:val="es-ES"/>
        </w:rPr>
        <w:t xml:space="preserve"> de </w:t>
      </w:r>
      <w:r w:rsidR="002338AD" w:rsidRPr="00925CE4">
        <w:rPr>
          <w:lang w:val="es-ES"/>
        </w:rPr>
        <w:t>diciembre</w:t>
      </w:r>
      <w:r w:rsidRPr="00925CE4">
        <w:rPr>
          <w:lang w:val="es-ES"/>
        </w:rPr>
        <w:t xml:space="preserve"> de 20</w:t>
      </w:r>
      <w:r w:rsidR="002338AD" w:rsidRPr="00925CE4">
        <w:rPr>
          <w:lang w:val="es-ES"/>
        </w:rPr>
        <w:t>25</w:t>
      </w:r>
      <w:r w:rsidRPr="00925CE4">
        <w:rPr>
          <w:lang w:val="es-ES"/>
        </w:rPr>
        <w:t>, se presentaron para adopción y aprobación simultáneas por correspondencia (PAAS), con arreglo al procedimiento de la Resolución UIT</w:t>
      </w:r>
      <w:r w:rsidRPr="00925CE4">
        <w:rPr>
          <w:lang w:val="es-ES"/>
        </w:rPr>
        <w:noBreakHyphen/>
        <w:t xml:space="preserve">R 1-9 (§ A2.6.2.4), </w:t>
      </w:r>
      <w:r w:rsidR="00EA5360" w:rsidRPr="00925CE4">
        <w:rPr>
          <w:lang w:val="es-ES"/>
        </w:rPr>
        <w:t>un</w:t>
      </w:r>
      <w:r w:rsidRPr="00925CE4">
        <w:rPr>
          <w:lang w:val="es-ES"/>
        </w:rPr>
        <w:t xml:space="preserve"> proyecto de nueva Recomendación</w:t>
      </w:r>
      <w:r w:rsidR="00031211" w:rsidRPr="00925CE4">
        <w:rPr>
          <w:lang w:val="es-ES"/>
        </w:rPr>
        <w:t xml:space="preserve"> UIT-R</w:t>
      </w:r>
      <w:r w:rsidRPr="00925CE4">
        <w:rPr>
          <w:lang w:val="es-ES"/>
        </w:rPr>
        <w:t xml:space="preserve"> y </w:t>
      </w:r>
      <w:r w:rsidR="00EA5360" w:rsidRPr="00925CE4">
        <w:rPr>
          <w:lang w:val="es-ES"/>
        </w:rPr>
        <w:t>7</w:t>
      </w:r>
      <w:r w:rsidRPr="00925CE4">
        <w:rPr>
          <w:lang w:val="es-ES"/>
        </w:rPr>
        <w:t xml:space="preserve"> proyectos</w:t>
      </w:r>
      <w:r w:rsidR="00EA5360" w:rsidRPr="00925CE4">
        <w:rPr>
          <w:lang w:val="es-ES"/>
        </w:rPr>
        <w:t xml:space="preserve"> </w:t>
      </w:r>
      <w:r w:rsidRPr="00925CE4">
        <w:rPr>
          <w:lang w:val="es-ES"/>
        </w:rPr>
        <w:t xml:space="preserve">de Recomendación </w:t>
      </w:r>
      <w:r w:rsidR="00031211" w:rsidRPr="00925CE4">
        <w:rPr>
          <w:lang w:val="es-ES"/>
        </w:rPr>
        <w:t xml:space="preserve">UIT-R </w:t>
      </w:r>
      <w:r w:rsidRPr="00925CE4">
        <w:rPr>
          <w:lang w:val="es-ES"/>
        </w:rPr>
        <w:t xml:space="preserve">revisada. </w:t>
      </w:r>
    </w:p>
    <w:p w14:paraId="1DA05E3F" w14:textId="4E4900F2" w:rsidR="00F167FB" w:rsidRPr="00925CE4" w:rsidRDefault="00F167FB" w:rsidP="00F167FB">
      <w:pPr>
        <w:rPr>
          <w:lang w:val="es-ES"/>
        </w:rPr>
      </w:pPr>
      <w:r w:rsidRPr="00925CE4">
        <w:rPr>
          <w:lang w:val="es-ES"/>
        </w:rPr>
        <w:t>Las condiciones que determinan este procedimiento se cumplieron el</w:t>
      </w:r>
      <w:r w:rsidR="00EA5360" w:rsidRPr="00925CE4">
        <w:rPr>
          <w:lang w:val="es-ES"/>
        </w:rPr>
        <w:t xml:space="preserve"> </w:t>
      </w:r>
      <w:r w:rsidR="005B095C">
        <w:rPr>
          <w:lang w:val="es-ES"/>
        </w:rPr>
        <w:t>19</w:t>
      </w:r>
      <w:r w:rsidR="00EA5360" w:rsidRPr="00925CE4">
        <w:rPr>
          <w:lang w:val="es-ES"/>
        </w:rPr>
        <w:t xml:space="preserve"> de febrero de 2026</w:t>
      </w:r>
      <w:r w:rsidRPr="00925CE4">
        <w:rPr>
          <w:lang w:val="es-ES"/>
        </w:rPr>
        <w:t>.</w:t>
      </w:r>
    </w:p>
    <w:p w14:paraId="2C4C5FF1" w14:textId="1C5E7CAB" w:rsidR="00F167FB" w:rsidRPr="00925CE4" w:rsidRDefault="00F167FB" w:rsidP="00F167FB">
      <w:pPr>
        <w:rPr>
          <w:lang w:val="es-ES"/>
        </w:rPr>
      </w:pPr>
      <w:r w:rsidRPr="00925CE4">
        <w:rPr>
          <w:lang w:val="es-ES"/>
        </w:rPr>
        <w:t>Las Recomendaci</w:t>
      </w:r>
      <w:r w:rsidR="00EA5360" w:rsidRPr="00925CE4">
        <w:rPr>
          <w:lang w:val="es-ES"/>
        </w:rPr>
        <w:t>o</w:t>
      </w:r>
      <w:r w:rsidRPr="00925CE4">
        <w:rPr>
          <w:lang w:val="es-ES"/>
        </w:rPr>
        <w:t>nes aprobadas serán</w:t>
      </w:r>
      <w:r w:rsidR="00EA5360" w:rsidRPr="00925CE4">
        <w:rPr>
          <w:lang w:val="es-ES"/>
        </w:rPr>
        <w:t xml:space="preserve"> </w:t>
      </w:r>
      <w:r w:rsidRPr="00925CE4">
        <w:rPr>
          <w:lang w:val="es-ES"/>
        </w:rPr>
        <w:t xml:space="preserve">publicadas por la UIT, y en el Anexo a la presente Circular figuran sus títulos, con sus números asignados. </w:t>
      </w:r>
    </w:p>
    <w:p w14:paraId="01DA5E29" w14:textId="6862BF37" w:rsidR="00F167FB" w:rsidRPr="00925CE4" w:rsidRDefault="00F167FB" w:rsidP="00F167FB">
      <w:pPr>
        <w:spacing w:before="1200"/>
        <w:jc w:val="left"/>
        <w:rPr>
          <w:bCs/>
          <w:lang w:val="es-ES"/>
        </w:rPr>
      </w:pPr>
      <w:r w:rsidRPr="00925CE4">
        <w:rPr>
          <w:lang w:val="es-ES"/>
        </w:rPr>
        <w:t>Mario Maniewicz</w:t>
      </w:r>
      <w:r w:rsidRPr="00925CE4">
        <w:rPr>
          <w:lang w:val="es-ES"/>
        </w:rPr>
        <w:br/>
      </w:r>
      <w:proofErr w:type="gramStart"/>
      <w:r w:rsidRPr="00925CE4">
        <w:rPr>
          <w:bCs/>
          <w:lang w:val="es-ES"/>
        </w:rPr>
        <w:t>Director</w:t>
      </w:r>
      <w:proofErr w:type="gramEnd"/>
    </w:p>
    <w:p w14:paraId="315B07D0" w14:textId="0327A64F" w:rsidR="00F167FB" w:rsidRPr="00925CE4" w:rsidRDefault="00F167FB" w:rsidP="00BE48C1">
      <w:pPr>
        <w:spacing w:before="3480"/>
        <w:rPr>
          <w:lang w:val="es-ES"/>
        </w:rPr>
      </w:pPr>
      <w:r w:rsidRPr="00925CE4">
        <w:rPr>
          <w:b/>
          <w:bCs/>
          <w:lang w:val="es-ES"/>
        </w:rPr>
        <w:t>Anexo:</w:t>
      </w:r>
      <w:r w:rsidRPr="00925CE4">
        <w:rPr>
          <w:lang w:val="es-ES"/>
        </w:rPr>
        <w:t xml:space="preserve"> </w:t>
      </w:r>
      <w:r w:rsidR="00EA5360" w:rsidRPr="00925CE4">
        <w:rPr>
          <w:lang w:val="es-ES"/>
        </w:rPr>
        <w:t>1</w:t>
      </w:r>
    </w:p>
    <w:p w14:paraId="4BA25F9B" w14:textId="7961DCBC" w:rsidR="00F167FB" w:rsidRPr="00925CE4" w:rsidRDefault="00F167FB" w:rsidP="00F167FB">
      <w:pPr>
        <w:rPr>
          <w:lang w:val="es-ES"/>
        </w:rPr>
      </w:pPr>
      <w:r w:rsidRPr="00925CE4">
        <w:rPr>
          <w:lang w:val="es-ES"/>
        </w:rPr>
        <w:br w:type="page"/>
      </w:r>
    </w:p>
    <w:p w14:paraId="6C79937B" w14:textId="4F6CCF21" w:rsidR="00F167FB" w:rsidRPr="00925CE4" w:rsidRDefault="00F167FB" w:rsidP="00E26A21">
      <w:pPr>
        <w:pStyle w:val="AnnexNoTitle"/>
        <w:spacing w:after="720"/>
        <w:rPr>
          <w:lang w:val="es-ES"/>
        </w:rPr>
      </w:pPr>
      <w:r w:rsidRPr="00925CE4">
        <w:rPr>
          <w:lang w:val="es-ES"/>
        </w:rPr>
        <w:lastRenderedPageBreak/>
        <w:t>Anexo</w:t>
      </w:r>
      <w:r w:rsidRPr="00925CE4">
        <w:rPr>
          <w:lang w:val="es-ES"/>
        </w:rPr>
        <w:br/>
      </w:r>
      <w:r w:rsidRPr="00925CE4">
        <w:rPr>
          <w:lang w:val="es-ES"/>
        </w:rPr>
        <w:br/>
        <w:t>Título</w:t>
      </w:r>
      <w:r w:rsidR="006E287E" w:rsidRPr="00925CE4">
        <w:rPr>
          <w:lang w:val="es-ES"/>
        </w:rPr>
        <w:t>s</w:t>
      </w:r>
      <w:r w:rsidRPr="00925CE4">
        <w:rPr>
          <w:lang w:val="es-ES"/>
        </w:rPr>
        <w:t xml:space="preserve"> de las Recomendaci</w:t>
      </w:r>
      <w:r w:rsidR="006E287E" w:rsidRPr="00925CE4">
        <w:rPr>
          <w:lang w:val="es-ES"/>
        </w:rPr>
        <w:t>o</w:t>
      </w:r>
      <w:r w:rsidRPr="00925CE4">
        <w:rPr>
          <w:lang w:val="es-ES"/>
        </w:rPr>
        <w:t xml:space="preserve">nes </w:t>
      </w:r>
      <w:r w:rsidR="00E26A21" w:rsidRPr="00925CE4">
        <w:rPr>
          <w:lang w:val="es-ES"/>
        </w:rPr>
        <w:t xml:space="preserve">UIT-R </w:t>
      </w:r>
      <w:r w:rsidRPr="00925CE4">
        <w:rPr>
          <w:lang w:val="es-ES"/>
        </w:rPr>
        <w:t>aprobadas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096"/>
        <w:gridCol w:w="1837"/>
      </w:tblGrid>
      <w:tr w:rsidR="00F167FB" w:rsidRPr="00925CE4" w14:paraId="6071FB3B" w14:textId="77777777" w:rsidTr="00BE48C1">
        <w:trPr>
          <w:jc w:val="center"/>
        </w:trPr>
        <w:tc>
          <w:tcPr>
            <w:tcW w:w="1696" w:type="dxa"/>
            <w:vAlign w:val="center"/>
          </w:tcPr>
          <w:p w14:paraId="70A84227" w14:textId="77777777" w:rsidR="00F167FB" w:rsidRPr="00925CE4" w:rsidRDefault="00F167FB" w:rsidP="00BE48C1">
            <w:pPr>
              <w:pStyle w:val="Tablehead"/>
              <w:rPr>
                <w:lang w:val="es-ES"/>
              </w:rPr>
            </w:pPr>
            <w:r w:rsidRPr="00925CE4">
              <w:rPr>
                <w:lang w:val="es-ES"/>
              </w:rPr>
              <w:t>Recomendación</w:t>
            </w:r>
            <w:r w:rsidRPr="00925CE4">
              <w:rPr>
                <w:lang w:val="es-ES"/>
              </w:rPr>
              <w:br/>
              <w:t>UIT-R</w:t>
            </w:r>
          </w:p>
        </w:tc>
        <w:tc>
          <w:tcPr>
            <w:tcW w:w="6096" w:type="dxa"/>
            <w:vAlign w:val="center"/>
          </w:tcPr>
          <w:p w14:paraId="01FEBFF1" w14:textId="77777777" w:rsidR="00F167FB" w:rsidRPr="00925CE4" w:rsidRDefault="00F167FB" w:rsidP="00925CE4">
            <w:pPr>
              <w:pStyle w:val="Tablehead"/>
              <w:rPr>
                <w:b w:val="0"/>
                <w:bCs/>
                <w:lang w:val="es-ES"/>
              </w:rPr>
            </w:pPr>
            <w:r w:rsidRPr="00925CE4">
              <w:rPr>
                <w:lang w:val="es-ES"/>
              </w:rPr>
              <w:t>Título</w:t>
            </w:r>
          </w:p>
        </w:tc>
        <w:tc>
          <w:tcPr>
            <w:tcW w:w="1837" w:type="dxa"/>
            <w:vAlign w:val="center"/>
          </w:tcPr>
          <w:p w14:paraId="25163813" w14:textId="77777777" w:rsidR="00F167FB" w:rsidRPr="00925CE4" w:rsidRDefault="00F167FB" w:rsidP="00F167FB">
            <w:pPr>
              <w:pStyle w:val="Tablehead"/>
              <w:rPr>
                <w:lang w:val="es-ES"/>
              </w:rPr>
            </w:pPr>
            <w:r w:rsidRPr="00925CE4">
              <w:rPr>
                <w:lang w:val="es-ES"/>
              </w:rPr>
              <w:t>Documento</w:t>
            </w:r>
          </w:p>
        </w:tc>
      </w:tr>
      <w:tr w:rsidR="00C8500E" w:rsidRPr="00925CE4" w14:paraId="5EF78EAE" w14:textId="77777777" w:rsidTr="00BE48C1">
        <w:trPr>
          <w:jc w:val="center"/>
        </w:trPr>
        <w:tc>
          <w:tcPr>
            <w:tcW w:w="1696" w:type="dxa"/>
            <w:vAlign w:val="center"/>
          </w:tcPr>
          <w:p w14:paraId="0FBFFE79" w14:textId="332BC36F" w:rsidR="00C8500E" w:rsidRPr="00925CE4" w:rsidRDefault="00C8500E" w:rsidP="00BE48C1">
            <w:pPr>
              <w:pStyle w:val="Tabletext"/>
              <w:jc w:val="center"/>
              <w:rPr>
                <w:lang w:val="es-ES"/>
              </w:rPr>
            </w:pPr>
            <w:r w:rsidRPr="00925CE4">
              <w:rPr>
                <w:rFonts w:asciiTheme="minorHAnsi" w:hAnsiTheme="minorHAnsi" w:cstheme="minorHAnsi"/>
                <w:lang w:val="en-GB"/>
              </w:rPr>
              <w:t>M.2176-0</w:t>
            </w:r>
          </w:p>
        </w:tc>
        <w:tc>
          <w:tcPr>
            <w:tcW w:w="6096" w:type="dxa"/>
          </w:tcPr>
          <w:p w14:paraId="53921AFB" w14:textId="17F3BC2C" w:rsidR="00C8500E" w:rsidRPr="00925CE4" w:rsidRDefault="00C8500E" w:rsidP="00A877C0">
            <w:pPr>
              <w:pStyle w:val="Tabletext"/>
              <w:rPr>
                <w:bCs/>
                <w:lang w:val="es-ES"/>
              </w:rPr>
            </w:pPr>
            <w:r w:rsidRPr="00C8500E">
              <w:rPr>
                <w:bCs/>
                <w:lang w:val="es-ES"/>
              </w:rPr>
              <w:t>Características y criterios de protección de los sistemas de enlace de datos en ondas métricas Modo 2 normalizados por la Organización de Aviación Civil Internacional que funcionan en el servicio móvil aeronáutico</w:t>
            </w:r>
            <w:r w:rsidR="009A509A" w:rsidRPr="00925CE4">
              <w:rPr>
                <w:bCs/>
                <w:lang w:val="es-ES"/>
              </w:rPr>
              <w:t xml:space="preserve"> </w:t>
            </w:r>
            <w:r w:rsidRPr="00C8500E">
              <w:rPr>
                <w:bCs/>
                <w:lang w:val="es-ES"/>
              </w:rPr>
              <w:t>(en rutas) en la banda de frecuencias 136-137 MHz</w:t>
            </w:r>
          </w:p>
        </w:tc>
        <w:tc>
          <w:tcPr>
            <w:tcW w:w="1837" w:type="dxa"/>
            <w:vAlign w:val="center"/>
          </w:tcPr>
          <w:p w14:paraId="272203C6" w14:textId="443A0E62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rPr>
                <w:lang w:val="en-GB"/>
              </w:rPr>
              <w:t>5/103(Rev.1)</w:t>
            </w:r>
          </w:p>
        </w:tc>
      </w:tr>
      <w:tr w:rsidR="00C8500E" w:rsidRPr="00925CE4" w14:paraId="5D906528" w14:textId="77777777" w:rsidTr="00BE48C1">
        <w:trPr>
          <w:jc w:val="center"/>
        </w:trPr>
        <w:tc>
          <w:tcPr>
            <w:tcW w:w="1696" w:type="dxa"/>
            <w:vAlign w:val="center"/>
          </w:tcPr>
          <w:p w14:paraId="5A299B8D" w14:textId="385D9290" w:rsidR="00C8500E" w:rsidRPr="00925CE4" w:rsidRDefault="00C8500E" w:rsidP="00BE48C1">
            <w:pPr>
              <w:pStyle w:val="Tabletext"/>
              <w:jc w:val="center"/>
              <w:rPr>
                <w:lang w:val="es-ES"/>
              </w:rPr>
            </w:pPr>
            <w:r w:rsidRPr="00925CE4">
              <w:rPr>
                <w:lang w:eastAsia="zh-CN"/>
              </w:rPr>
              <w:t>M.2012-7</w:t>
            </w:r>
          </w:p>
        </w:tc>
        <w:tc>
          <w:tcPr>
            <w:tcW w:w="6096" w:type="dxa"/>
          </w:tcPr>
          <w:p w14:paraId="0941511C" w14:textId="7DA40E86" w:rsidR="00C8500E" w:rsidRPr="00925CE4" w:rsidRDefault="0083517B" w:rsidP="00A877C0">
            <w:pPr>
              <w:pStyle w:val="Tabletext"/>
              <w:rPr>
                <w:bCs/>
                <w:lang w:val="es-ES"/>
              </w:rPr>
            </w:pPr>
            <w:r w:rsidRPr="0083517B">
              <w:rPr>
                <w:bCs/>
                <w:lang w:val="es-ES"/>
              </w:rPr>
              <w:t>Especificaciones detalladas de las interfaces radioeléctricas terrenales de las Telecomunicaciones Móviles Internacionales-Avanzadas (IMT</w:t>
            </w:r>
            <w:r w:rsidR="00925CE4" w:rsidRPr="00925CE4">
              <w:rPr>
                <w:bCs/>
                <w:lang w:val="es-ES"/>
              </w:rPr>
              <w:noBreakHyphen/>
            </w:r>
            <w:r w:rsidRPr="0083517B">
              <w:rPr>
                <w:bCs/>
                <w:lang w:val="es-ES"/>
              </w:rPr>
              <w:t>Avanzadas)</w:t>
            </w:r>
          </w:p>
        </w:tc>
        <w:tc>
          <w:tcPr>
            <w:tcW w:w="1837" w:type="dxa"/>
            <w:vAlign w:val="center"/>
          </w:tcPr>
          <w:p w14:paraId="29D14D54" w14:textId="6A14C715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rPr>
                <w:szCs w:val="24"/>
              </w:rPr>
              <w:t>5/83(Rev.1)</w:t>
            </w:r>
          </w:p>
        </w:tc>
      </w:tr>
      <w:tr w:rsidR="00C8500E" w:rsidRPr="00925CE4" w14:paraId="4C938A2F" w14:textId="77777777" w:rsidTr="00BE48C1">
        <w:trPr>
          <w:jc w:val="center"/>
        </w:trPr>
        <w:tc>
          <w:tcPr>
            <w:tcW w:w="1696" w:type="dxa"/>
            <w:vAlign w:val="center"/>
          </w:tcPr>
          <w:p w14:paraId="2E831A69" w14:textId="5328FFF2" w:rsidR="00C8500E" w:rsidRPr="00925CE4" w:rsidRDefault="00C8500E" w:rsidP="00BE48C1">
            <w:pPr>
              <w:pStyle w:val="Tabletext"/>
              <w:jc w:val="center"/>
              <w:rPr>
                <w:lang w:eastAsia="zh-CN"/>
              </w:rPr>
            </w:pPr>
            <w:r w:rsidRPr="00925CE4">
              <w:rPr>
                <w:rStyle w:val="href"/>
              </w:rPr>
              <w:t>M.2150-</w:t>
            </w:r>
            <w:r w:rsidRPr="00925CE4">
              <w:rPr>
                <w:rStyle w:val="href"/>
                <w:lang w:eastAsia="ja-JP"/>
              </w:rPr>
              <w:t>3</w:t>
            </w:r>
          </w:p>
        </w:tc>
        <w:tc>
          <w:tcPr>
            <w:tcW w:w="6096" w:type="dxa"/>
          </w:tcPr>
          <w:p w14:paraId="7698EF1B" w14:textId="18579254" w:rsidR="00C8500E" w:rsidRPr="00925CE4" w:rsidRDefault="0083517B" w:rsidP="00A877C0">
            <w:pPr>
              <w:pStyle w:val="Tabletext"/>
              <w:rPr>
                <w:bCs/>
                <w:lang w:val="es-ES"/>
              </w:rPr>
            </w:pPr>
            <w:r w:rsidRPr="00925CE4">
              <w:rPr>
                <w:bCs/>
                <w:lang w:val="es-ES"/>
              </w:rPr>
              <w:t>Especificaciones detalladas de las interfaces radioeléctricas terrenales de las Telecomunicaciones Móviles Internacionales-2020 (IMT-2020)</w:t>
            </w:r>
          </w:p>
        </w:tc>
        <w:tc>
          <w:tcPr>
            <w:tcW w:w="1837" w:type="dxa"/>
            <w:vAlign w:val="center"/>
          </w:tcPr>
          <w:p w14:paraId="6419CB27" w14:textId="3A266871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t>5/84(Rev.1)</w:t>
            </w:r>
          </w:p>
        </w:tc>
      </w:tr>
      <w:tr w:rsidR="00C8500E" w:rsidRPr="00925CE4" w14:paraId="5C4AF688" w14:textId="77777777" w:rsidTr="00BE48C1">
        <w:trPr>
          <w:jc w:val="center"/>
        </w:trPr>
        <w:tc>
          <w:tcPr>
            <w:tcW w:w="1696" w:type="dxa"/>
            <w:vAlign w:val="center"/>
          </w:tcPr>
          <w:p w14:paraId="606CDC6B" w14:textId="42E0B2DF" w:rsidR="00C8500E" w:rsidRPr="00925CE4" w:rsidRDefault="00C8500E" w:rsidP="00BE48C1">
            <w:pPr>
              <w:pStyle w:val="Tabletext"/>
              <w:jc w:val="center"/>
              <w:rPr>
                <w:rStyle w:val="href"/>
              </w:rPr>
            </w:pPr>
            <w:r w:rsidRPr="00925CE4">
              <w:rPr>
                <w:rStyle w:val="href"/>
              </w:rPr>
              <w:t>M.2092-2</w:t>
            </w:r>
          </w:p>
        </w:tc>
        <w:tc>
          <w:tcPr>
            <w:tcW w:w="6096" w:type="dxa"/>
          </w:tcPr>
          <w:p w14:paraId="4B50E57D" w14:textId="729570E9" w:rsidR="00C8500E" w:rsidRPr="00925CE4" w:rsidRDefault="0083517B" w:rsidP="00A877C0">
            <w:pPr>
              <w:pStyle w:val="Tabletext"/>
              <w:rPr>
                <w:bCs/>
                <w:lang w:val="es-ES"/>
              </w:rPr>
            </w:pPr>
            <w:r w:rsidRPr="0083517B">
              <w:rPr>
                <w:bCs/>
                <w:lang w:val="es-ES"/>
              </w:rPr>
              <w:t>Características técnicas para un sistema de intercambio de datos en ondas métricas del servicio móvil marítimo</w:t>
            </w:r>
          </w:p>
        </w:tc>
        <w:tc>
          <w:tcPr>
            <w:tcW w:w="1837" w:type="dxa"/>
            <w:vAlign w:val="center"/>
          </w:tcPr>
          <w:p w14:paraId="7980C679" w14:textId="6E819289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t>5/101(Rev.1)</w:t>
            </w:r>
          </w:p>
        </w:tc>
      </w:tr>
      <w:tr w:rsidR="00C8500E" w:rsidRPr="00925CE4" w14:paraId="23183447" w14:textId="77777777" w:rsidTr="00BE48C1">
        <w:trPr>
          <w:jc w:val="center"/>
        </w:trPr>
        <w:tc>
          <w:tcPr>
            <w:tcW w:w="1696" w:type="dxa"/>
            <w:vAlign w:val="center"/>
          </w:tcPr>
          <w:p w14:paraId="21997C55" w14:textId="729A4C0D" w:rsidR="00C8500E" w:rsidRPr="00925CE4" w:rsidRDefault="00C8500E" w:rsidP="00BE48C1">
            <w:pPr>
              <w:pStyle w:val="Tabletext"/>
              <w:jc w:val="center"/>
              <w:rPr>
                <w:rStyle w:val="href"/>
              </w:rPr>
            </w:pPr>
            <w:r w:rsidRPr="00925CE4">
              <w:rPr>
                <w:rStyle w:val="href"/>
              </w:rPr>
              <w:t>M.2010-3</w:t>
            </w:r>
          </w:p>
        </w:tc>
        <w:tc>
          <w:tcPr>
            <w:tcW w:w="6096" w:type="dxa"/>
          </w:tcPr>
          <w:p w14:paraId="18437A56" w14:textId="57743DC8" w:rsidR="00C8500E" w:rsidRPr="00925CE4" w:rsidRDefault="0083517B" w:rsidP="00A877C0">
            <w:pPr>
              <w:pStyle w:val="Tabletext"/>
              <w:rPr>
                <w:bCs/>
                <w:lang w:val="es-ES"/>
              </w:rPr>
            </w:pPr>
            <w:bookmarkStart w:id="0" w:name="_Hlk196903212"/>
            <w:r w:rsidRPr="00925CE4">
              <w:rPr>
                <w:bCs/>
                <w:lang w:val="es-ES"/>
              </w:rPr>
              <w:t>Características de un sistema digital, denominado datos de navegación para difundir información de seguridad marítima e información de</w:t>
            </w:r>
            <w:r w:rsidR="005E0B87">
              <w:rPr>
                <w:bCs/>
                <w:lang w:val="es-ES"/>
              </w:rPr>
              <w:t xml:space="preserve"> </w:t>
            </w:r>
            <w:r w:rsidRPr="00925CE4">
              <w:rPr>
                <w:bCs/>
                <w:lang w:val="es-ES"/>
              </w:rPr>
              <w:t>seguridad conexa de costa a barco en la banda de 500 kHz</w:t>
            </w:r>
            <w:bookmarkEnd w:id="0"/>
          </w:p>
        </w:tc>
        <w:tc>
          <w:tcPr>
            <w:tcW w:w="1837" w:type="dxa"/>
            <w:vAlign w:val="center"/>
          </w:tcPr>
          <w:p w14:paraId="6FB8E438" w14:textId="7BDF89A7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t>5/104</w:t>
            </w:r>
          </w:p>
        </w:tc>
      </w:tr>
      <w:tr w:rsidR="00C8500E" w:rsidRPr="00925CE4" w14:paraId="46E529A7" w14:textId="77777777" w:rsidTr="00BE48C1">
        <w:trPr>
          <w:jc w:val="center"/>
        </w:trPr>
        <w:tc>
          <w:tcPr>
            <w:tcW w:w="1696" w:type="dxa"/>
            <w:vAlign w:val="center"/>
          </w:tcPr>
          <w:p w14:paraId="6A80BB77" w14:textId="607BD5D7" w:rsidR="00C8500E" w:rsidRPr="00925CE4" w:rsidRDefault="00C8500E" w:rsidP="00BE48C1">
            <w:pPr>
              <w:pStyle w:val="Tabletext"/>
              <w:jc w:val="center"/>
              <w:rPr>
                <w:rStyle w:val="href"/>
              </w:rPr>
            </w:pPr>
            <w:r w:rsidRPr="00925CE4">
              <w:rPr>
                <w:rStyle w:val="href"/>
              </w:rPr>
              <w:t>M.2058-2</w:t>
            </w:r>
          </w:p>
        </w:tc>
        <w:tc>
          <w:tcPr>
            <w:tcW w:w="6096" w:type="dxa"/>
          </w:tcPr>
          <w:p w14:paraId="67A4AB54" w14:textId="392BE12D" w:rsidR="00C8500E" w:rsidRPr="00925CE4" w:rsidRDefault="00A877C0" w:rsidP="00A877C0">
            <w:pPr>
              <w:pStyle w:val="Tabletext"/>
              <w:rPr>
                <w:bCs/>
                <w:lang w:val="es-ES"/>
              </w:rPr>
            </w:pPr>
            <w:r w:rsidRPr="00A877C0">
              <w:rPr>
                <w:bCs/>
                <w:lang w:val="es-ES"/>
              </w:rPr>
              <w:t xml:space="preserve">Características del sistema digital en ondas </w:t>
            </w:r>
            <w:proofErr w:type="spellStart"/>
            <w:r w:rsidRPr="00A877C0">
              <w:rPr>
                <w:bCs/>
                <w:lang w:val="es-ES"/>
              </w:rPr>
              <w:t>decamétricas</w:t>
            </w:r>
            <w:proofErr w:type="spellEnd"/>
            <w:r w:rsidRPr="00A877C0">
              <w:rPr>
                <w:bCs/>
                <w:lang w:val="es-ES"/>
              </w:rPr>
              <w:t xml:space="preserve"> denominado datos de navegación para difundir información de seguridad marítima e</w:t>
            </w:r>
            <w:r w:rsidR="00925CE4" w:rsidRPr="00925CE4">
              <w:rPr>
                <w:bCs/>
                <w:lang w:val="es-ES"/>
              </w:rPr>
              <w:t> </w:t>
            </w:r>
            <w:r w:rsidRPr="00A877C0">
              <w:rPr>
                <w:bCs/>
                <w:lang w:val="es-ES"/>
              </w:rPr>
              <w:t>información de seguridad conexa de costa a barco del servicio móvil marítimo</w:t>
            </w:r>
          </w:p>
        </w:tc>
        <w:tc>
          <w:tcPr>
            <w:tcW w:w="1837" w:type="dxa"/>
            <w:vAlign w:val="center"/>
          </w:tcPr>
          <w:p w14:paraId="334DB352" w14:textId="49B0BD7C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t>5/105(Rev.1)</w:t>
            </w:r>
          </w:p>
        </w:tc>
      </w:tr>
      <w:tr w:rsidR="00C8500E" w:rsidRPr="00925CE4" w14:paraId="7463C061" w14:textId="77777777" w:rsidTr="00BE48C1">
        <w:trPr>
          <w:jc w:val="center"/>
        </w:trPr>
        <w:tc>
          <w:tcPr>
            <w:tcW w:w="1696" w:type="dxa"/>
            <w:vAlign w:val="center"/>
          </w:tcPr>
          <w:p w14:paraId="780F4245" w14:textId="31D83AFB" w:rsidR="00C8500E" w:rsidRPr="00925CE4" w:rsidRDefault="00C8500E" w:rsidP="00BE48C1">
            <w:pPr>
              <w:pStyle w:val="Tabletext"/>
              <w:jc w:val="center"/>
              <w:rPr>
                <w:rStyle w:val="href"/>
              </w:rPr>
            </w:pPr>
            <w:r w:rsidRPr="00925CE4">
              <w:t>M.1371-6</w:t>
            </w:r>
          </w:p>
        </w:tc>
        <w:tc>
          <w:tcPr>
            <w:tcW w:w="6096" w:type="dxa"/>
          </w:tcPr>
          <w:p w14:paraId="7C6E3FF5" w14:textId="58213DD4" w:rsidR="00C8500E" w:rsidRPr="00925CE4" w:rsidRDefault="00A877C0" w:rsidP="00A877C0">
            <w:pPr>
              <w:pStyle w:val="Tabletext"/>
              <w:rPr>
                <w:bCs/>
                <w:lang w:val="es-ES"/>
              </w:rPr>
            </w:pPr>
            <w:r w:rsidRPr="00A877C0">
              <w:rPr>
                <w:bCs/>
                <w:lang w:val="es-ES"/>
              </w:rPr>
              <w:t>Características técnicas de un sistema de identificación automático en ondas métricas mediante acceso múltiple por división en el tiempo del servicio móvil marítimo</w:t>
            </w:r>
          </w:p>
        </w:tc>
        <w:tc>
          <w:tcPr>
            <w:tcW w:w="1837" w:type="dxa"/>
            <w:vAlign w:val="center"/>
          </w:tcPr>
          <w:p w14:paraId="2C98939D" w14:textId="1C621497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t>5/107(Rev.1)</w:t>
            </w:r>
          </w:p>
        </w:tc>
      </w:tr>
      <w:tr w:rsidR="00C8500E" w:rsidRPr="00925CE4" w14:paraId="603034F9" w14:textId="77777777" w:rsidTr="00BE48C1">
        <w:trPr>
          <w:jc w:val="center"/>
        </w:trPr>
        <w:tc>
          <w:tcPr>
            <w:tcW w:w="1696" w:type="dxa"/>
            <w:vAlign w:val="center"/>
          </w:tcPr>
          <w:p w14:paraId="5D6AFD24" w14:textId="346D2719" w:rsidR="00C8500E" w:rsidRPr="00925CE4" w:rsidRDefault="00C8500E" w:rsidP="00BE48C1">
            <w:pPr>
              <w:pStyle w:val="Tabletext"/>
              <w:jc w:val="center"/>
            </w:pPr>
            <w:r w:rsidRPr="00925CE4">
              <w:rPr>
                <w:lang w:eastAsia="zh-CN"/>
              </w:rPr>
              <w:t>M.1042-4</w:t>
            </w:r>
          </w:p>
        </w:tc>
        <w:tc>
          <w:tcPr>
            <w:tcW w:w="6096" w:type="dxa"/>
          </w:tcPr>
          <w:p w14:paraId="6C7E2C69" w14:textId="65893B7D" w:rsidR="00C8500E" w:rsidRPr="00925CE4" w:rsidRDefault="00A877C0" w:rsidP="00A877C0">
            <w:pPr>
              <w:pStyle w:val="Tabletext"/>
              <w:rPr>
                <w:bCs/>
                <w:lang w:val="es-ES"/>
              </w:rPr>
            </w:pPr>
            <w:r w:rsidRPr="00A877C0">
              <w:rPr>
                <w:bCs/>
                <w:lang w:val="es-ES"/>
              </w:rPr>
              <w:t>Comunicaciones de los servicios de aficionados y aficionados</w:t>
            </w:r>
            <w:r w:rsidR="00925CE4" w:rsidRPr="00925CE4">
              <w:rPr>
                <w:bCs/>
                <w:lang w:val="es-ES"/>
              </w:rPr>
              <w:t xml:space="preserve"> </w:t>
            </w:r>
            <w:r w:rsidRPr="00A877C0">
              <w:rPr>
                <w:bCs/>
                <w:lang w:val="es-ES"/>
              </w:rPr>
              <w:t>por satélite en situaciones de catástrofe</w:t>
            </w:r>
          </w:p>
        </w:tc>
        <w:tc>
          <w:tcPr>
            <w:tcW w:w="1837" w:type="dxa"/>
            <w:vAlign w:val="center"/>
          </w:tcPr>
          <w:p w14:paraId="3F7AAC49" w14:textId="79BCB6D3" w:rsidR="00C8500E" w:rsidRPr="00925CE4" w:rsidRDefault="00C8500E" w:rsidP="00C8500E">
            <w:pPr>
              <w:pStyle w:val="Tabletext"/>
              <w:jc w:val="center"/>
              <w:rPr>
                <w:lang w:val="es-ES"/>
              </w:rPr>
            </w:pPr>
            <w:r w:rsidRPr="00925CE4">
              <w:t>5/108</w:t>
            </w:r>
          </w:p>
        </w:tc>
      </w:tr>
    </w:tbl>
    <w:p w14:paraId="5E9465B4" w14:textId="77777777" w:rsidR="00E26A21" w:rsidRPr="00925CE4" w:rsidRDefault="00E26A21" w:rsidP="00E26A21">
      <w:pPr>
        <w:rPr>
          <w:lang w:val="es-ES"/>
        </w:rPr>
      </w:pPr>
    </w:p>
    <w:p w14:paraId="059B3826" w14:textId="77777777" w:rsidR="00F167FB" w:rsidRDefault="00F167FB">
      <w:pPr>
        <w:jc w:val="center"/>
      </w:pPr>
      <w:r w:rsidRPr="00925CE4">
        <w:t>______________</w:t>
      </w:r>
    </w:p>
    <w:sectPr w:rsidR="00F167FB" w:rsidSect="00C814ED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48EF1163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r w:rsidR="00C71F77">
      <w:fldChar w:fldCharType="begin"/>
    </w:r>
    <w:r w:rsidR="00C71F77" w:rsidRPr="00340989">
      <w:rPr>
        <w:lang w:val="es-ES"/>
      </w:rPr>
      <w:instrText>HYPERLINK "mailto:itumail@itu.int"</w:instrText>
    </w:r>
    <w:r w:rsidR="00C71F77">
      <w:fldChar w:fldCharType="separate"/>
    </w:r>
    <w:r w:rsidR="00C71F77" w:rsidRPr="00BE48C1">
      <w:rPr>
        <w:rStyle w:val="Hyperlink"/>
        <w:sz w:val="19"/>
        <w:szCs w:val="19"/>
        <w:lang w:val="es-ES"/>
      </w:rPr>
      <w:t>itumail@itu.int</w:t>
    </w:r>
    <w:r w:rsidR="00C71F77">
      <w:fldChar w:fldCharType="end"/>
    </w:r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1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BDF" w14:textId="3348BF87" w:rsidR="00C814ED" w:rsidRPr="001B3D4D" w:rsidRDefault="00C814ED" w:rsidP="00C814ED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647A318D" wp14:editId="4F560D4A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119E"/>
    <w:rsid w:val="00026CF8"/>
    <w:rsid w:val="00030BD7"/>
    <w:rsid w:val="00031211"/>
    <w:rsid w:val="00031E64"/>
    <w:rsid w:val="00034340"/>
    <w:rsid w:val="00035CB3"/>
    <w:rsid w:val="00045A8D"/>
    <w:rsid w:val="0005167A"/>
    <w:rsid w:val="00054E5D"/>
    <w:rsid w:val="000622D7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38AD"/>
    <w:rsid w:val="00235A29"/>
    <w:rsid w:val="00241526"/>
    <w:rsid w:val="002443A2"/>
    <w:rsid w:val="00257BE7"/>
    <w:rsid w:val="00266E74"/>
    <w:rsid w:val="00283C3B"/>
    <w:rsid w:val="0028609D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0B28"/>
    <w:rsid w:val="00311970"/>
    <w:rsid w:val="00316935"/>
    <w:rsid w:val="003266ED"/>
    <w:rsid w:val="00326C68"/>
    <w:rsid w:val="0033029C"/>
    <w:rsid w:val="003370B8"/>
    <w:rsid w:val="00340989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E6592"/>
    <w:rsid w:val="004F178E"/>
    <w:rsid w:val="004F4543"/>
    <w:rsid w:val="004F57BB"/>
    <w:rsid w:val="00505309"/>
    <w:rsid w:val="0050789B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095C"/>
    <w:rsid w:val="005B214C"/>
    <w:rsid w:val="005B4CDA"/>
    <w:rsid w:val="005D3669"/>
    <w:rsid w:val="005E0B87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3B72"/>
    <w:rsid w:val="006829F3"/>
    <w:rsid w:val="00690274"/>
    <w:rsid w:val="006A518B"/>
    <w:rsid w:val="006B0590"/>
    <w:rsid w:val="006B49DA"/>
    <w:rsid w:val="006C53F8"/>
    <w:rsid w:val="006C7CDE"/>
    <w:rsid w:val="006E287E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0E04"/>
    <w:rsid w:val="0080261F"/>
    <w:rsid w:val="00805A02"/>
    <w:rsid w:val="00806160"/>
    <w:rsid w:val="008143A4"/>
    <w:rsid w:val="0081513E"/>
    <w:rsid w:val="0083517B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5CE4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90A6E"/>
    <w:rsid w:val="009A009A"/>
    <w:rsid w:val="009A5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1C3"/>
    <w:rsid w:val="00A20FBC"/>
    <w:rsid w:val="00A31370"/>
    <w:rsid w:val="00A34D6F"/>
    <w:rsid w:val="00A41F91"/>
    <w:rsid w:val="00A63355"/>
    <w:rsid w:val="00A7596D"/>
    <w:rsid w:val="00A80EFE"/>
    <w:rsid w:val="00A877C0"/>
    <w:rsid w:val="00A963DF"/>
    <w:rsid w:val="00A96D3A"/>
    <w:rsid w:val="00AC0C22"/>
    <w:rsid w:val="00AC3896"/>
    <w:rsid w:val="00AD2CF2"/>
    <w:rsid w:val="00AD4DB7"/>
    <w:rsid w:val="00AE2D88"/>
    <w:rsid w:val="00AE6F6F"/>
    <w:rsid w:val="00AF3325"/>
    <w:rsid w:val="00AF34D9"/>
    <w:rsid w:val="00AF5B37"/>
    <w:rsid w:val="00AF70DA"/>
    <w:rsid w:val="00B019D3"/>
    <w:rsid w:val="00B062F4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D6738"/>
    <w:rsid w:val="00BD7E5E"/>
    <w:rsid w:val="00BE48C1"/>
    <w:rsid w:val="00BE63DB"/>
    <w:rsid w:val="00BE6574"/>
    <w:rsid w:val="00C07319"/>
    <w:rsid w:val="00C16FD2"/>
    <w:rsid w:val="00C4395E"/>
    <w:rsid w:val="00C47FFD"/>
    <w:rsid w:val="00C505A4"/>
    <w:rsid w:val="00C51E92"/>
    <w:rsid w:val="00C57E2C"/>
    <w:rsid w:val="00C608B7"/>
    <w:rsid w:val="00C66F24"/>
    <w:rsid w:val="00C71F77"/>
    <w:rsid w:val="00C72228"/>
    <w:rsid w:val="00C76D7F"/>
    <w:rsid w:val="00C813AA"/>
    <w:rsid w:val="00C814ED"/>
    <w:rsid w:val="00C8500E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6D2E"/>
    <w:rsid w:val="00D87E20"/>
    <w:rsid w:val="00D97EF5"/>
    <w:rsid w:val="00DA4037"/>
    <w:rsid w:val="00DC3A2A"/>
    <w:rsid w:val="00DE66A5"/>
    <w:rsid w:val="00DF2B50"/>
    <w:rsid w:val="00E01059"/>
    <w:rsid w:val="00E04C86"/>
    <w:rsid w:val="00E17344"/>
    <w:rsid w:val="00E20F30"/>
    <w:rsid w:val="00E2189C"/>
    <w:rsid w:val="00E25BB1"/>
    <w:rsid w:val="00E26A2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5360"/>
    <w:rsid w:val="00EB2358"/>
    <w:rsid w:val="00EB3EB8"/>
    <w:rsid w:val="00EC00EF"/>
    <w:rsid w:val="00EC02FE"/>
    <w:rsid w:val="00EC4A96"/>
    <w:rsid w:val="00EE03A0"/>
    <w:rsid w:val="00EF3513"/>
    <w:rsid w:val="00F167FB"/>
    <w:rsid w:val="00F41974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  <w:style w:type="paragraph" w:styleId="Revision">
    <w:name w:val="Revision"/>
    <w:hidden/>
    <w:uiPriority w:val="99"/>
    <w:semiHidden/>
    <w:rsid w:val="00BE48C1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395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2965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25</cp:revision>
  <cp:lastPrinted>2013-03-08T10:15:00Z</cp:lastPrinted>
  <dcterms:created xsi:type="dcterms:W3CDTF">2024-01-26T13:17:00Z</dcterms:created>
  <dcterms:modified xsi:type="dcterms:W3CDTF">2026-02-24T13:45:00Z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