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A02D6" w14:paraId="6582B6F4" w14:textId="77777777" w:rsidTr="004228FA">
        <w:trPr>
          <w:jc w:val="center"/>
        </w:trPr>
        <w:tc>
          <w:tcPr>
            <w:tcW w:w="9889" w:type="dxa"/>
            <w:gridSpan w:val="3"/>
          </w:tcPr>
          <w:p w14:paraId="3D80E37C" w14:textId="77777777" w:rsidR="00E53DCE" w:rsidRPr="00AA02D6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AA02D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AA02D6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AA02D6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AA02D6" w14:paraId="6C6B013F" w14:textId="77777777" w:rsidTr="004228FA">
        <w:trPr>
          <w:jc w:val="center"/>
        </w:trPr>
        <w:tc>
          <w:tcPr>
            <w:tcW w:w="7054" w:type="dxa"/>
            <w:gridSpan w:val="2"/>
          </w:tcPr>
          <w:p w14:paraId="62B189AD" w14:textId="77777777" w:rsidR="00E53DCE" w:rsidRPr="00AA02D6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AA02D6">
              <w:rPr>
                <w:szCs w:val="24"/>
                <w:lang w:val="fr-FR"/>
              </w:rPr>
              <w:t>Circulaire administrative</w:t>
            </w:r>
          </w:p>
          <w:p w14:paraId="4FFBA649" w14:textId="1C1AE3F4" w:rsidR="00E53DCE" w:rsidRPr="00AA02D6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AA02D6">
              <w:rPr>
                <w:b/>
                <w:bCs/>
                <w:szCs w:val="24"/>
                <w:lang w:val="fr-FR"/>
              </w:rPr>
              <w:t>CA</w:t>
            </w:r>
            <w:r w:rsidR="00F55652" w:rsidRPr="00AA02D6">
              <w:rPr>
                <w:b/>
                <w:bCs/>
                <w:szCs w:val="24"/>
                <w:lang w:val="fr-FR"/>
              </w:rPr>
              <w:t>CE</w:t>
            </w:r>
            <w:r w:rsidRPr="00AA02D6">
              <w:rPr>
                <w:b/>
                <w:bCs/>
                <w:szCs w:val="24"/>
                <w:lang w:val="fr-FR"/>
              </w:rPr>
              <w:t>/</w:t>
            </w:r>
            <w:r w:rsidR="00DB1729" w:rsidRPr="00AA02D6">
              <w:rPr>
                <w:b/>
                <w:bCs/>
                <w:szCs w:val="24"/>
                <w:lang w:val="fr-FR"/>
              </w:rPr>
              <w:t>1176</w:t>
            </w:r>
          </w:p>
        </w:tc>
        <w:tc>
          <w:tcPr>
            <w:tcW w:w="2835" w:type="dxa"/>
          </w:tcPr>
          <w:p w14:paraId="042722B4" w14:textId="46C2FD2F" w:rsidR="00E53DCE" w:rsidRPr="00AA02D6" w:rsidRDefault="00DB1729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AA02D6">
              <w:rPr>
                <w:rFonts w:cs="Arial"/>
                <w:szCs w:val="24"/>
                <w:lang w:val="fr-FR"/>
              </w:rPr>
              <w:t>25 février 2026</w:t>
            </w:r>
          </w:p>
        </w:tc>
      </w:tr>
      <w:tr w:rsidR="00E53DCE" w:rsidRPr="00AA02D6" w14:paraId="20EFD175" w14:textId="77777777" w:rsidTr="004228FA">
        <w:trPr>
          <w:jc w:val="center"/>
        </w:trPr>
        <w:tc>
          <w:tcPr>
            <w:tcW w:w="9889" w:type="dxa"/>
            <w:gridSpan w:val="3"/>
          </w:tcPr>
          <w:p w14:paraId="601BAE05" w14:textId="77777777" w:rsidR="00E53DCE" w:rsidRPr="00AA02D6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AA02D6" w14:paraId="4B5F8D28" w14:textId="77777777" w:rsidTr="004228FA">
        <w:trPr>
          <w:jc w:val="center"/>
        </w:trPr>
        <w:tc>
          <w:tcPr>
            <w:tcW w:w="9889" w:type="dxa"/>
            <w:gridSpan w:val="3"/>
          </w:tcPr>
          <w:p w14:paraId="2B432E9A" w14:textId="77777777" w:rsidR="00E53DCE" w:rsidRPr="00AA02D6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EC6162" w14:paraId="28BD9FB6" w14:textId="77777777" w:rsidTr="004228FA">
        <w:trPr>
          <w:jc w:val="center"/>
        </w:trPr>
        <w:tc>
          <w:tcPr>
            <w:tcW w:w="9889" w:type="dxa"/>
            <w:gridSpan w:val="3"/>
          </w:tcPr>
          <w:p w14:paraId="2BB70EC0" w14:textId="2AFE28DF" w:rsidR="00E53DCE" w:rsidRPr="00AA02D6" w:rsidRDefault="00EE1A57" w:rsidP="00344C4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A02D6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2D26CB" w:rsidRPr="00AA02D6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AA02D6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6F38C7" w:rsidRPr="00AA02D6">
              <w:rPr>
                <w:b/>
                <w:bCs/>
                <w:spacing w:val="-6"/>
                <w:szCs w:val="24"/>
                <w:lang w:val="fr-FR"/>
              </w:rPr>
              <w:t>,</w:t>
            </w:r>
            <w:r w:rsidR="006F38C7" w:rsidRPr="00AA02D6">
              <w:rPr>
                <w:b/>
                <w:spacing w:val="-6"/>
                <w:lang w:val="fr-FR"/>
              </w:rPr>
              <w:t xml:space="preserve"> aux Membres du Secteur des radiocommunications</w:t>
            </w:r>
            <w:r w:rsidR="006F38C7" w:rsidRPr="00AA02D6">
              <w:rPr>
                <w:b/>
                <w:lang w:val="fr-FR"/>
              </w:rPr>
              <w:t xml:space="preserve">, </w:t>
            </w:r>
            <w:r w:rsidR="006F38C7" w:rsidRPr="00AA02D6">
              <w:rPr>
                <w:b/>
                <w:bCs/>
                <w:lang w:val="fr-FR"/>
              </w:rPr>
              <w:t>aux</w:t>
            </w:r>
            <w:r w:rsidR="006F38C7" w:rsidRPr="00AA02D6">
              <w:rPr>
                <w:b/>
                <w:lang w:val="fr-FR"/>
              </w:rPr>
              <w:t xml:space="preserve"> </w:t>
            </w:r>
            <w:r w:rsidR="006F38C7" w:rsidRPr="00AA02D6">
              <w:rPr>
                <w:b/>
                <w:bCs/>
                <w:lang w:val="fr-FR"/>
              </w:rPr>
              <w:t>Associés de l'UIT</w:t>
            </w:r>
            <w:r w:rsidR="006F38C7" w:rsidRPr="00AA02D6">
              <w:rPr>
                <w:b/>
                <w:bCs/>
                <w:lang w:val="fr-FR"/>
              </w:rPr>
              <w:noBreakHyphen/>
              <w:t>R</w:t>
            </w:r>
            <w:r w:rsidR="006F38C7" w:rsidRPr="00AA02D6">
              <w:rPr>
                <w:b/>
                <w:lang w:val="fr-FR"/>
              </w:rPr>
              <w:t xml:space="preserve"> </w:t>
            </w:r>
            <w:r w:rsidR="00403C68" w:rsidRPr="00AA02D6">
              <w:rPr>
                <w:b/>
                <w:lang w:val="fr-FR"/>
              </w:rPr>
              <w:t xml:space="preserve">et aux établissements universitaires </w:t>
            </w:r>
            <w:r w:rsidR="006F38C7" w:rsidRPr="00AA02D6">
              <w:rPr>
                <w:b/>
                <w:lang w:val="fr-FR"/>
              </w:rPr>
              <w:t xml:space="preserve">participant aux travaux </w:t>
            </w:r>
            <w:r w:rsidR="00344C45" w:rsidRPr="00AA02D6">
              <w:rPr>
                <w:b/>
                <w:lang w:val="fr-FR"/>
              </w:rPr>
              <w:t xml:space="preserve">de l'UIT qui prennent part aux travaux </w:t>
            </w:r>
            <w:r w:rsidR="006F38C7" w:rsidRPr="00AA02D6">
              <w:rPr>
                <w:b/>
                <w:lang w:val="fr-FR"/>
              </w:rPr>
              <w:t>de la Commission d'études </w:t>
            </w:r>
            <w:r w:rsidR="00DB1729" w:rsidRPr="00AA02D6">
              <w:rPr>
                <w:b/>
                <w:lang w:val="fr-FR"/>
              </w:rPr>
              <w:t>5</w:t>
            </w:r>
            <w:r w:rsidR="006F38C7" w:rsidRPr="00AA02D6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EC6162" w14:paraId="0830D35D" w14:textId="77777777" w:rsidTr="004228FA">
        <w:trPr>
          <w:jc w:val="center"/>
        </w:trPr>
        <w:tc>
          <w:tcPr>
            <w:tcW w:w="9889" w:type="dxa"/>
            <w:gridSpan w:val="3"/>
          </w:tcPr>
          <w:p w14:paraId="0DA4D94B" w14:textId="77777777" w:rsidR="00E53DCE" w:rsidRPr="00AA02D6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EC6162" w14:paraId="4E2FA83A" w14:textId="77777777" w:rsidTr="004228FA">
        <w:trPr>
          <w:jc w:val="center"/>
        </w:trPr>
        <w:tc>
          <w:tcPr>
            <w:tcW w:w="9889" w:type="dxa"/>
            <w:gridSpan w:val="3"/>
          </w:tcPr>
          <w:p w14:paraId="54294457" w14:textId="77777777" w:rsidR="00E53DCE" w:rsidRPr="00AA02D6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EC6162" w14:paraId="6D996C95" w14:textId="77777777" w:rsidTr="004228FA">
        <w:trPr>
          <w:jc w:val="center"/>
        </w:trPr>
        <w:tc>
          <w:tcPr>
            <w:tcW w:w="1526" w:type="dxa"/>
          </w:tcPr>
          <w:p w14:paraId="1555A51F" w14:textId="77777777" w:rsidR="00E53DCE" w:rsidRPr="00AA02D6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AA02D6">
              <w:rPr>
                <w:lang w:val="fr-FR"/>
              </w:rPr>
              <w:t>Objet</w:t>
            </w:r>
            <w:r w:rsidR="00E53DCE" w:rsidRPr="00AA02D6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11AC46E5" w14:textId="74BBB3D1" w:rsidR="00E53DCE" w:rsidRPr="00AA02D6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lang w:val="fr-FR"/>
              </w:rPr>
            </w:pPr>
            <w:r w:rsidRPr="00AA02D6">
              <w:rPr>
                <w:b/>
                <w:bCs/>
                <w:lang w:val="fr-FR"/>
              </w:rPr>
              <w:t xml:space="preserve">Commission d'études </w:t>
            </w:r>
            <w:r w:rsidR="00DB1729" w:rsidRPr="00AA02D6">
              <w:rPr>
                <w:b/>
                <w:bCs/>
                <w:lang w:val="fr-FR"/>
              </w:rPr>
              <w:t>5</w:t>
            </w:r>
            <w:r w:rsidRPr="00AA02D6">
              <w:rPr>
                <w:b/>
                <w:bCs/>
                <w:lang w:val="fr-FR"/>
              </w:rPr>
              <w:t xml:space="preserve"> des radiocommunications </w:t>
            </w:r>
            <w:r w:rsidR="00DB1729" w:rsidRPr="00AA02D6">
              <w:rPr>
                <w:b/>
                <w:bCs/>
                <w:lang w:val="fr-FR"/>
              </w:rPr>
              <w:t>(Services par satellite)</w:t>
            </w:r>
          </w:p>
          <w:p w14:paraId="3F1A436C" w14:textId="702A92C2" w:rsidR="006F38C7" w:rsidRPr="00AA02D6" w:rsidRDefault="006F38C7" w:rsidP="006058F5">
            <w:pPr>
              <w:pStyle w:val="enumlev1"/>
              <w:jc w:val="left"/>
              <w:rPr>
                <w:szCs w:val="24"/>
                <w:lang w:val="fr-FR"/>
              </w:rPr>
            </w:pPr>
            <w:r w:rsidRPr="00AA02D6">
              <w:rPr>
                <w:b/>
                <w:bCs/>
                <w:lang w:val="fr-FR"/>
              </w:rPr>
              <w:t>–</w:t>
            </w:r>
            <w:r w:rsidRPr="00AA02D6">
              <w:rPr>
                <w:b/>
                <w:bCs/>
                <w:lang w:val="fr-FR"/>
              </w:rPr>
              <w:tab/>
              <w:t>Adoption d</w:t>
            </w:r>
            <w:r w:rsidR="00DB1729" w:rsidRPr="00AA02D6">
              <w:rPr>
                <w:b/>
                <w:bCs/>
                <w:lang w:val="fr-FR"/>
              </w:rPr>
              <w:t>’une</w:t>
            </w:r>
            <w:r w:rsidRPr="00AA02D6">
              <w:rPr>
                <w:b/>
                <w:bCs/>
                <w:lang w:val="fr-FR"/>
              </w:rPr>
              <w:t xml:space="preserve"> nouvelle </w:t>
            </w:r>
            <w:r w:rsidR="00BA1149" w:rsidRPr="00AA02D6">
              <w:rPr>
                <w:b/>
                <w:bCs/>
                <w:lang w:val="fr-FR"/>
              </w:rPr>
              <w:t>Recommandation</w:t>
            </w:r>
            <w:r w:rsidRPr="00AA02D6">
              <w:rPr>
                <w:b/>
                <w:bCs/>
                <w:lang w:val="fr-FR"/>
              </w:rPr>
              <w:t xml:space="preserve"> UIT-R et de</w:t>
            </w:r>
            <w:r w:rsidR="004D15B0" w:rsidRPr="00AA02D6">
              <w:rPr>
                <w:b/>
                <w:bCs/>
                <w:lang w:val="fr-FR"/>
              </w:rPr>
              <w:t> </w:t>
            </w:r>
            <w:r w:rsidR="006058F5" w:rsidRPr="00AA02D6">
              <w:rPr>
                <w:b/>
                <w:bCs/>
                <w:lang w:val="fr-FR"/>
              </w:rPr>
              <w:t>7</w:t>
            </w:r>
            <w:r w:rsidR="004D15B0" w:rsidRPr="00AA02D6">
              <w:rPr>
                <w:b/>
                <w:bCs/>
                <w:lang w:val="fr-FR"/>
              </w:rPr>
              <w:t> </w:t>
            </w:r>
            <w:r w:rsidR="00BA1149" w:rsidRPr="00AA02D6">
              <w:rPr>
                <w:b/>
                <w:bCs/>
                <w:lang w:val="fr-FR"/>
              </w:rPr>
              <w:t>Recommandation</w:t>
            </w:r>
            <w:r w:rsidRPr="00AA02D6">
              <w:rPr>
                <w:b/>
                <w:bCs/>
                <w:lang w:val="fr-FR"/>
              </w:rPr>
              <w:t xml:space="preserve">s UIT-R révisées </w:t>
            </w:r>
            <w:r w:rsidR="003708BF" w:rsidRPr="00AA02D6">
              <w:rPr>
                <w:b/>
                <w:bCs/>
                <w:lang w:val="fr-FR"/>
              </w:rPr>
              <w:t xml:space="preserve">et approbation simultanée </w:t>
            </w:r>
            <w:r w:rsidRPr="00AA02D6">
              <w:rPr>
                <w:b/>
                <w:bCs/>
                <w:lang w:val="fr-FR"/>
              </w:rPr>
              <w:t>par</w:t>
            </w:r>
            <w:r w:rsidR="004D15B0" w:rsidRPr="00AA02D6">
              <w:rPr>
                <w:b/>
                <w:bCs/>
                <w:lang w:val="fr-FR"/>
              </w:rPr>
              <w:t> </w:t>
            </w:r>
            <w:r w:rsidRPr="00AA02D6">
              <w:rPr>
                <w:b/>
                <w:bCs/>
                <w:lang w:val="fr-FR"/>
              </w:rPr>
              <w:t xml:space="preserve">correspondance </w:t>
            </w:r>
            <w:r w:rsidR="003708BF" w:rsidRPr="00AA02D6">
              <w:rPr>
                <w:b/>
                <w:bCs/>
                <w:lang w:val="fr-FR"/>
              </w:rPr>
              <w:t>de ces textes</w:t>
            </w:r>
            <w:r w:rsidRPr="00AA02D6">
              <w:rPr>
                <w:b/>
                <w:bCs/>
                <w:lang w:val="fr-FR"/>
              </w:rPr>
              <w:t>, conformément au § A2.6.2.4 de la Résolution UIT</w:t>
            </w:r>
            <w:r w:rsidRPr="00AA02D6">
              <w:rPr>
                <w:b/>
                <w:bCs/>
                <w:lang w:val="fr-FR"/>
              </w:rPr>
              <w:noBreakHyphen/>
              <w:t>R 1</w:t>
            </w:r>
            <w:r w:rsidRPr="00AA02D6">
              <w:rPr>
                <w:b/>
                <w:bCs/>
                <w:lang w:val="fr-FR"/>
              </w:rPr>
              <w:noBreakHyphen/>
            </w:r>
            <w:r w:rsidR="00403C68" w:rsidRPr="00AA02D6">
              <w:rPr>
                <w:b/>
                <w:bCs/>
                <w:lang w:val="fr-FR"/>
              </w:rPr>
              <w:t>9</w:t>
            </w:r>
            <w:r w:rsidRPr="00AA02D6">
              <w:rPr>
                <w:b/>
                <w:bCs/>
                <w:lang w:val="fr-FR"/>
              </w:rPr>
              <w:t xml:space="preserve"> (Procédure d'adoption et d'approbation simultanées par correspondance)</w:t>
            </w:r>
          </w:p>
        </w:tc>
      </w:tr>
      <w:tr w:rsidR="00E53DCE" w:rsidRPr="00EC6162" w14:paraId="07AF25B5" w14:textId="77777777" w:rsidTr="004228FA">
        <w:trPr>
          <w:jc w:val="center"/>
        </w:trPr>
        <w:tc>
          <w:tcPr>
            <w:tcW w:w="1526" w:type="dxa"/>
          </w:tcPr>
          <w:p w14:paraId="31E794FA" w14:textId="77777777" w:rsidR="00E53DCE" w:rsidRPr="00AA02D6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C4B169C" w14:textId="77777777" w:rsidR="00E53DCE" w:rsidRPr="00AA02D6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C6162" w14:paraId="5CE60B43" w14:textId="77777777" w:rsidTr="004228FA">
        <w:trPr>
          <w:jc w:val="center"/>
        </w:trPr>
        <w:tc>
          <w:tcPr>
            <w:tcW w:w="1526" w:type="dxa"/>
          </w:tcPr>
          <w:p w14:paraId="65464BB8" w14:textId="77777777" w:rsidR="00E53DCE" w:rsidRPr="00AA02D6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4D3D02C" w14:textId="77777777" w:rsidR="00E53DCE" w:rsidRPr="00AA02D6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C6162" w14:paraId="57D9E0C4" w14:textId="77777777" w:rsidTr="004228FA">
        <w:trPr>
          <w:jc w:val="center"/>
        </w:trPr>
        <w:tc>
          <w:tcPr>
            <w:tcW w:w="9889" w:type="dxa"/>
            <w:gridSpan w:val="3"/>
          </w:tcPr>
          <w:p w14:paraId="004AFD09" w14:textId="77777777" w:rsidR="00E53DCE" w:rsidRPr="00AA02D6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2AAE86E4" w:rsidR="006F38C7" w:rsidRPr="00AA02D6" w:rsidRDefault="006F38C7" w:rsidP="00407D21">
      <w:pPr>
        <w:spacing w:before="360" w:line="240" w:lineRule="auto"/>
        <w:rPr>
          <w:lang w:val="fr-FR"/>
        </w:rPr>
      </w:pPr>
      <w:r w:rsidRPr="00AA02D6">
        <w:rPr>
          <w:lang w:val="fr-FR"/>
        </w:rPr>
        <w:t xml:space="preserve">Dans la </w:t>
      </w:r>
      <w:r w:rsidR="00661E93" w:rsidRPr="00AA02D6">
        <w:rPr>
          <w:lang w:val="fr-FR"/>
        </w:rPr>
        <w:t xml:space="preserve">Circulaire </w:t>
      </w:r>
      <w:r w:rsidRPr="00AA02D6">
        <w:rPr>
          <w:lang w:val="fr-FR"/>
        </w:rPr>
        <w:t xml:space="preserve">administrative </w:t>
      </w:r>
      <w:hyperlink r:id="rId8" w:history="1">
        <w:r w:rsidRPr="00AA02D6">
          <w:rPr>
            <w:rStyle w:val="Hyperlink"/>
            <w:lang w:val="fr-FR"/>
          </w:rPr>
          <w:t>CACE/</w:t>
        </w:r>
      </w:hyperlink>
      <w:hyperlink r:id="rId9" w:history="1">
        <w:r w:rsidR="006058F5" w:rsidRPr="00AA02D6">
          <w:rPr>
            <w:rStyle w:val="Hyperlink"/>
            <w:lang w:val="fr-FR"/>
          </w:rPr>
          <w:t>11</w:t>
        </w:r>
        <w:r w:rsidR="00EC6162">
          <w:rPr>
            <w:rStyle w:val="Hyperlink"/>
            <w:lang w:val="fr-FR"/>
          </w:rPr>
          <w:t>68</w:t>
        </w:r>
      </w:hyperlink>
      <w:r w:rsidRPr="00AA02D6">
        <w:rPr>
          <w:lang w:val="fr-FR"/>
        </w:rPr>
        <w:t xml:space="preserve"> datée du </w:t>
      </w:r>
      <w:r w:rsidR="00027AFF" w:rsidRPr="00AA02D6">
        <w:rPr>
          <w:lang w:val="fr-FR"/>
        </w:rPr>
        <w:t>19</w:t>
      </w:r>
      <w:r w:rsidR="006058F5" w:rsidRPr="00AA02D6">
        <w:rPr>
          <w:lang w:val="fr-FR"/>
        </w:rPr>
        <w:t xml:space="preserve"> décembre 2025</w:t>
      </w:r>
      <w:r w:rsidRPr="00AA02D6">
        <w:rPr>
          <w:lang w:val="fr-FR"/>
        </w:rPr>
        <w:t xml:space="preserve">, </w:t>
      </w:r>
      <w:r w:rsidR="006058F5" w:rsidRPr="00AA02D6">
        <w:rPr>
          <w:lang w:val="fr-FR"/>
        </w:rPr>
        <w:t>un</w:t>
      </w:r>
      <w:r w:rsidRPr="00AA02D6">
        <w:rPr>
          <w:lang w:val="fr-FR"/>
        </w:rPr>
        <w:t xml:space="preserve"> projet de nouvelle </w:t>
      </w:r>
      <w:r w:rsidR="005803FE" w:rsidRPr="00AA02D6">
        <w:rPr>
          <w:lang w:val="fr-FR"/>
        </w:rPr>
        <w:t xml:space="preserve">Recommandation </w:t>
      </w:r>
      <w:r w:rsidRPr="00AA02D6">
        <w:rPr>
          <w:lang w:val="fr-FR"/>
        </w:rPr>
        <w:t>UIT</w:t>
      </w:r>
      <w:r w:rsidRPr="00AA02D6">
        <w:rPr>
          <w:lang w:val="fr-FR"/>
        </w:rPr>
        <w:noBreakHyphen/>
        <w:t xml:space="preserve">R et </w:t>
      </w:r>
      <w:r w:rsidR="006058F5" w:rsidRPr="00AA02D6">
        <w:rPr>
          <w:lang w:val="fr-FR"/>
        </w:rPr>
        <w:t>7</w:t>
      </w:r>
      <w:r w:rsidRPr="00AA02D6">
        <w:rPr>
          <w:lang w:val="fr-FR"/>
        </w:rPr>
        <w:t xml:space="preserve"> projets de </w:t>
      </w:r>
      <w:r w:rsidR="00BA1149" w:rsidRPr="00AA02D6">
        <w:rPr>
          <w:lang w:val="fr-FR"/>
        </w:rPr>
        <w:t xml:space="preserve">Recommandation </w:t>
      </w:r>
      <w:r w:rsidRPr="00AA02D6">
        <w:rPr>
          <w:lang w:val="fr-FR"/>
        </w:rPr>
        <w:t>UIT</w:t>
      </w:r>
      <w:r w:rsidRPr="00AA02D6">
        <w:rPr>
          <w:lang w:val="fr-FR"/>
        </w:rPr>
        <w:noBreakHyphen/>
        <w:t>R révisée ont été soumis pour adoption et approbation simultanées par correspondance (PAAS), conformément à la procédure prévue dans</w:t>
      </w:r>
      <w:r w:rsidR="00743BD5" w:rsidRPr="00AA02D6">
        <w:rPr>
          <w:lang w:val="fr-FR"/>
        </w:rPr>
        <w:t xml:space="preserve"> </w:t>
      </w:r>
      <w:r w:rsidRPr="00AA02D6">
        <w:rPr>
          <w:lang w:val="fr-FR"/>
        </w:rPr>
        <w:t>la</w:t>
      </w:r>
      <w:r w:rsidR="00743BD5" w:rsidRPr="00AA02D6">
        <w:rPr>
          <w:lang w:val="fr-FR"/>
        </w:rPr>
        <w:t xml:space="preserve"> </w:t>
      </w:r>
      <w:r w:rsidRPr="00AA02D6">
        <w:rPr>
          <w:lang w:val="fr-FR"/>
        </w:rPr>
        <w:t>Résolution UIT</w:t>
      </w:r>
      <w:r w:rsidRPr="00AA02D6">
        <w:rPr>
          <w:lang w:val="fr-FR"/>
        </w:rPr>
        <w:noBreakHyphen/>
        <w:t>R</w:t>
      </w:r>
      <w:r w:rsidR="00743BD5" w:rsidRPr="00AA02D6">
        <w:rPr>
          <w:lang w:val="fr-FR"/>
        </w:rPr>
        <w:t xml:space="preserve"> </w:t>
      </w:r>
      <w:r w:rsidRPr="00AA02D6">
        <w:rPr>
          <w:lang w:val="fr-FR"/>
        </w:rPr>
        <w:t>1-</w:t>
      </w:r>
      <w:r w:rsidR="00403C68" w:rsidRPr="00AA02D6">
        <w:rPr>
          <w:lang w:val="fr-FR"/>
        </w:rPr>
        <w:t>9</w:t>
      </w:r>
      <w:r w:rsidRPr="00AA02D6">
        <w:rPr>
          <w:lang w:val="fr-FR"/>
        </w:rPr>
        <w:t xml:space="preserve"> (§</w:t>
      </w:r>
      <w:r w:rsidR="00743BD5" w:rsidRPr="00AA02D6">
        <w:rPr>
          <w:lang w:val="fr-FR"/>
        </w:rPr>
        <w:t xml:space="preserve"> </w:t>
      </w:r>
      <w:r w:rsidRPr="00AA02D6">
        <w:rPr>
          <w:lang w:val="fr-FR"/>
        </w:rPr>
        <w:t xml:space="preserve">A2.6.2.4). </w:t>
      </w:r>
    </w:p>
    <w:p w14:paraId="31E1BFD7" w14:textId="42468427" w:rsidR="006F38C7" w:rsidRPr="00AA02D6" w:rsidRDefault="006F38C7" w:rsidP="00407D21">
      <w:pPr>
        <w:spacing w:line="240" w:lineRule="auto"/>
        <w:rPr>
          <w:lang w:val="fr-FR"/>
        </w:rPr>
      </w:pPr>
      <w:r w:rsidRPr="00AA02D6">
        <w:rPr>
          <w:lang w:val="fr-FR"/>
        </w:rPr>
        <w:t xml:space="preserve">Les conditions régissant cette procédure ont été satisfaites </w:t>
      </w:r>
      <w:r w:rsidR="00EF54EB" w:rsidRPr="00AA02D6">
        <w:rPr>
          <w:lang w:val="fr-FR"/>
        </w:rPr>
        <w:t xml:space="preserve">le </w:t>
      </w:r>
      <w:r w:rsidR="00027AFF" w:rsidRPr="00AA02D6">
        <w:rPr>
          <w:lang w:val="fr-FR"/>
        </w:rPr>
        <w:t>19</w:t>
      </w:r>
      <w:r w:rsidR="006058F5" w:rsidRPr="00AA02D6">
        <w:rPr>
          <w:lang w:val="fr-FR"/>
        </w:rPr>
        <w:t xml:space="preserve"> février 2026.</w:t>
      </w:r>
    </w:p>
    <w:p w14:paraId="3C896EBA" w14:textId="264B7343" w:rsidR="006F38C7" w:rsidRPr="00AA02D6" w:rsidRDefault="006F38C7" w:rsidP="00407D21">
      <w:pPr>
        <w:spacing w:line="240" w:lineRule="auto"/>
        <w:rPr>
          <w:lang w:val="fr-FR"/>
        </w:rPr>
      </w:pPr>
      <w:r w:rsidRPr="00AA02D6">
        <w:rPr>
          <w:lang w:val="fr-FR"/>
        </w:rPr>
        <w:t xml:space="preserve">Les </w:t>
      </w:r>
      <w:r w:rsidR="00BA1149" w:rsidRPr="00AA02D6">
        <w:rPr>
          <w:lang w:val="fr-FR"/>
        </w:rPr>
        <w:t>Recommandation</w:t>
      </w:r>
      <w:r w:rsidR="006058F5" w:rsidRPr="00AA02D6">
        <w:rPr>
          <w:lang w:val="fr-FR"/>
        </w:rPr>
        <w:t>s</w:t>
      </w:r>
      <w:r w:rsidRPr="00AA02D6">
        <w:rPr>
          <w:lang w:val="fr-FR"/>
        </w:rPr>
        <w:t xml:space="preserve"> approuvées seront publiées par l'UIT et vous trouverez dans l'Annexe</w:t>
      </w:r>
      <w:r w:rsidR="00743BD5" w:rsidRPr="00AA02D6">
        <w:rPr>
          <w:lang w:val="fr-FR"/>
        </w:rPr>
        <w:t> </w:t>
      </w:r>
      <w:r w:rsidRPr="00AA02D6">
        <w:rPr>
          <w:lang w:val="fr-FR"/>
        </w:rPr>
        <w:t>de la</w:t>
      </w:r>
      <w:r w:rsidR="00743BD5" w:rsidRPr="00AA02D6">
        <w:rPr>
          <w:lang w:val="fr-FR"/>
        </w:rPr>
        <w:t xml:space="preserve"> </w:t>
      </w:r>
      <w:r w:rsidRPr="00AA02D6">
        <w:rPr>
          <w:lang w:val="fr-FR"/>
        </w:rPr>
        <w:t>présente Circulaire leur</w:t>
      </w:r>
      <w:r w:rsidR="00112DC9" w:rsidRPr="00AA02D6">
        <w:rPr>
          <w:lang w:val="fr-FR"/>
        </w:rPr>
        <w:t>s</w:t>
      </w:r>
      <w:r w:rsidRPr="00AA02D6">
        <w:rPr>
          <w:lang w:val="fr-FR"/>
        </w:rPr>
        <w:t xml:space="preserve"> titre</w:t>
      </w:r>
      <w:r w:rsidR="00112DC9" w:rsidRPr="00AA02D6">
        <w:rPr>
          <w:lang w:val="fr-FR"/>
        </w:rPr>
        <w:t>s</w:t>
      </w:r>
      <w:r w:rsidRPr="00AA02D6">
        <w:rPr>
          <w:lang w:val="fr-FR"/>
        </w:rPr>
        <w:t xml:space="preserve"> ainsi que les numéros qui leur</w:t>
      </w:r>
      <w:r w:rsidR="006D2C3B" w:rsidRPr="00AA02D6">
        <w:rPr>
          <w:lang w:val="fr-FR"/>
        </w:rPr>
        <w:t xml:space="preserve"> </w:t>
      </w:r>
      <w:r w:rsidRPr="00AA02D6">
        <w:rPr>
          <w:lang w:val="fr-FR"/>
        </w:rPr>
        <w:t xml:space="preserve">ont été attribués. </w:t>
      </w:r>
    </w:p>
    <w:p w14:paraId="12D1B3F6" w14:textId="27E9EA8B" w:rsidR="002569F7" w:rsidRPr="00AA02D6" w:rsidRDefault="00112DC9" w:rsidP="00963B58">
      <w:pPr>
        <w:spacing w:before="1200" w:line="240" w:lineRule="auto"/>
        <w:jc w:val="left"/>
        <w:rPr>
          <w:lang w:val="fr-FR"/>
        </w:rPr>
      </w:pPr>
      <w:bookmarkStart w:id="0" w:name="_Hlk31619345"/>
      <w:r w:rsidRPr="00AA02D6">
        <w:rPr>
          <w:szCs w:val="24"/>
          <w:lang w:val="fr-FR"/>
        </w:rPr>
        <w:t>Mario Maniewicz</w:t>
      </w:r>
      <w:r w:rsidR="00E80E61" w:rsidRPr="00AA02D6">
        <w:rPr>
          <w:lang w:val="fr-FR"/>
        </w:rPr>
        <w:br/>
        <w:t>Directeur</w:t>
      </w:r>
    </w:p>
    <w:bookmarkEnd w:id="0"/>
    <w:p w14:paraId="11F193A6" w14:textId="4B0AD1B9" w:rsidR="006F38C7" w:rsidRPr="00AA02D6" w:rsidRDefault="006F38C7" w:rsidP="006058F5">
      <w:pPr>
        <w:keepNext/>
        <w:keepLines/>
        <w:tabs>
          <w:tab w:val="center" w:pos="7939"/>
          <w:tab w:val="right" w:pos="8505"/>
        </w:tabs>
        <w:spacing w:before="2760" w:line="240" w:lineRule="auto"/>
        <w:jc w:val="left"/>
        <w:rPr>
          <w:lang w:val="fr-FR"/>
        </w:rPr>
      </w:pPr>
      <w:proofErr w:type="gramStart"/>
      <w:r w:rsidRPr="00AA02D6">
        <w:rPr>
          <w:b/>
          <w:lang w:val="fr-FR"/>
        </w:rPr>
        <w:t>Annexe</w:t>
      </w:r>
      <w:r w:rsidRPr="00AA02D6">
        <w:rPr>
          <w:bCs/>
          <w:lang w:val="fr-FR"/>
        </w:rPr>
        <w:t>:</w:t>
      </w:r>
      <w:proofErr w:type="gramEnd"/>
      <w:r w:rsidR="00743BD5" w:rsidRPr="00AA02D6">
        <w:rPr>
          <w:lang w:val="fr-FR"/>
        </w:rPr>
        <w:tab/>
      </w:r>
      <w:r w:rsidR="006058F5" w:rsidRPr="00AA02D6">
        <w:rPr>
          <w:lang w:val="fr-FR"/>
        </w:rPr>
        <w:t>1</w:t>
      </w:r>
    </w:p>
    <w:p w14:paraId="276E8972" w14:textId="77777777" w:rsidR="00112DC9" w:rsidRPr="00AA02D6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AA02D6">
        <w:rPr>
          <w:rFonts w:asciiTheme="minorHAnsi" w:hAnsiTheme="minorHAnsi"/>
          <w:lang w:val="fr-FR"/>
        </w:rPr>
        <w:br w:type="page"/>
      </w:r>
    </w:p>
    <w:p w14:paraId="0685BEAE" w14:textId="5B6DCCD0" w:rsidR="006F38C7" w:rsidRPr="00AA02D6" w:rsidRDefault="006F38C7" w:rsidP="00963B58">
      <w:pPr>
        <w:pStyle w:val="AnnexNotitle0"/>
        <w:spacing w:before="720" w:after="720" w:line="280" w:lineRule="exact"/>
        <w:rPr>
          <w:rFonts w:asciiTheme="minorHAnsi" w:hAnsiTheme="minorHAnsi"/>
          <w:lang w:val="fr-FR"/>
        </w:rPr>
      </w:pPr>
      <w:r w:rsidRPr="00AA02D6">
        <w:rPr>
          <w:rFonts w:asciiTheme="minorHAnsi" w:hAnsiTheme="minorHAnsi"/>
          <w:lang w:val="fr-FR"/>
        </w:rPr>
        <w:lastRenderedPageBreak/>
        <w:t>Annexe</w:t>
      </w:r>
      <w:r w:rsidRPr="00AA02D6">
        <w:rPr>
          <w:rFonts w:asciiTheme="minorHAnsi" w:hAnsiTheme="minorHAnsi"/>
          <w:lang w:val="fr-FR"/>
        </w:rPr>
        <w:br/>
      </w:r>
      <w:r w:rsidRPr="00AA02D6">
        <w:rPr>
          <w:rFonts w:asciiTheme="minorHAnsi" w:hAnsiTheme="minorHAnsi"/>
          <w:lang w:val="fr-FR"/>
        </w:rPr>
        <w:br/>
        <w:t xml:space="preserve">Titres des </w:t>
      </w:r>
      <w:r w:rsidR="00BA1149" w:rsidRPr="00AA02D6">
        <w:rPr>
          <w:rFonts w:asciiTheme="minorHAnsi" w:hAnsiTheme="minorHAnsi"/>
          <w:lang w:val="fr-FR"/>
        </w:rPr>
        <w:t>Recommandation</w:t>
      </w:r>
      <w:r w:rsidRPr="00AA02D6">
        <w:rPr>
          <w:rFonts w:asciiTheme="minorHAnsi" w:hAnsiTheme="minorHAnsi"/>
          <w:lang w:val="fr-FR"/>
        </w:rPr>
        <w:t>s</w:t>
      </w:r>
      <w:r w:rsidRPr="00AA02D6">
        <w:rPr>
          <w:rFonts w:asciiTheme="minorHAnsi" w:hAnsiTheme="minorHAnsi"/>
          <w:bCs/>
          <w:lang w:val="fr-FR"/>
        </w:rPr>
        <w:t xml:space="preserve"> UIT</w:t>
      </w:r>
      <w:r w:rsidRPr="00AA02D6">
        <w:rPr>
          <w:rFonts w:asciiTheme="minorHAnsi" w:hAnsiTheme="minorHAnsi"/>
          <w:bCs/>
          <w:lang w:val="fr-FR"/>
        </w:rPr>
        <w:noBreakHyphen/>
        <w:t>R</w:t>
      </w:r>
      <w:r w:rsidRPr="00AA02D6">
        <w:rPr>
          <w:rFonts w:asciiTheme="minorHAnsi" w:hAnsiTheme="minorHAnsi"/>
          <w:lang w:val="fr-FR"/>
        </w:rPr>
        <w:t xml:space="preserve"> approuvées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954"/>
        <w:gridCol w:w="1701"/>
      </w:tblGrid>
      <w:tr w:rsidR="00112DC9" w:rsidRPr="00AA02D6" w14:paraId="1D0140EE" w14:textId="77777777" w:rsidTr="00CA0EF5">
        <w:trPr>
          <w:jc w:val="center"/>
        </w:trPr>
        <w:tc>
          <w:tcPr>
            <w:tcW w:w="1838" w:type="dxa"/>
            <w:vAlign w:val="center"/>
          </w:tcPr>
          <w:p w14:paraId="1FC83567" w14:textId="5F10509E" w:rsidR="00112DC9" w:rsidRPr="00AA02D6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1" w:name="_Hlk31619436"/>
            <w:r w:rsidRPr="00AA02D6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AA02D6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954" w:type="dxa"/>
            <w:vAlign w:val="center"/>
          </w:tcPr>
          <w:p w14:paraId="5EB585FC" w14:textId="4523604A" w:rsidR="00112DC9" w:rsidRPr="00CA0EF5" w:rsidRDefault="00112DC9" w:rsidP="00661E93">
            <w:pPr>
              <w:pStyle w:val="Tablehead"/>
              <w:rPr>
                <w:rFonts w:asciiTheme="minorHAnsi" w:hAnsiTheme="minorHAnsi" w:cstheme="minorHAnsi"/>
                <w:b w:val="0"/>
                <w:lang w:val="fr-FR"/>
              </w:rPr>
            </w:pPr>
            <w:r w:rsidRPr="00CA0EF5">
              <w:rPr>
                <w:rFonts w:asciiTheme="minorHAnsi" w:hAnsiTheme="minorHAnsi" w:cstheme="minorHAnsi"/>
                <w:b w:val="0"/>
                <w:lang w:val="fr-FR"/>
              </w:rPr>
              <w:t>Titre</w:t>
            </w:r>
          </w:p>
        </w:tc>
        <w:tc>
          <w:tcPr>
            <w:tcW w:w="1701" w:type="dxa"/>
            <w:vAlign w:val="center"/>
          </w:tcPr>
          <w:p w14:paraId="74E1FF04" w14:textId="2E3DFA00" w:rsidR="00112DC9" w:rsidRPr="00AA02D6" w:rsidRDefault="00112DC9" w:rsidP="00661E9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AA02D6">
              <w:rPr>
                <w:rFonts w:asciiTheme="minorHAnsi" w:hAnsiTheme="minorHAnsi" w:cstheme="minorHAnsi"/>
                <w:bCs/>
                <w:lang w:val="fr-FR"/>
              </w:rPr>
              <w:t>Doc</w:t>
            </w:r>
            <w:r w:rsidR="00403C68" w:rsidRPr="00AA02D6">
              <w:rPr>
                <w:rFonts w:asciiTheme="minorHAnsi" w:hAnsiTheme="minorHAnsi" w:cstheme="minorHAnsi"/>
                <w:bCs/>
                <w:lang w:val="fr-FR"/>
              </w:rPr>
              <w:t>ument</w:t>
            </w:r>
          </w:p>
        </w:tc>
      </w:tr>
      <w:tr w:rsidR="006058F5" w:rsidRPr="00AA02D6" w14:paraId="708E5FE2" w14:textId="77777777" w:rsidTr="00CA0EF5">
        <w:trPr>
          <w:jc w:val="center"/>
        </w:trPr>
        <w:tc>
          <w:tcPr>
            <w:tcW w:w="1838" w:type="dxa"/>
            <w:vAlign w:val="center"/>
          </w:tcPr>
          <w:p w14:paraId="5424A355" w14:textId="5FE5CC45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en-GB"/>
              </w:rPr>
              <w:t>M.2176-0</w:t>
            </w:r>
          </w:p>
        </w:tc>
        <w:tc>
          <w:tcPr>
            <w:tcW w:w="5954" w:type="dxa"/>
            <w:vAlign w:val="center"/>
          </w:tcPr>
          <w:p w14:paraId="1C9AC88D" w14:textId="69377B25" w:rsidR="006058F5" w:rsidRPr="00CA0EF5" w:rsidRDefault="00AA02D6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Caractéristiques et critères de protection des systèmes de liaison de données en ondes métriques en mode 2 normalisés de l'Organisation de l'aviation civile internationale fonctionnant dans le service mobile aéronautique (le long des routes) dans la bande de fréquences 136</w:t>
            </w:r>
            <w:r w:rsidR="00CA0EF5">
              <w:rPr>
                <w:rFonts w:asciiTheme="minorHAnsi" w:hAnsiTheme="minorHAnsi" w:cstheme="minorHAnsi"/>
                <w:lang w:val="fr-FR"/>
              </w:rPr>
              <w:noBreakHyphen/>
            </w:r>
            <w:r w:rsidRPr="00AA02D6">
              <w:rPr>
                <w:rFonts w:asciiTheme="minorHAnsi" w:hAnsiTheme="minorHAnsi" w:cstheme="minorHAnsi"/>
                <w:lang w:val="fr-FR"/>
              </w:rPr>
              <w:t>137 MHz</w:t>
            </w:r>
          </w:p>
        </w:tc>
        <w:tc>
          <w:tcPr>
            <w:tcW w:w="1701" w:type="dxa"/>
            <w:vAlign w:val="center"/>
          </w:tcPr>
          <w:p w14:paraId="790C8670" w14:textId="00FDB200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lang w:val="en-GB"/>
              </w:rPr>
              <w:t>5/103(Rév.1)</w:t>
            </w:r>
          </w:p>
        </w:tc>
      </w:tr>
      <w:tr w:rsidR="006058F5" w:rsidRPr="00AA02D6" w14:paraId="005D3E74" w14:textId="77777777" w:rsidTr="00CA0EF5">
        <w:trPr>
          <w:jc w:val="center"/>
        </w:trPr>
        <w:tc>
          <w:tcPr>
            <w:tcW w:w="1838" w:type="dxa"/>
            <w:vAlign w:val="center"/>
          </w:tcPr>
          <w:p w14:paraId="21016235" w14:textId="0F1D9FE8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lang w:eastAsia="zh-CN"/>
              </w:rPr>
              <w:t>M.2012-7</w:t>
            </w:r>
          </w:p>
        </w:tc>
        <w:tc>
          <w:tcPr>
            <w:tcW w:w="5954" w:type="dxa"/>
            <w:vAlign w:val="center"/>
          </w:tcPr>
          <w:p w14:paraId="4D213D88" w14:textId="4C44EDDA" w:rsidR="006058F5" w:rsidRPr="00CA0EF5" w:rsidRDefault="00AA02D6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Spécifications détaillées des interfaces radioélectriques de Terre des télécommunications mobiles internationales évoluées (IMT évoluées)</w:t>
            </w:r>
          </w:p>
        </w:tc>
        <w:tc>
          <w:tcPr>
            <w:tcW w:w="1701" w:type="dxa"/>
            <w:vAlign w:val="center"/>
          </w:tcPr>
          <w:p w14:paraId="0F425FAE" w14:textId="02CA4208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szCs w:val="24"/>
              </w:rPr>
              <w:t>5/83(Rév.1)</w:t>
            </w:r>
          </w:p>
        </w:tc>
      </w:tr>
      <w:tr w:rsidR="006058F5" w:rsidRPr="00AA02D6" w14:paraId="04F11D77" w14:textId="77777777" w:rsidTr="00CA0EF5">
        <w:trPr>
          <w:jc w:val="center"/>
        </w:trPr>
        <w:tc>
          <w:tcPr>
            <w:tcW w:w="1838" w:type="dxa"/>
            <w:vAlign w:val="center"/>
          </w:tcPr>
          <w:p w14:paraId="21398C74" w14:textId="310400EC" w:rsidR="006058F5" w:rsidRPr="00AA02D6" w:rsidRDefault="006058F5" w:rsidP="006058F5">
            <w:pPr>
              <w:pStyle w:val="Tabletext"/>
              <w:jc w:val="center"/>
              <w:rPr>
                <w:lang w:eastAsia="zh-CN"/>
              </w:rPr>
            </w:pPr>
            <w:r w:rsidRPr="00AA02D6">
              <w:rPr>
                <w:rStyle w:val="href"/>
              </w:rPr>
              <w:t>M.2150-</w:t>
            </w:r>
            <w:r w:rsidRPr="00AA02D6">
              <w:rPr>
                <w:rStyle w:val="href"/>
                <w:lang w:eastAsia="ja-JP"/>
              </w:rPr>
              <w:t>3</w:t>
            </w:r>
          </w:p>
        </w:tc>
        <w:tc>
          <w:tcPr>
            <w:tcW w:w="5954" w:type="dxa"/>
            <w:vAlign w:val="center"/>
          </w:tcPr>
          <w:p w14:paraId="37CDF091" w14:textId="0B65A874" w:rsidR="006058F5" w:rsidRPr="00CA0EF5" w:rsidRDefault="00AA02D6" w:rsidP="006058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Spécifications détaillées des interfaces radioélectriques de Terre des télécommunications mobiles internationales 2020 (IMT-2020)</w:t>
            </w:r>
          </w:p>
        </w:tc>
        <w:tc>
          <w:tcPr>
            <w:tcW w:w="1701" w:type="dxa"/>
            <w:vAlign w:val="center"/>
          </w:tcPr>
          <w:p w14:paraId="7292CDE1" w14:textId="3E13A0F6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5/84(Rév.1)</w:t>
            </w:r>
          </w:p>
        </w:tc>
      </w:tr>
      <w:tr w:rsidR="006058F5" w:rsidRPr="00AA02D6" w14:paraId="04C744A5" w14:textId="77777777" w:rsidTr="00CA0EF5">
        <w:trPr>
          <w:jc w:val="center"/>
        </w:trPr>
        <w:tc>
          <w:tcPr>
            <w:tcW w:w="1838" w:type="dxa"/>
            <w:vAlign w:val="center"/>
          </w:tcPr>
          <w:p w14:paraId="042A2F51" w14:textId="6BA11F9E" w:rsidR="006058F5" w:rsidRPr="00AA02D6" w:rsidRDefault="006058F5" w:rsidP="006058F5">
            <w:pPr>
              <w:pStyle w:val="Tabletext"/>
              <w:jc w:val="center"/>
              <w:rPr>
                <w:rStyle w:val="href"/>
              </w:rPr>
            </w:pPr>
            <w:r w:rsidRPr="00AA02D6">
              <w:rPr>
                <w:rStyle w:val="href"/>
              </w:rPr>
              <w:t>M.2092-2</w:t>
            </w:r>
          </w:p>
        </w:tc>
        <w:tc>
          <w:tcPr>
            <w:tcW w:w="5954" w:type="dxa"/>
            <w:vAlign w:val="center"/>
          </w:tcPr>
          <w:p w14:paraId="6165F6AD" w14:textId="55FC1EF7" w:rsidR="006058F5" w:rsidRPr="00CA0EF5" w:rsidRDefault="00AA02D6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Caractéristiques techniques d'un système d'échange de données en ondes métriques dans le service mobile maritime</w:t>
            </w:r>
          </w:p>
        </w:tc>
        <w:tc>
          <w:tcPr>
            <w:tcW w:w="1701" w:type="dxa"/>
            <w:vAlign w:val="center"/>
          </w:tcPr>
          <w:p w14:paraId="1FB52E8B" w14:textId="774CE421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5/101(Rév.1)</w:t>
            </w:r>
          </w:p>
        </w:tc>
      </w:tr>
      <w:tr w:rsidR="006058F5" w:rsidRPr="00AA02D6" w14:paraId="4DEAA010" w14:textId="77777777" w:rsidTr="00CA0EF5">
        <w:trPr>
          <w:jc w:val="center"/>
        </w:trPr>
        <w:tc>
          <w:tcPr>
            <w:tcW w:w="1838" w:type="dxa"/>
            <w:vAlign w:val="center"/>
          </w:tcPr>
          <w:p w14:paraId="7BAB4720" w14:textId="3D0B6845" w:rsidR="006058F5" w:rsidRPr="00AA02D6" w:rsidRDefault="006058F5" w:rsidP="006058F5">
            <w:pPr>
              <w:pStyle w:val="Tabletext"/>
              <w:jc w:val="center"/>
              <w:rPr>
                <w:rStyle w:val="href"/>
              </w:rPr>
            </w:pPr>
            <w:r w:rsidRPr="00AA02D6">
              <w:rPr>
                <w:rStyle w:val="href"/>
              </w:rPr>
              <w:t>M.2010-3</w:t>
            </w:r>
          </w:p>
        </w:tc>
        <w:tc>
          <w:tcPr>
            <w:tcW w:w="5954" w:type="dxa"/>
            <w:vAlign w:val="center"/>
          </w:tcPr>
          <w:p w14:paraId="74D49374" w14:textId="6A7AE5F5" w:rsidR="006058F5" w:rsidRPr="00CA0EF5" w:rsidRDefault="00AA02D6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Caractéristiques du système numérique NAVDAT de diffusion d'informations relatives à la sécurité et à la sûreté en mer dans le sens côtière-navire dans les bandes de fréquences des 500 kHz</w:t>
            </w:r>
          </w:p>
        </w:tc>
        <w:tc>
          <w:tcPr>
            <w:tcW w:w="1701" w:type="dxa"/>
            <w:vAlign w:val="center"/>
          </w:tcPr>
          <w:p w14:paraId="1A29BAA9" w14:textId="309A10E2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5/104</w:t>
            </w:r>
          </w:p>
        </w:tc>
      </w:tr>
      <w:tr w:rsidR="006058F5" w:rsidRPr="00AA02D6" w14:paraId="28F11D22" w14:textId="77777777" w:rsidTr="00CA0EF5">
        <w:trPr>
          <w:jc w:val="center"/>
        </w:trPr>
        <w:tc>
          <w:tcPr>
            <w:tcW w:w="1838" w:type="dxa"/>
            <w:vAlign w:val="center"/>
          </w:tcPr>
          <w:p w14:paraId="74BA5678" w14:textId="44F77918" w:rsidR="006058F5" w:rsidRPr="00AA02D6" w:rsidRDefault="006058F5" w:rsidP="006058F5">
            <w:pPr>
              <w:pStyle w:val="Tabletext"/>
              <w:jc w:val="center"/>
              <w:rPr>
                <w:rStyle w:val="href"/>
              </w:rPr>
            </w:pPr>
            <w:r w:rsidRPr="00AA02D6">
              <w:rPr>
                <w:rStyle w:val="href"/>
              </w:rPr>
              <w:t>M.2058-2</w:t>
            </w:r>
          </w:p>
        </w:tc>
        <w:tc>
          <w:tcPr>
            <w:tcW w:w="5954" w:type="dxa"/>
            <w:vAlign w:val="center"/>
          </w:tcPr>
          <w:p w14:paraId="2B9434DA" w14:textId="07D4E357" w:rsidR="006058F5" w:rsidRPr="00CA0EF5" w:rsidRDefault="00AA02D6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AA02D6">
              <w:rPr>
                <w:rFonts w:asciiTheme="minorHAnsi" w:hAnsiTheme="minorHAnsi" w:cstheme="minorHAnsi"/>
                <w:lang w:val="fr-FR"/>
              </w:rPr>
              <w:t>Caractéristiques du système numérique en ondes décamétriques NAVDAT de diffusion d'informations relatives à la sécurité et à la sûreté en mer dans le service mobile maritime</w:t>
            </w:r>
          </w:p>
        </w:tc>
        <w:tc>
          <w:tcPr>
            <w:tcW w:w="1701" w:type="dxa"/>
            <w:vAlign w:val="center"/>
          </w:tcPr>
          <w:p w14:paraId="6FBC6164" w14:textId="4955AEDE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5/105(R</w:t>
            </w:r>
            <w:r w:rsidR="00027AFF" w:rsidRPr="00AA02D6">
              <w:t>é</w:t>
            </w:r>
            <w:r w:rsidRPr="00AA02D6">
              <w:t>v.1)</w:t>
            </w:r>
          </w:p>
        </w:tc>
      </w:tr>
      <w:tr w:rsidR="006058F5" w:rsidRPr="00AA02D6" w14:paraId="393F2E85" w14:textId="77777777" w:rsidTr="00CA0EF5">
        <w:trPr>
          <w:jc w:val="center"/>
        </w:trPr>
        <w:tc>
          <w:tcPr>
            <w:tcW w:w="1838" w:type="dxa"/>
            <w:vAlign w:val="center"/>
          </w:tcPr>
          <w:p w14:paraId="5DF90A5F" w14:textId="47E87B62" w:rsidR="006058F5" w:rsidRPr="00AA02D6" w:rsidRDefault="006058F5" w:rsidP="006058F5">
            <w:pPr>
              <w:pStyle w:val="Tabletext"/>
              <w:jc w:val="center"/>
              <w:rPr>
                <w:rStyle w:val="href"/>
              </w:rPr>
            </w:pPr>
            <w:r w:rsidRPr="00AA02D6">
              <w:t>M.1371-6</w:t>
            </w:r>
          </w:p>
        </w:tc>
        <w:tc>
          <w:tcPr>
            <w:tcW w:w="5954" w:type="dxa"/>
            <w:vAlign w:val="center"/>
          </w:tcPr>
          <w:p w14:paraId="360FB77D" w14:textId="0D223356" w:rsidR="006058F5" w:rsidRPr="00CA0EF5" w:rsidRDefault="00CA0EF5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CA0EF5">
              <w:rPr>
                <w:rFonts w:asciiTheme="minorHAnsi" w:hAnsiTheme="minorHAnsi" w:cstheme="minorHAnsi"/>
                <w:lang w:val="fr-FR"/>
              </w:rPr>
              <w:t>Caractéristiques techniques d'un système d'identification automatique en ondes métriques utilisant l'accès multiple par répartition dans le temps et fonctionnant dans le service mobile maritime</w:t>
            </w:r>
          </w:p>
        </w:tc>
        <w:tc>
          <w:tcPr>
            <w:tcW w:w="1701" w:type="dxa"/>
            <w:vAlign w:val="center"/>
          </w:tcPr>
          <w:p w14:paraId="13FF03BD" w14:textId="7D2998E5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5/107(R</w:t>
            </w:r>
            <w:r w:rsidR="00027AFF" w:rsidRPr="00AA02D6">
              <w:t>é</w:t>
            </w:r>
            <w:r w:rsidRPr="00AA02D6">
              <w:t>v.1)</w:t>
            </w:r>
          </w:p>
        </w:tc>
      </w:tr>
      <w:tr w:rsidR="006058F5" w:rsidRPr="00AA02D6" w14:paraId="21ACE089" w14:textId="77777777" w:rsidTr="00CA0EF5">
        <w:trPr>
          <w:jc w:val="center"/>
        </w:trPr>
        <w:tc>
          <w:tcPr>
            <w:tcW w:w="1838" w:type="dxa"/>
            <w:vAlign w:val="center"/>
          </w:tcPr>
          <w:p w14:paraId="03A644B5" w14:textId="002EA511" w:rsidR="006058F5" w:rsidRPr="00AA02D6" w:rsidRDefault="006058F5" w:rsidP="006058F5">
            <w:pPr>
              <w:pStyle w:val="Tabletext"/>
              <w:jc w:val="center"/>
            </w:pPr>
            <w:r w:rsidRPr="00AA02D6">
              <w:rPr>
                <w:lang w:eastAsia="zh-CN"/>
              </w:rPr>
              <w:t>M.1042-4</w:t>
            </w:r>
          </w:p>
        </w:tc>
        <w:tc>
          <w:tcPr>
            <w:tcW w:w="5954" w:type="dxa"/>
            <w:vAlign w:val="center"/>
          </w:tcPr>
          <w:p w14:paraId="1CA67480" w14:textId="5C0DCF74" w:rsidR="006058F5" w:rsidRPr="00CA0EF5" w:rsidRDefault="00CA0EF5" w:rsidP="00CA0EF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CA0EF5">
              <w:rPr>
                <w:rFonts w:asciiTheme="minorHAnsi" w:hAnsiTheme="minorHAnsi" w:cstheme="minorHAnsi"/>
                <w:lang w:val="fr-FR"/>
              </w:rPr>
              <w:t xml:space="preserve">Services d'amateur et d'amateur par </w:t>
            </w:r>
            <w:proofErr w:type="gramStart"/>
            <w:r w:rsidRPr="00CA0EF5">
              <w:rPr>
                <w:rFonts w:asciiTheme="minorHAnsi" w:hAnsiTheme="minorHAnsi" w:cstheme="minorHAnsi"/>
                <w:lang w:val="fr-FR"/>
              </w:rPr>
              <w:t>satellite:</w:t>
            </w:r>
            <w:proofErr w:type="gramEnd"/>
            <w:r w:rsidRPr="00CA0EF5">
              <w:rPr>
                <w:rFonts w:asciiTheme="minorHAnsi" w:hAnsiTheme="minorHAnsi" w:cstheme="minorHAnsi"/>
                <w:lang w:val="fr-FR"/>
              </w:rPr>
              <w:t xml:space="preserve"> communications en cas de catastrophe</w:t>
            </w:r>
          </w:p>
        </w:tc>
        <w:tc>
          <w:tcPr>
            <w:tcW w:w="1701" w:type="dxa"/>
            <w:vAlign w:val="center"/>
          </w:tcPr>
          <w:p w14:paraId="38D01470" w14:textId="34E94426" w:rsidR="006058F5" w:rsidRPr="00AA02D6" w:rsidRDefault="006058F5" w:rsidP="006058F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AA02D6">
              <w:t>5/108</w:t>
            </w:r>
          </w:p>
        </w:tc>
      </w:tr>
    </w:tbl>
    <w:p w14:paraId="12AAE6CB" w14:textId="77777777" w:rsidR="00963B58" w:rsidRPr="00AA02D6" w:rsidRDefault="00963B58" w:rsidP="00963B58">
      <w:pPr>
        <w:rPr>
          <w:lang w:val="fr-FR"/>
        </w:rPr>
      </w:pPr>
    </w:p>
    <w:p w14:paraId="6E6504E2" w14:textId="746BCC23" w:rsidR="003708BF" w:rsidRPr="00006BD2" w:rsidRDefault="003708BF" w:rsidP="004D15B0">
      <w:pPr>
        <w:jc w:val="center"/>
        <w:rPr>
          <w:lang w:val="fr-FR"/>
        </w:rPr>
      </w:pPr>
      <w:bookmarkStart w:id="2" w:name="ddistribution"/>
      <w:bookmarkEnd w:id="2"/>
      <w:bookmarkEnd w:id="1"/>
      <w:r w:rsidRPr="00AA02D6">
        <w:rPr>
          <w:lang w:val="fr-FR"/>
        </w:rPr>
        <w:t>______________</w:t>
      </w:r>
    </w:p>
    <w:sectPr w:rsidR="003708BF" w:rsidRPr="00006BD2" w:rsidSect="00BA1149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7C2" w14:textId="77777777" w:rsidR="00F55652" w:rsidRDefault="00F55652">
      <w:r>
        <w:separator/>
      </w:r>
    </w:p>
  </w:endnote>
  <w:endnote w:type="continuationSeparator" w:id="0">
    <w:p w14:paraId="78839B7F" w14:textId="77777777"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0639BE21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4930A3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r w:rsidR="006D7419">
      <w:fldChar w:fldCharType="begin"/>
    </w:r>
    <w:r w:rsidR="006D7419" w:rsidRPr="0032718F">
      <w:rPr>
        <w:lang w:val="fr-FR"/>
        <w:rPrChange w:id="3" w:author="French" w:date="2024-01-26T14:41:00Z">
          <w:rPr/>
        </w:rPrChange>
      </w:rPr>
      <w:instrText xml:space="preserve"> HYPERLINK "mailto:itumail@itu.int" </w:instrText>
    </w:r>
    <w:r w:rsidR="006D7419">
      <w:fldChar w:fldCharType="separate"/>
    </w:r>
    <w:r w:rsidRPr="004930A3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 w:rsidR="006D7419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r w:rsidR="006D7419">
      <w:fldChar w:fldCharType="begin"/>
    </w:r>
    <w:r w:rsidR="006D7419" w:rsidRPr="0032718F">
      <w:rPr>
        <w:lang w:val="fr-FR"/>
        <w:rPrChange w:id="4" w:author="French" w:date="2024-01-26T14:41:00Z">
          <w:rPr/>
        </w:rPrChange>
      </w:rPr>
      <w:instrText xml:space="preserve"> HYPERLINK "http://www.itu.int" </w:instrText>
    </w:r>
    <w:r w:rsidR="006D7419">
      <w:fldChar w:fldCharType="separate"/>
    </w:r>
    <w:r w:rsidR="00C86533" w:rsidRPr="004930A3">
      <w:rPr>
        <w:rStyle w:val="Hyperlink"/>
        <w:rFonts w:asciiTheme="minorHAnsi" w:hAnsiTheme="minorHAnsi"/>
        <w:sz w:val="18"/>
        <w:szCs w:val="18"/>
        <w:lang w:val="fr-FR"/>
      </w:rPr>
      <w:t>www.itu.int</w:t>
    </w:r>
    <w:r w:rsidR="006D7419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Pr="004930A3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A316" w14:textId="77777777" w:rsidR="00F55652" w:rsidRDefault="00F55652">
      <w:r>
        <w:t>____________________</w:t>
      </w:r>
    </w:p>
  </w:footnote>
  <w:footnote w:type="continuationSeparator" w:id="0">
    <w:p w14:paraId="06B4651E" w14:textId="77777777" w:rsidR="00F55652" w:rsidRDefault="00F5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0C1589FC" w:rsidR="00E915AF" w:rsidRPr="00ED2210" w:rsidRDefault="00ED2210" w:rsidP="00BA1149">
    <w:pPr>
      <w:pStyle w:val="Header"/>
      <w:spacing w:before="100" w:beforeAutospacing="1" w:line="360" w:lineRule="auto"/>
      <w:jc w:val="center"/>
    </w:pPr>
    <w:r>
      <w:rPr>
        <w:noProof/>
      </w:rPr>
      <w:drawing>
        <wp:inline distT="0" distB="0" distL="0" distR="0" wp14:anchorId="338371AE" wp14:editId="54AD013E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27AFF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591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185B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0B28"/>
    <w:rsid w:val="00316935"/>
    <w:rsid w:val="003266ED"/>
    <w:rsid w:val="00326C68"/>
    <w:rsid w:val="0032718F"/>
    <w:rsid w:val="003370B8"/>
    <w:rsid w:val="00344C45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3FE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5E8C"/>
    <w:rsid w:val="005F657C"/>
    <w:rsid w:val="00602D53"/>
    <w:rsid w:val="006047E5"/>
    <w:rsid w:val="006058F5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B0590"/>
    <w:rsid w:val="006B49DA"/>
    <w:rsid w:val="006C53F8"/>
    <w:rsid w:val="006C7CDE"/>
    <w:rsid w:val="006D2C3B"/>
    <w:rsid w:val="006D7419"/>
    <w:rsid w:val="006F38C7"/>
    <w:rsid w:val="007234B1"/>
    <w:rsid w:val="00723D08"/>
    <w:rsid w:val="00725FDA"/>
    <w:rsid w:val="00727816"/>
    <w:rsid w:val="00730B9A"/>
    <w:rsid w:val="00743BD5"/>
    <w:rsid w:val="00750CFA"/>
    <w:rsid w:val="007553DA"/>
    <w:rsid w:val="00773F7E"/>
    <w:rsid w:val="0077443B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3B6F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C2FBD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B5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44675"/>
    <w:rsid w:val="00A63355"/>
    <w:rsid w:val="00A7596D"/>
    <w:rsid w:val="00A963DF"/>
    <w:rsid w:val="00AA02D6"/>
    <w:rsid w:val="00AA211B"/>
    <w:rsid w:val="00AC0C22"/>
    <w:rsid w:val="00AC3896"/>
    <w:rsid w:val="00AD2CF2"/>
    <w:rsid w:val="00AD4DB7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149"/>
    <w:rsid w:val="00BD6738"/>
    <w:rsid w:val="00BD7E5E"/>
    <w:rsid w:val="00BE63DB"/>
    <w:rsid w:val="00BE6574"/>
    <w:rsid w:val="00C05E8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0EF5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A4DC8"/>
    <w:rsid w:val="00DB17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C6162"/>
    <w:rsid w:val="00ED2210"/>
    <w:rsid w:val="00EE03A0"/>
    <w:rsid w:val="00EE1A57"/>
    <w:rsid w:val="00EF54EB"/>
    <w:rsid w:val="00F276BA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8/e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32</TotalTime>
  <Pages>2</Pages>
  <Words>383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3039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Author</cp:lastModifiedBy>
  <cp:revision>15</cp:revision>
  <cp:lastPrinted>2020-02-04T09:03:00Z</cp:lastPrinted>
  <dcterms:created xsi:type="dcterms:W3CDTF">2024-01-26T13:42:00Z</dcterms:created>
  <dcterms:modified xsi:type="dcterms:W3CDTF">2026-02-24T13:46:00Z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