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B6A9DD0" w14:textId="77777777" w:rsidTr="00153E23">
        <w:tc>
          <w:tcPr>
            <w:tcW w:w="5000" w:type="pct"/>
            <w:gridSpan w:val="3"/>
          </w:tcPr>
          <w:p w14:paraId="7CDEA4DE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0467C12D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1B520FC3" w14:textId="77777777" w:rsidTr="00153E23">
        <w:tc>
          <w:tcPr>
            <w:tcW w:w="2707" w:type="pct"/>
            <w:gridSpan w:val="2"/>
          </w:tcPr>
          <w:p w14:paraId="5D6031AC" w14:textId="34FA06D2" w:rsidR="000F7BBE" w:rsidRPr="000F5A8C" w:rsidRDefault="000F7BBE" w:rsidP="00E76199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0F5A8C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E76199">
              <w:rPr>
                <w:position w:val="2"/>
                <w:rtl/>
                <w:lang w:bidi="ar-EG"/>
              </w:rPr>
              <w:br/>
            </w:r>
            <w:r w:rsidRPr="000F5A8C">
              <w:rPr>
                <w:b/>
                <w:bCs/>
                <w:position w:val="2"/>
                <w:lang w:val="en-GB" w:bidi="ar-EG"/>
              </w:rPr>
              <w:t>CACE/</w:t>
            </w:r>
            <w:r w:rsidR="000F5A8C" w:rsidRPr="000F5A8C">
              <w:rPr>
                <w:b/>
                <w:bCs/>
                <w:position w:val="2"/>
                <w:lang w:val="en-GB" w:bidi="ar-EG"/>
              </w:rPr>
              <w:t>1175</w:t>
            </w:r>
          </w:p>
        </w:tc>
        <w:tc>
          <w:tcPr>
            <w:tcW w:w="2293" w:type="pct"/>
          </w:tcPr>
          <w:p w14:paraId="4E5E8646" w14:textId="7F913035" w:rsidR="000F7BBE" w:rsidRPr="000F5A8C" w:rsidRDefault="000F5A8C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0F5A8C">
              <w:rPr>
                <w:position w:val="2"/>
                <w:lang w:val="fr-FR" w:bidi="ar-EG"/>
              </w:rPr>
              <w:t>2</w:t>
            </w:r>
            <w:r w:rsidR="00F16820" w:rsidRPr="000F5A8C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0F5A8C">
              <w:rPr>
                <w:rFonts w:hint="cs"/>
                <w:position w:val="2"/>
                <w:rtl/>
                <w:lang w:bidi="ar-SY"/>
              </w:rPr>
              <w:t>مارس</w:t>
            </w:r>
            <w:r w:rsidR="000F7BBE" w:rsidRPr="000F5A8C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0F5A8C">
              <w:rPr>
                <w:position w:val="2"/>
                <w:lang w:bidi="ar-EG"/>
              </w:rPr>
              <w:t>2026</w:t>
            </w:r>
          </w:p>
        </w:tc>
      </w:tr>
      <w:tr w:rsidR="000F7BBE" w:rsidRPr="000F7BBE" w14:paraId="6D1B89BD" w14:textId="77777777" w:rsidTr="00153E23">
        <w:tc>
          <w:tcPr>
            <w:tcW w:w="5000" w:type="pct"/>
            <w:gridSpan w:val="3"/>
          </w:tcPr>
          <w:p w14:paraId="363367A2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17F26B0" w14:textId="77777777" w:rsidTr="00153E23">
        <w:tc>
          <w:tcPr>
            <w:tcW w:w="5000" w:type="pct"/>
            <w:gridSpan w:val="3"/>
          </w:tcPr>
          <w:p w14:paraId="54801A56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34FB19D" w14:textId="77777777" w:rsidTr="00153E23">
        <w:tc>
          <w:tcPr>
            <w:tcW w:w="5000" w:type="pct"/>
            <w:gridSpan w:val="3"/>
          </w:tcPr>
          <w:p w14:paraId="15FC18CA" w14:textId="2E9848AB" w:rsidR="000F7BBE" w:rsidRPr="008C573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8C573E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8C573E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8C573E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8C573E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8C573E">
              <w:rPr>
                <w:b/>
                <w:bCs/>
                <w:position w:val="2"/>
                <w:rtl/>
              </w:rPr>
              <w:t>المنتسبين إليه</w:t>
            </w:r>
            <w:r w:rsidRPr="008C573E">
              <w:rPr>
                <w:b/>
                <w:bCs/>
                <w:position w:val="2"/>
                <w:rtl/>
              </w:rPr>
              <w:br/>
            </w:r>
            <w:r w:rsidR="008C573E" w:rsidRPr="008C573E">
              <w:rPr>
                <w:rFonts w:hint="cs"/>
                <w:b/>
                <w:bCs/>
                <w:position w:val="2"/>
                <w:rtl/>
                <w:lang w:bidi="ar-EG"/>
              </w:rPr>
              <w:t>والهيئات الأكاديمية المنضمة إلى الاتحاد</w:t>
            </w:r>
            <w:r w:rsidR="008C573E" w:rsidRPr="008C573E">
              <w:rPr>
                <w:b/>
                <w:bCs/>
                <w:position w:val="2"/>
                <w:rtl/>
                <w:lang w:bidi="ar-EG"/>
              </w:rPr>
              <w:t xml:space="preserve"> </w:t>
            </w:r>
            <w:r w:rsidRPr="008C573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8C573E" w:rsidRPr="008C573E">
              <w:rPr>
                <w:b/>
                <w:bCs/>
                <w:position w:val="2"/>
                <w:lang w:val="en-GB" w:bidi="ar-EG"/>
              </w:rPr>
              <w:t>4</w:t>
            </w:r>
            <w:r w:rsidRPr="008C573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</w:p>
        </w:tc>
      </w:tr>
      <w:tr w:rsidR="000F7BBE" w:rsidRPr="000F7BBE" w14:paraId="53DCF884" w14:textId="77777777" w:rsidTr="00153E23">
        <w:tc>
          <w:tcPr>
            <w:tcW w:w="5000" w:type="pct"/>
            <w:gridSpan w:val="3"/>
          </w:tcPr>
          <w:p w14:paraId="235D784D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3C7184B" w14:textId="77777777" w:rsidTr="00153E23">
        <w:tc>
          <w:tcPr>
            <w:tcW w:w="5000" w:type="pct"/>
            <w:gridSpan w:val="3"/>
          </w:tcPr>
          <w:p w14:paraId="5F36C8ED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7F6BC45" w14:textId="77777777" w:rsidTr="00153E23">
        <w:trPr>
          <w:trHeight w:val="452"/>
        </w:trPr>
        <w:tc>
          <w:tcPr>
            <w:tcW w:w="699" w:type="pct"/>
          </w:tcPr>
          <w:p w14:paraId="17FBDA2D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33EDBD86" w14:textId="14719101" w:rsidR="00D37F70" w:rsidRPr="006461C3" w:rsidRDefault="00D37F70" w:rsidP="00D37F70">
            <w:pPr>
              <w:spacing w:before="60" w:after="60" w:line="300" w:lineRule="exact"/>
              <w:rPr>
                <w:b/>
                <w:bCs/>
                <w:lang w:val="fr-FR" w:bidi="ar-EG"/>
              </w:rPr>
            </w:pPr>
            <w:r w:rsidRPr="00D226D5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8C573E" w:rsidRPr="006461C3">
              <w:rPr>
                <w:b/>
                <w:bCs/>
                <w:lang w:val="fr-FR" w:bidi="ar-EG"/>
              </w:rPr>
              <w:t>4</w:t>
            </w:r>
            <w:r w:rsidRPr="00D226D5">
              <w:rPr>
                <w:b/>
                <w:bCs/>
                <w:rtl/>
                <w:lang w:bidi="ar-EG"/>
              </w:rPr>
              <w:t xml:space="preserve"> للاتصالات </w:t>
            </w:r>
            <w:r w:rsidRPr="00774404">
              <w:rPr>
                <w:b/>
                <w:bCs/>
                <w:rtl/>
                <w:lang w:bidi="ar-EG"/>
              </w:rPr>
              <w:t>الراديوي</w:t>
            </w:r>
            <w:r w:rsidRPr="00774404">
              <w:rPr>
                <w:rFonts w:hint="cs"/>
                <w:b/>
                <w:bCs/>
                <w:rtl/>
                <w:lang w:bidi="ar-EG"/>
              </w:rPr>
              <w:t>ة</w:t>
            </w:r>
            <w:r w:rsidRPr="00774404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SG"/>
                <w:tag w:val="SG"/>
                <w:id w:val="-2083972692"/>
                <w:placeholder>
                  <w:docPart w:val="47920D536F5742E4912D08E06C5330C1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b/>
                      <w:bCs/>
                      <w:rtl/>
                    </w:rPr>
                    <w:id w:val="1324467921"/>
                    <w:placeholder>
                      <w:docPart w:val="55D04865DF7349C4B9A86D548F623DA8"/>
                    </w:placeholder>
                    <w:comboBox>
                      <w:listItem w:displayText="1 (إدارة الطيف)" w:value="1 (إدارة الطيف)"/>
                      <w:listItem w:displayText="3 (انتشار الموجات الراديوية)" w:value="3 (انتشار الموجات الراديوية)"/>
                      <w:listItem w:displayText="4 (الخدمات الساتلية)" w:value="4 (الخدمات الساتلية)"/>
                      <w:listItem w:displayText="5 (خدمات الأرض)" w:value="5 (خدمات الأرض)"/>
                      <w:listItem w:displayText="6 (الخدمة الإذاعية)" w:value="6 (الخدمة الإذاعية)"/>
                      <w:listItem w:displayText="7 (خدمات العلوم)" w:value="7 (خدمات العلوم)"/>
                    </w:comboBox>
                  </w:sdtPr>
                  <w:sdtEndPr>
                    <w:rPr>
                      <w:rFonts w:hint="cs"/>
                    </w:rPr>
                  </w:sdtEndPr>
                  <w:sdtContent>
                    <w:r w:rsidR="00113549" w:rsidRPr="00113549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(الخدمات الساتلية)</w:t>
                    </w:r>
                  </w:sdtContent>
                </w:sdt>
              </w:sdtContent>
            </w:sdt>
          </w:p>
          <w:p w14:paraId="428C9AF7" w14:textId="707C4CF4" w:rsidR="00D37F70" w:rsidRPr="00D77110" w:rsidRDefault="00D37F70" w:rsidP="00D77110">
            <w:pPr>
              <w:tabs>
                <w:tab w:val="clear" w:pos="794"/>
                <w:tab w:val="left" w:pos="386"/>
              </w:tabs>
              <w:spacing w:before="60" w:after="60" w:line="300" w:lineRule="exact"/>
              <w:ind w:left="386" w:hanging="386"/>
              <w:rPr>
                <w:b/>
                <w:bCs/>
                <w:spacing w:val="-4"/>
                <w:rtl/>
                <w:lang w:bidi="ar-EG"/>
              </w:rPr>
            </w:pPr>
            <w:r w:rsidRPr="00D77110">
              <w:rPr>
                <w:rFonts w:hint="cs"/>
                <w:b/>
                <w:bCs/>
                <w:spacing w:val="-4"/>
                <w:rtl/>
                <w:lang w:bidi="ar-EG"/>
              </w:rPr>
              <w:t>-</w:t>
            </w:r>
            <w:r w:rsidRPr="00D77110">
              <w:rPr>
                <w:b/>
                <w:bCs/>
                <w:spacing w:val="-4"/>
                <w:rtl/>
                <w:lang w:bidi="ar-EG"/>
              </w:rPr>
              <w:tab/>
            </w:r>
            <w:r w:rsidR="00D77110" w:rsidRPr="00D77110">
              <w:rPr>
                <w:b/>
                <w:bCs/>
                <w:spacing w:val="-4"/>
                <w:rtl/>
              </w:rPr>
              <w:t xml:space="preserve">اعتماد 4 توصيات مُراجعة لقطاع الاتصالات الراديوية والموافقة عليها في نفس الوقت بالمراسلة وفقاً للفقرة </w:t>
            </w:r>
            <w:r w:rsidR="00D77110" w:rsidRPr="00D77110">
              <w:rPr>
                <w:b/>
                <w:bCs/>
                <w:spacing w:val="-4"/>
                <w:lang w:val="fr-CH" w:bidi="ar-EG"/>
              </w:rPr>
              <w:t>4.2.6.A2</w:t>
            </w:r>
            <w:r w:rsidR="00D77110" w:rsidRPr="00D77110">
              <w:rPr>
                <w:b/>
                <w:bCs/>
                <w:spacing w:val="-4"/>
                <w:rtl/>
              </w:rPr>
              <w:t xml:space="preserve"> من القرار ITU-R 1-9 (إجراء الاعتماد والموافقة في نفس الوقت عن طريق المراسلة)</w:t>
            </w:r>
          </w:p>
          <w:p w14:paraId="2721D50B" w14:textId="582136A9" w:rsidR="000F7BBE" w:rsidRPr="000F7BBE" w:rsidRDefault="00D37F70" w:rsidP="00D7711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bidi="ar-EG"/>
              </w:rPr>
            </w:pPr>
            <w:r w:rsidRPr="008D3F8E">
              <w:rPr>
                <w:rFonts w:hint="cs"/>
                <w:b/>
                <w:bCs/>
                <w:rtl/>
                <w:lang w:bidi="ar-EG"/>
              </w:rPr>
              <w:t>-</w:t>
            </w:r>
            <w:r w:rsidRPr="008D3F8E">
              <w:rPr>
                <w:rFonts w:hint="cs"/>
                <w:b/>
                <w:bCs/>
                <w:rtl/>
                <w:lang w:bidi="ar-EG"/>
              </w:rPr>
              <w:tab/>
            </w:r>
            <w:r w:rsidR="00D77110" w:rsidRPr="00D77110">
              <w:rPr>
                <w:b/>
                <w:bCs/>
                <w:rtl/>
              </w:rPr>
              <w:t>إلغاء توصية واحدة لقطاع الاتصالات الراديوية</w:t>
            </w:r>
          </w:p>
        </w:tc>
      </w:tr>
      <w:tr w:rsidR="00FC09E8" w:rsidRPr="000F7BBE" w14:paraId="7C8FECD4" w14:textId="77777777" w:rsidTr="00153E23">
        <w:trPr>
          <w:trHeight w:val="452"/>
        </w:trPr>
        <w:tc>
          <w:tcPr>
            <w:tcW w:w="699" w:type="pct"/>
          </w:tcPr>
          <w:p w14:paraId="2FA18287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62193840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387D6B57" w14:textId="77777777" w:rsidR="00D02121" w:rsidRPr="00E32A3B" w:rsidRDefault="00D02121" w:rsidP="00D02121">
      <w:pPr>
        <w:spacing w:before="60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3E8BB8DB" w14:textId="706B57BE" w:rsidR="00D02121" w:rsidRPr="00D226D5" w:rsidRDefault="00D02121" w:rsidP="00F216FB">
      <w:pPr>
        <w:pStyle w:val="Tablelegend"/>
        <w:spacing w:before="120"/>
        <w:rPr>
          <w:rtl/>
          <w:lang w:bidi="ar-EG"/>
        </w:rPr>
      </w:pPr>
      <w:r w:rsidRPr="00857F3F">
        <w:rPr>
          <w:rFonts w:hint="cs"/>
          <w:rtl/>
          <w:lang w:bidi="ar-SA"/>
        </w:rPr>
        <w:t xml:space="preserve">تم </w:t>
      </w:r>
      <w:r w:rsidRPr="00857F3F">
        <w:rPr>
          <w:rFonts w:hint="cs"/>
          <w:rtl/>
          <w:lang w:bidi="ar-EG"/>
        </w:rPr>
        <w:t>بموجب</w:t>
      </w:r>
      <w:r w:rsidRPr="00857F3F">
        <w:rPr>
          <w:rtl/>
          <w:lang w:bidi="ar-EG"/>
        </w:rPr>
        <w:t xml:space="preserve"> </w:t>
      </w:r>
      <w:r w:rsidRPr="00857F3F">
        <w:rPr>
          <w:rFonts w:hint="cs"/>
          <w:rtl/>
          <w:lang w:bidi="ar-EG"/>
        </w:rPr>
        <w:t>الرسالة</w:t>
      </w:r>
      <w:r w:rsidRPr="00857F3F">
        <w:rPr>
          <w:rtl/>
          <w:lang w:bidi="ar-EG"/>
        </w:rPr>
        <w:t xml:space="preserve"> الإدارية</w:t>
      </w:r>
      <w:r w:rsidRPr="00857F3F">
        <w:rPr>
          <w:rFonts w:hint="cs"/>
          <w:rtl/>
          <w:lang w:bidi="ar-EG"/>
        </w:rPr>
        <w:t xml:space="preserve"> المعممة</w:t>
      </w:r>
      <w:r w:rsidRPr="00857F3F">
        <w:rPr>
          <w:rtl/>
          <w:lang w:bidi="ar-EG"/>
        </w:rPr>
        <w:t xml:space="preserve"> </w:t>
      </w:r>
      <w:hyperlink r:id="rId8" w:history="1">
        <w:r w:rsidR="00213F5D" w:rsidRPr="0071544F">
          <w:rPr>
            <w:rStyle w:val="Hyperlink"/>
            <w:lang w:val="en-GB"/>
          </w:rPr>
          <w:t>CACE/1166</w:t>
        </w:r>
      </w:hyperlink>
      <w:r w:rsidRPr="00857F3F">
        <w:rPr>
          <w:rtl/>
          <w:lang w:bidi="ar-EG"/>
        </w:rPr>
        <w:t xml:space="preserve"> </w:t>
      </w:r>
      <w:r w:rsidRPr="00857F3F">
        <w:rPr>
          <w:rFonts w:hint="cs"/>
          <w:rtl/>
          <w:lang w:bidi="ar-EG"/>
        </w:rPr>
        <w:t>المؤرخة</w:t>
      </w:r>
      <w:r w:rsidRPr="00857F3F">
        <w:rPr>
          <w:rtl/>
          <w:lang w:bidi="ar-EG"/>
        </w:rPr>
        <w:t xml:space="preserve"> </w:t>
      </w:r>
      <w:r w:rsidR="00F216FB" w:rsidRPr="00857F3F">
        <w:rPr>
          <w:lang w:bidi="ar-EG"/>
        </w:rPr>
        <w:t>18</w:t>
      </w:r>
      <w:r w:rsidRPr="00857F3F">
        <w:rPr>
          <w:rFonts w:hint="cs"/>
          <w:rtl/>
          <w:lang w:bidi="ar-EG"/>
        </w:rPr>
        <w:t xml:space="preserve"> </w:t>
      </w:r>
      <w:r w:rsidR="00F216FB" w:rsidRPr="00857F3F">
        <w:rPr>
          <w:rFonts w:hint="cs"/>
          <w:rtl/>
          <w:lang w:bidi="ar-EG"/>
        </w:rPr>
        <w:t>ديسمبر</w:t>
      </w:r>
      <w:r w:rsidRPr="00857F3F">
        <w:rPr>
          <w:rFonts w:hint="cs"/>
          <w:rtl/>
          <w:lang w:bidi="ar-EG"/>
        </w:rPr>
        <w:t xml:space="preserve"> </w:t>
      </w:r>
      <w:r w:rsidRPr="00857F3F">
        <w:rPr>
          <w:lang w:bidi="ar-EG"/>
        </w:rPr>
        <w:t>20</w:t>
      </w:r>
      <w:r w:rsidR="00F216FB" w:rsidRPr="00857F3F">
        <w:rPr>
          <w:lang w:bidi="ar-EG"/>
        </w:rPr>
        <w:t>25</w:t>
      </w:r>
      <w:r w:rsidRPr="00857F3F">
        <w:rPr>
          <w:rtl/>
          <w:lang w:bidi="ar-EG"/>
        </w:rPr>
        <w:t xml:space="preserve">، </w:t>
      </w:r>
      <w:r w:rsidR="00F216FB" w:rsidRPr="00857F3F">
        <w:rPr>
          <w:rtl/>
          <w:lang w:bidi="ar-SA"/>
        </w:rPr>
        <w:t xml:space="preserve">تقديم 4 مشاريع توصيات مُراجَعة لقطاع الاتصالات الراديوية لاعتمادها والموافقة عليها في نفس الوقت عن طريق المراسلة </w:t>
      </w:r>
      <w:r w:rsidR="00F216FB" w:rsidRPr="006461C3">
        <w:rPr>
          <w:lang w:bidi="ar-EG"/>
        </w:rPr>
        <w:t>(PSAA)</w:t>
      </w:r>
      <w:r w:rsidR="00F216FB" w:rsidRPr="00857F3F">
        <w:rPr>
          <w:rtl/>
          <w:lang w:bidi="ar-SA"/>
        </w:rPr>
        <w:t xml:space="preserve"> وفقاً للإجراء المنصوص عليه في</w:t>
      </w:r>
      <w:r w:rsidR="009A38E2">
        <w:rPr>
          <w:rFonts w:hint="cs"/>
          <w:rtl/>
          <w:lang w:bidi="ar-SA"/>
        </w:rPr>
        <w:t> </w:t>
      </w:r>
      <w:r w:rsidR="00F216FB" w:rsidRPr="00857F3F">
        <w:rPr>
          <w:rtl/>
          <w:lang w:bidi="ar-SA"/>
        </w:rPr>
        <w:t xml:space="preserve">القرار ITU-R 1-9 (الفقرة </w:t>
      </w:r>
      <w:r w:rsidR="00F216FB" w:rsidRPr="006461C3">
        <w:rPr>
          <w:lang w:bidi="ar-EG"/>
        </w:rPr>
        <w:t>4.2.6.A2</w:t>
      </w:r>
      <w:r w:rsidR="00F216FB" w:rsidRPr="00857F3F">
        <w:rPr>
          <w:rtl/>
          <w:lang w:bidi="ar-SA"/>
        </w:rPr>
        <w:t>). كما اقترحت لجنة الدراسات إلغاء توصية واحدة لقطاع الاتصالات الراديوية.</w:t>
      </w:r>
    </w:p>
    <w:p w14:paraId="2AE3D592" w14:textId="77777777" w:rsidR="00F216FB" w:rsidRPr="00235760" w:rsidRDefault="00F216FB" w:rsidP="00857F3F">
      <w:pPr>
        <w:rPr>
          <w:rtl/>
          <w:lang w:val="ar-SA" w:eastAsia="zh-TW"/>
        </w:rPr>
      </w:pPr>
      <w:r w:rsidRPr="00235760">
        <w:rPr>
          <w:rtl/>
        </w:rPr>
        <w:t>وقد استُوفيَت الشروط الناظمة لهذا الإجراء في 18 فبراير 2026.</w:t>
      </w:r>
    </w:p>
    <w:p w14:paraId="49F77060" w14:textId="4F49F13E" w:rsidR="00D02121" w:rsidRPr="009A38E2" w:rsidRDefault="00F216FB" w:rsidP="00857F3F">
      <w:pPr>
        <w:rPr>
          <w:spacing w:val="-4"/>
          <w:rtl/>
          <w:lang w:bidi="ar-EG"/>
        </w:rPr>
      </w:pPr>
      <w:r w:rsidRPr="009A38E2">
        <w:rPr>
          <w:spacing w:val="-4"/>
          <w:rtl/>
        </w:rPr>
        <w:t>وسينشر الاتحاد التوصيات الموافَق عليها، ويتضمن الملحق 1 بهذه الرسالة المعممة عناوين هذه التوصيات والأرقام المخصصة لها. وترد في الملحق</w:t>
      </w:r>
      <w:r w:rsidR="00E76199">
        <w:rPr>
          <w:rFonts w:hint="cs"/>
          <w:spacing w:val="-4"/>
          <w:rtl/>
        </w:rPr>
        <w:t xml:space="preserve"> </w:t>
      </w:r>
      <w:r w:rsidRPr="009A38E2">
        <w:rPr>
          <w:spacing w:val="-4"/>
          <w:rtl/>
        </w:rPr>
        <w:t>2 التوصية الملغاة.</w:t>
      </w:r>
    </w:p>
    <w:p w14:paraId="349EFDE0" w14:textId="77777777" w:rsidR="00D02121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527E3C89" w14:textId="77777777" w:rsidR="00D02121" w:rsidRDefault="00D02121" w:rsidP="00C46291">
      <w:pPr>
        <w:spacing w:before="1200"/>
        <w:jc w:val="left"/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4FE53C85" w14:textId="1F7E6937" w:rsidR="00D02121" w:rsidRDefault="00D02121" w:rsidP="006461C3">
      <w:pPr>
        <w:spacing w:before="1200"/>
        <w:rPr>
          <w:lang w:bidi="ar-EG"/>
        </w:rPr>
      </w:pPr>
      <w:r w:rsidRPr="009A38E2">
        <w:rPr>
          <w:rFonts w:hint="cs"/>
          <w:b/>
          <w:bCs/>
          <w:rtl/>
          <w:lang w:bidi="ar-EG"/>
        </w:rPr>
        <w:t>الملحقات</w:t>
      </w:r>
      <w:r w:rsidRPr="009A38E2">
        <w:rPr>
          <w:rFonts w:hint="cs"/>
          <w:rtl/>
          <w:lang w:bidi="ar-EG"/>
        </w:rPr>
        <w:t xml:space="preserve">: </w:t>
      </w:r>
      <w:r w:rsidR="00857F3F" w:rsidRPr="009A38E2">
        <w:rPr>
          <w:lang w:bidi="ar-EG"/>
        </w:rPr>
        <w:t>2</w:t>
      </w:r>
    </w:p>
    <w:p w14:paraId="284F919C" w14:textId="5F3A595E" w:rsidR="00FC09E8" w:rsidRPr="00E00AF3" w:rsidRDefault="00FC09E8" w:rsidP="007A1910"/>
    <w:p w14:paraId="0F91D89A" w14:textId="6A6BD1C0" w:rsidR="00D02121" w:rsidRPr="006D0002" w:rsidRDefault="00D02121" w:rsidP="006D0002">
      <w:pPr>
        <w:pStyle w:val="AnnexNotitle"/>
        <w:rPr>
          <w:rtl/>
        </w:rPr>
      </w:pPr>
      <w:r w:rsidRPr="006D0002">
        <w:rPr>
          <w:rFonts w:hint="cs"/>
          <w:rtl/>
        </w:rPr>
        <w:t>الملحق </w:t>
      </w:r>
      <w:r w:rsidRPr="006D0002">
        <w:t>1</w:t>
      </w:r>
      <w:r w:rsidR="00857F3F" w:rsidRPr="006D0002">
        <w:rPr>
          <w:rtl/>
        </w:rPr>
        <w:br/>
      </w:r>
      <w:r w:rsidR="00857F3F" w:rsidRPr="006D0002">
        <w:rPr>
          <w:rtl/>
        </w:rPr>
        <w:br/>
      </w:r>
      <w:r w:rsidR="00857F3F" w:rsidRPr="006D0002">
        <w:rPr>
          <w:rtl/>
          <w:lang w:bidi="ar-SA"/>
        </w:rPr>
        <w:t>عناوين توصيات قطاع الاتصالات الراديوية الموافَق عليها</w:t>
      </w:r>
    </w:p>
    <w:tbl>
      <w:tblPr>
        <w:bidiVisual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844"/>
        <w:gridCol w:w="1272"/>
      </w:tblGrid>
      <w:tr w:rsidR="00857F3F" w:rsidRPr="00235760" w14:paraId="774BE4FF" w14:textId="77777777" w:rsidTr="00E76199">
        <w:trPr>
          <w:jc w:val="center"/>
        </w:trPr>
        <w:tc>
          <w:tcPr>
            <w:tcW w:w="2377" w:type="dxa"/>
            <w:vAlign w:val="center"/>
          </w:tcPr>
          <w:p w14:paraId="5C26B29F" w14:textId="77777777" w:rsidR="00857F3F" w:rsidRPr="00AB6000" w:rsidRDefault="00857F3F" w:rsidP="00AB6000">
            <w:pPr>
              <w:pStyle w:val="TableHead"/>
              <w:rPr>
                <w:rtl/>
              </w:rPr>
            </w:pPr>
            <w:r w:rsidRPr="00AB6000">
              <w:rPr>
                <w:rtl/>
              </w:rPr>
              <w:t xml:space="preserve">توصية قطاع الاتصالات الراديوية </w:t>
            </w:r>
            <w:r w:rsidRPr="00AB6000">
              <w:t>(ITU-R)</w:t>
            </w:r>
          </w:p>
        </w:tc>
        <w:tc>
          <w:tcPr>
            <w:tcW w:w="5844" w:type="dxa"/>
            <w:vAlign w:val="center"/>
          </w:tcPr>
          <w:p w14:paraId="539F6529" w14:textId="1FA9E920" w:rsidR="00857F3F" w:rsidRPr="00AB6000" w:rsidRDefault="00857F3F" w:rsidP="00AB6000">
            <w:pPr>
              <w:pStyle w:val="TableHead"/>
              <w:rPr>
                <w:rtl/>
              </w:rPr>
            </w:pPr>
            <w:r w:rsidRPr="00AB6000">
              <w:rPr>
                <w:rtl/>
              </w:rPr>
              <w:t>العنوان</w:t>
            </w:r>
          </w:p>
        </w:tc>
        <w:tc>
          <w:tcPr>
            <w:tcW w:w="1272" w:type="dxa"/>
            <w:vAlign w:val="center"/>
          </w:tcPr>
          <w:p w14:paraId="24F8C936" w14:textId="77777777" w:rsidR="00857F3F" w:rsidRPr="00AB6000" w:rsidRDefault="00857F3F" w:rsidP="00AB6000">
            <w:pPr>
              <w:pStyle w:val="TableHead"/>
              <w:rPr>
                <w:rtl/>
              </w:rPr>
            </w:pPr>
            <w:r w:rsidRPr="00AB6000">
              <w:rPr>
                <w:rtl/>
              </w:rPr>
              <w:t>الوثيقة</w:t>
            </w:r>
          </w:p>
        </w:tc>
      </w:tr>
      <w:tr w:rsidR="00857F3F" w:rsidRPr="00235760" w14:paraId="7C83FC21" w14:textId="77777777" w:rsidTr="00E76199">
        <w:trPr>
          <w:jc w:val="center"/>
        </w:trPr>
        <w:tc>
          <w:tcPr>
            <w:tcW w:w="2377" w:type="dxa"/>
            <w:vAlign w:val="center"/>
          </w:tcPr>
          <w:p w14:paraId="359CF64F" w14:textId="77777777" w:rsidR="00857F3F" w:rsidRPr="00AB6000" w:rsidRDefault="00857F3F" w:rsidP="00E76BA1">
            <w:pPr>
              <w:pStyle w:val="Tabletexte"/>
              <w:jc w:val="center"/>
              <w:rPr>
                <w:rtl/>
              </w:rPr>
            </w:pPr>
            <w:r w:rsidRPr="00AB6000">
              <w:rPr>
                <w:rtl/>
              </w:rPr>
              <w:t>M.1787-6</w:t>
            </w:r>
          </w:p>
        </w:tc>
        <w:tc>
          <w:tcPr>
            <w:tcW w:w="5844" w:type="dxa"/>
            <w:vAlign w:val="center"/>
          </w:tcPr>
          <w:p w14:paraId="61A20F49" w14:textId="1DB941E2" w:rsidR="00857F3F" w:rsidRPr="00E76199" w:rsidRDefault="00857F3F" w:rsidP="00AB6000">
            <w:pPr>
              <w:pStyle w:val="Tabletexte"/>
              <w:rPr>
                <w:rtl/>
              </w:rPr>
            </w:pPr>
            <w:r w:rsidRPr="00E76199">
              <w:rPr>
                <w:rtl/>
              </w:rPr>
              <w:t>وصف الأنظمة والشبكات في خدمة الملاحة الراديوية الساتلية (فضاء-أرض وفضاء-فضاء) والخصائص التقنية لمحطات الإرسال الفضائية العاملة في</w:t>
            </w:r>
            <w:r w:rsidR="00E76BA1" w:rsidRPr="00E76199">
              <w:rPr>
                <w:rFonts w:hint="cs"/>
                <w:rtl/>
              </w:rPr>
              <w:t> </w:t>
            </w:r>
            <w:r w:rsidRPr="00E76199">
              <w:rPr>
                <w:rtl/>
              </w:rPr>
              <w:t>النطاقات MHz 1 215-1 164 و</w:t>
            </w:r>
            <w:r w:rsidRPr="00E76199">
              <w:t>MHz 1 300-1 215</w:t>
            </w:r>
            <w:r w:rsidRPr="00E76199">
              <w:rPr>
                <w:rtl/>
              </w:rPr>
              <w:t xml:space="preserve"> و</w:t>
            </w:r>
            <w:r w:rsidRPr="00E76199">
              <w:t>MHz 1 610-1 559</w:t>
            </w:r>
          </w:p>
        </w:tc>
        <w:tc>
          <w:tcPr>
            <w:tcW w:w="1272" w:type="dxa"/>
            <w:vAlign w:val="center"/>
          </w:tcPr>
          <w:p w14:paraId="21315483" w14:textId="77777777" w:rsidR="00857F3F" w:rsidRPr="00AB6000" w:rsidRDefault="00857F3F" w:rsidP="00E76BA1">
            <w:pPr>
              <w:pStyle w:val="Tabletexte"/>
              <w:jc w:val="center"/>
              <w:rPr>
                <w:rtl/>
              </w:rPr>
            </w:pPr>
            <w:r w:rsidRPr="00AB6000">
              <w:rPr>
                <w:rtl/>
              </w:rPr>
              <w:t>50/4</w:t>
            </w:r>
          </w:p>
        </w:tc>
      </w:tr>
      <w:tr w:rsidR="00857F3F" w:rsidRPr="00235760" w14:paraId="1187C8EC" w14:textId="77777777" w:rsidTr="00E76199">
        <w:trPr>
          <w:jc w:val="center"/>
        </w:trPr>
        <w:tc>
          <w:tcPr>
            <w:tcW w:w="2377" w:type="dxa"/>
            <w:vAlign w:val="center"/>
          </w:tcPr>
          <w:p w14:paraId="6E6C7652" w14:textId="77777777" w:rsidR="00857F3F" w:rsidRPr="00AB6000" w:rsidRDefault="00857F3F" w:rsidP="00E76BA1">
            <w:pPr>
              <w:pStyle w:val="Tabletexte"/>
              <w:jc w:val="center"/>
              <w:rPr>
                <w:rtl/>
              </w:rPr>
            </w:pPr>
            <w:r w:rsidRPr="00AB6000">
              <w:rPr>
                <w:rtl/>
              </w:rPr>
              <w:t>BO.789-3</w:t>
            </w:r>
          </w:p>
        </w:tc>
        <w:tc>
          <w:tcPr>
            <w:tcW w:w="5844" w:type="dxa"/>
            <w:vAlign w:val="center"/>
          </w:tcPr>
          <w:p w14:paraId="52041D33" w14:textId="73E8F300" w:rsidR="00857F3F" w:rsidRPr="00E76199" w:rsidRDefault="00857F3F" w:rsidP="00AB6000">
            <w:pPr>
              <w:pStyle w:val="Tabletexte"/>
              <w:rPr>
                <w:rtl/>
              </w:rPr>
            </w:pPr>
            <w:r w:rsidRPr="00E76199">
              <w:rPr>
                <w:rtl/>
              </w:rPr>
              <w:t xml:space="preserve">خدمة الإذاعة الصوتية الرقمية الموجهة إلى مستقبلات محمولة وثابتة على متن مركبات للخدمة الإذاعية الساتلية (الصوتية) في مدى التردد </w:t>
            </w:r>
            <w:r w:rsidRPr="00E76199">
              <w:t>MHz</w:t>
            </w:r>
            <w:r w:rsidR="006D0002" w:rsidRPr="00E76199">
              <w:t> </w:t>
            </w:r>
            <w:r w:rsidRPr="00E76199">
              <w:t>2</w:t>
            </w:r>
            <w:r w:rsidR="006D0002" w:rsidRPr="00E76199">
              <w:t> </w:t>
            </w:r>
            <w:r w:rsidRPr="00E76199">
              <w:t>700</w:t>
            </w:r>
            <w:r w:rsidR="006D0002" w:rsidRPr="00E76199">
              <w:noBreakHyphen/>
            </w:r>
            <w:r w:rsidRPr="00E76199">
              <w:t>1</w:t>
            </w:r>
            <w:r w:rsidR="006D0002" w:rsidRPr="00E76199">
              <w:t> </w:t>
            </w:r>
            <w:r w:rsidRPr="00E76199">
              <w:t>400</w:t>
            </w:r>
          </w:p>
        </w:tc>
        <w:tc>
          <w:tcPr>
            <w:tcW w:w="1272" w:type="dxa"/>
            <w:vAlign w:val="center"/>
          </w:tcPr>
          <w:p w14:paraId="02E11FA6" w14:textId="77777777" w:rsidR="00857F3F" w:rsidRPr="00AB6000" w:rsidRDefault="00857F3F" w:rsidP="00E76BA1">
            <w:pPr>
              <w:pStyle w:val="Tabletexte"/>
              <w:jc w:val="center"/>
              <w:rPr>
                <w:rtl/>
              </w:rPr>
            </w:pPr>
            <w:r w:rsidRPr="00AB6000">
              <w:rPr>
                <w:rtl/>
              </w:rPr>
              <w:t>51/4</w:t>
            </w:r>
          </w:p>
        </w:tc>
      </w:tr>
      <w:tr w:rsidR="00857F3F" w:rsidRPr="00235760" w14:paraId="08DA7927" w14:textId="77777777" w:rsidTr="00E76199">
        <w:trPr>
          <w:jc w:val="center"/>
        </w:trPr>
        <w:tc>
          <w:tcPr>
            <w:tcW w:w="2377" w:type="dxa"/>
            <w:vAlign w:val="center"/>
          </w:tcPr>
          <w:p w14:paraId="2133C042" w14:textId="77777777" w:rsidR="00857F3F" w:rsidRPr="00AB6000" w:rsidRDefault="00857F3F" w:rsidP="00E76BA1">
            <w:pPr>
              <w:pStyle w:val="Tabletexte"/>
              <w:jc w:val="center"/>
              <w:rPr>
                <w:rtl/>
              </w:rPr>
            </w:pPr>
            <w:r w:rsidRPr="00AB6000">
              <w:rPr>
                <w:rtl/>
              </w:rPr>
              <w:t>BO.1130-5</w:t>
            </w:r>
          </w:p>
        </w:tc>
        <w:tc>
          <w:tcPr>
            <w:tcW w:w="5844" w:type="dxa"/>
            <w:vAlign w:val="center"/>
          </w:tcPr>
          <w:p w14:paraId="59636922" w14:textId="4D68BBE8" w:rsidR="00857F3F" w:rsidRPr="00E76199" w:rsidRDefault="00857F3F" w:rsidP="00AB6000">
            <w:pPr>
              <w:pStyle w:val="Tabletexte"/>
              <w:rPr>
                <w:rtl/>
              </w:rPr>
            </w:pPr>
            <w:r w:rsidRPr="00E76199">
              <w:rPr>
                <w:rtl/>
              </w:rPr>
              <w:t>أنظمة الإذاعة الرقمية الساتلية الموجهة إلى مستقبلات ثابتة ومحمولة ومركبة على متن مركبات في النطاقات الموزعة للخدمة الإذاعية الساتلية (الصوتية) في</w:t>
            </w:r>
            <w:r w:rsidR="00667255" w:rsidRPr="00E76199">
              <w:rPr>
                <w:rFonts w:hint="cs"/>
                <w:rtl/>
              </w:rPr>
              <w:t> </w:t>
            </w:r>
            <w:r w:rsidRPr="00E76199">
              <w:rPr>
                <w:rtl/>
              </w:rPr>
              <w:t xml:space="preserve">مدى التردد </w:t>
            </w:r>
            <w:r w:rsidRPr="00E76199">
              <w:t>MHz 2 700-1 400</w:t>
            </w:r>
          </w:p>
        </w:tc>
        <w:tc>
          <w:tcPr>
            <w:tcW w:w="1272" w:type="dxa"/>
            <w:vAlign w:val="center"/>
          </w:tcPr>
          <w:p w14:paraId="55C5304A" w14:textId="77777777" w:rsidR="00857F3F" w:rsidRPr="00AB6000" w:rsidRDefault="00857F3F" w:rsidP="00E76BA1">
            <w:pPr>
              <w:pStyle w:val="Tabletexte"/>
              <w:jc w:val="center"/>
              <w:rPr>
                <w:rtl/>
              </w:rPr>
            </w:pPr>
            <w:r w:rsidRPr="00AB6000">
              <w:rPr>
                <w:rtl/>
              </w:rPr>
              <w:t>52/4</w:t>
            </w:r>
          </w:p>
        </w:tc>
      </w:tr>
      <w:tr w:rsidR="00857F3F" w:rsidRPr="00235760" w14:paraId="73F9F706" w14:textId="77777777" w:rsidTr="00E76199">
        <w:trPr>
          <w:jc w:val="center"/>
        </w:trPr>
        <w:tc>
          <w:tcPr>
            <w:tcW w:w="2377" w:type="dxa"/>
            <w:vAlign w:val="center"/>
          </w:tcPr>
          <w:p w14:paraId="406680B8" w14:textId="77777777" w:rsidR="00857F3F" w:rsidRPr="00AB6000" w:rsidRDefault="00857F3F" w:rsidP="00E76BA1">
            <w:pPr>
              <w:pStyle w:val="Tabletexte"/>
              <w:jc w:val="center"/>
              <w:rPr>
                <w:rtl/>
              </w:rPr>
            </w:pPr>
            <w:r w:rsidRPr="00AB6000">
              <w:rPr>
                <w:rtl/>
              </w:rPr>
              <w:t>BO.1504-1</w:t>
            </w:r>
          </w:p>
        </w:tc>
        <w:tc>
          <w:tcPr>
            <w:tcW w:w="5844" w:type="dxa"/>
            <w:vAlign w:val="center"/>
          </w:tcPr>
          <w:p w14:paraId="3764EB7C" w14:textId="77777777" w:rsidR="00857F3F" w:rsidRPr="00E76199" w:rsidRDefault="00857F3F" w:rsidP="00AB6000">
            <w:pPr>
              <w:pStyle w:val="Tabletexte"/>
              <w:rPr>
                <w:rtl/>
              </w:rPr>
            </w:pPr>
            <w:r w:rsidRPr="00E76199">
              <w:rPr>
                <w:rtl/>
              </w:rPr>
              <w:t>الاستعمال الفعال للطيف المخصص للخدمة الإذاعية الساتلية (الصوتية)</w:t>
            </w:r>
          </w:p>
        </w:tc>
        <w:tc>
          <w:tcPr>
            <w:tcW w:w="1272" w:type="dxa"/>
            <w:vAlign w:val="center"/>
          </w:tcPr>
          <w:p w14:paraId="35AAC951" w14:textId="77777777" w:rsidR="00857F3F" w:rsidRPr="00AB6000" w:rsidRDefault="00857F3F" w:rsidP="00E76BA1">
            <w:pPr>
              <w:pStyle w:val="Tabletexte"/>
              <w:jc w:val="center"/>
              <w:rPr>
                <w:rtl/>
              </w:rPr>
            </w:pPr>
            <w:r w:rsidRPr="00AB6000">
              <w:rPr>
                <w:rtl/>
              </w:rPr>
              <w:t>55/4</w:t>
            </w:r>
          </w:p>
        </w:tc>
      </w:tr>
    </w:tbl>
    <w:p w14:paraId="53122AAA" w14:textId="77777777" w:rsidR="00B02943" w:rsidRDefault="00B02943" w:rsidP="00B02943">
      <w:pPr>
        <w:rPr>
          <w:rtl/>
        </w:rPr>
      </w:pPr>
    </w:p>
    <w:p w14:paraId="5D709B37" w14:textId="3891F935" w:rsidR="00D02121" w:rsidRPr="006D0002" w:rsidRDefault="00D02121" w:rsidP="006D0002">
      <w:pPr>
        <w:pStyle w:val="AnnexNotitle"/>
        <w:rPr>
          <w:rtl/>
        </w:rPr>
      </w:pPr>
      <w:r w:rsidRPr="006D0002">
        <w:rPr>
          <w:rFonts w:hint="cs"/>
          <w:rtl/>
        </w:rPr>
        <w:t xml:space="preserve">الملحق </w:t>
      </w:r>
      <w:r w:rsidRPr="006D0002">
        <w:t>2</w:t>
      </w:r>
      <w:r w:rsidRPr="006D0002">
        <w:rPr>
          <w:rtl/>
        </w:rPr>
        <w:br/>
      </w:r>
      <w:r w:rsidRPr="006D0002">
        <w:rPr>
          <w:rtl/>
        </w:rPr>
        <w:br/>
      </w:r>
      <w:r w:rsidR="00857F3F" w:rsidRPr="006D0002">
        <w:rPr>
          <w:rtl/>
          <w:lang w:bidi="ar-SA"/>
        </w:rPr>
        <w:t>توصية قطاع الاتصالات الراديوية الملغاة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09"/>
        <w:gridCol w:w="7514"/>
      </w:tblGrid>
      <w:tr w:rsidR="00D02121" w:rsidRPr="00A01741" w14:paraId="3D78440B" w14:textId="77777777" w:rsidTr="00F9558B">
        <w:trPr>
          <w:cantSplit/>
          <w:tblHeader/>
          <w:jc w:val="center"/>
        </w:trPr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AB54D" w14:textId="0CB8937D" w:rsidR="00D02121" w:rsidRPr="00B02943" w:rsidRDefault="00857F3F" w:rsidP="00B02943">
            <w:pPr>
              <w:pStyle w:val="TableHead"/>
            </w:pPr>
            <w:r w:rsidRPr="00B02943">
              <w:rPr>
                <w:rtl/>
              </w:rPr>
              <w:t xml:space="preserve">توصية قطاع الاتصالات الراديوية </w:t>
            </w:r>
            <w:r w:rsidRPr="00B02943">
              <w:t>(ITU-R)</w:t>
            </w:r>
          </w:p>
        </w:tc>
        <w:tc>
          <w:tcPr>
            <w:tcW w:w="3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A2C75" w14:textId="77777777" w:rsidR="00D02121" w:rsidRPr="00B02943" w:rsidRDefault="00D02121" w:rsidP="00B02943">
            <w:pPr>
              <w:pStyle w:val="TableHead"/>
            </w:pPr>
            <w:r w:rsidRPr="00B02943">
              <w:rPr>
                <w:rFonts w:hint="cs"/>
                <w:rtl/>
              </w:rPr>
              <w:t>العنوان</w:t>
            </w:r>
          </w:p>
        </w:tc>
      </w:tr>
      <w:tr w:rsidR="00D02121" w:rsidRPr="00A01741" w14:paraId="7021DC25" w14:textId="77777777" w:rsidTr="00F9558B">
        <w:trPr>
          <w:cantSplit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3509" w14:textId="04BA8D36" w:rsidR="00D02121" w:rsidRPr="00B02943" w:rsidRDefault="00DF07FA" w:rsidP="00B02943">
            <w:pPr>
              <w:pStyle w:val="Tabletexte"/>
              <w:jc w:val="center"/>
              <w:rPr>
                <w:rtl/>
              </w:rPr>
            </w:pPr>
            <w:r w:rsidRPr="00B02943">
              <w:rPr>
                <w:rtl/>
                <w:lang w:bidi="ar-SA"/>
              </w:rPr>
              <w:t>M.632-3</w:t>
            </w:r>
          </w:p>
        </w:tc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6858" w14:textId="0F955852" w:rsidR="00D02121" w:rsidRPr="009F6517" w:rsidRDefault="00DF07FA" w:rsidP="00B02943">
            <w:pPr>
              <w:pStyle w:val="Tabletexte"/>
              <w:rPr>
                <w:spacing w:val="-2"/>
              </w:rPr>
            </w:pPr>
            <w:r w:rsidRPr="009F6517">
              <w:rPr>
                <w:spacing w:val="-2"/>
                <w:rtl/>
                <w:lang w:bidi="ar-SA"/>
              </w:rPr>
              <w:t xml:space="preserve">خصائص الإرسال لنظام منارات راديوية للاستدلال على موقع الطوارئ بالساتل (منارات </w:t>
            </w:r>
            <w:r w:rsidRPr="009F6517">
              <w:rPr>
                <w:spacing w:val="-2"/>
              </w:rPr>
              <w:t>EPIRB</w:t>
            </w:r>
            <w:r w:rsidRPr="009F6517">
              <w:rPr>
                <w:spacing w:val="-2"/>
                <w:rtl/>
                <w:lang w:bidi="ar-SA"/>
              </w:rPr>
              <w:t xml:space="preserve"> ساتلية) يعمل بواسطة سواتل مستقرة بالنسبة إلى الأرض في النطاق 1,6 GHz</w:t>
            </w:r>
          </w:p>
        </w:tc>
      </w:tr>
    </w:tbl>
    <w:p w14:paraId="636EFA9D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C8CD" w14:textId="77777777" w:rsidR="006F5187" w:rsidRDefault="006F5187" w:rsidP="006C3242">
      <w:pPr>
        <w:spacing w:before="0" w:line="240" w:lineRule="auto"/>
      </w:pPr>
      <w:r>
        <w:separator/>
      </w:r>
    </w:p>
  </w:endnote>
  <w:endnote w:type="continuationSeparator" w:id="0">
    <w:p w14:paraId="567E38BB" w14:textId="77777777" w:rsidR="006F5187" w:rsidRDefault="006F518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752A" w14:textId="57D7B0E4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3105" w14:textId="184C7082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>Tel</w:t>
    </w:r>
    <w:proofErr w:type="gramStart"/>
    <w:r w:rsidR="00C46291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.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hyperlink r:id="rId2" w:history="1">
      <w:r w:rsidRPr="00C46291">
        <w:rPr>
          <w:rStyle w:val="Hyperlink"/>
          <w:rFonts w:ascii="Calibri" w:eastAsia="Times New Roman" w:hAnsi="Calibri" w:cs="Calibri"/>
          <w:sz w:val="19"/>
          <w:szCs w:val="19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BBE1" w14:textId="77777777" w:rsidR="006F5187" w:rsidRDefault="006F5187" w:rsidP="006C3242">
      <w:pPr>
        <w:spacing w:before="0" w:line="240" w:lineRule="auto"/>
      </w:pPr>
      <w:r>
        <w:separator/>
      </w:r>
    </w:p>
  </w:footnote>
  <w:footnote w:type="continuationSeparator" w:id="0">
    <w:p w14:paraId="76B64EC0" w14:textId="77777777" w:rsidR="006F5187" w:rsidRDefault="006F518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EFCB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3E0D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557ABF3D" wp14:editId="61076D36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2F"/>
    <w:rsid w:val="0006468A"/>
    <w:rsid w:val="00090574"/>
    <w:rsid w:val="000C1C0E"/>
    <w:rsid w:val="000C548A"/>
    <w:rsid w:val="000F5A8C"/>
    <w:rsid w:val="000F7BBE"/>
    <w:rsid w:val="00113549"/>
    <w:rsid w:val="00150DB9"/>
    <w:rsid w:val="001C0169"/>
    <w:rsid w:val="001D1D50"/>
    <w:rsid w:val="001D6745"/>
    <w:rsid w:val="001E446E"/>
    <w:rsid w:val="00213F5D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E0E4A"/>
    <w:rsid w:val="004E11DC"/>
    <w:rsid w:val="00525DDD"/>
    <w:rsid w:val="005409AC"/>
    <w:rsid w:val="0055516A"/>
    <w:rsid w:val="0058491B"/>
    <w:rsid w:val="00592EA5"/>
    <w:rsid w:val="005A3170"/>
    <w:rsid w:val="006461C3"/>
    <w:rsid w:val="00667255"/>
    <w:rsid w:val="00677396"/>
    <w:rsid w:val="0069200F"/>
    <w:rsid w:val="006A65CB"/>
    <w:rsid w:val="006C3242"/>
    <w:rsid w:val="006C7CC0"/>
    <w:rsid w:val="006D0002"/>
    <w:rsid w:val="006E5F73"/>
    <w:rsid w:val="006F5187"/>
    <w:rsid w:val="006F63F7"/>
    <w:rsid w:val="007025C7"/>
    <w:rsid w:val="00706D7A"/>
    <w:rsid w:val="00722F0D"/>
    <w:rsid w:val="0074420E"/>
    <w:rsid w:val="00783E26"/>
    <w:rsid w:val="007A1910"/>
    <w:rsid w:val="007C3BC7"/>
    <w:rsid w:val="007C3BCD"/>
    <w:rsid w:val="007D4ACF"/>
    <w:rsid w:val="007F0787"/>
    <w:rsid w:val="007F69A7"/>
    <w:rsid w:val="00810B7B"/>
    <w:rsid w:val="0082358A"/>
    <w:rsid w:val="008235CD"/>
    <w:rsid w:val="008247DE"/>
    <w:rsid w:val="00840B10"/>
    <w:rsid w:val="008513CB"/>
    <w:rsid w:val="00857F3F"/>
    <w:rsid w:val="008A4A32"/>
    <w:rsid w:val="008A7F84"/>
    <w:rsid w:val="008C573E"/>
    <w:rsid w:val="0091702E"/>
    <w:rsid w:val="00923B0C"/>
    <w:rsid w:val="0094021C"/>
    <w:rsid w:val="00952F86"/>
    <w:rsid w:val="009737BB"/>
    <w:rsid w:val="00982B28"/>
    <w:rsid w:val="009A38E2"/>
    <w:rsid w:val="009D313F"/>
    <w:rsid w:val="009F6517"/>
    <w:rsid w:val="00A47A5A"/>
    <w:rsid w:val="00A6683B"/>
    <w:rsid w:val="00A97F94"/>
    <w:rsid w:val="00AA7EA2"/>
    <w:rsid w:val="00AB6000"/>
    <w:rsid w:val="00B02943"/>
    <w:rsid w:val="00B02BF4"/>
    <w:rsid w:val="00B03099"/>
    <w:rsid w:val="00B05BC8"/>
    <w:rsid w:val="00B1143A"/>
    <w:rsid w:val="00B64B47"/>
    <w:rsid w:val="00BA330B"/>
    <w:rsid w:val="00C002DE"/>
    <w:rsid w:val="00C46291"/>
    <w:rsid w:val="00C502CD"/>
    <w:rsid w:val="00C53BF8"/>
    <w:rsid w:val="00C66157"/>
    <w:rsid w:val="00C674FE"/>
    <w:rsid w:val="00C67501"/>
    <w:rsid w:val="00C75633"/>
    <w:rsid w:val="00CC6D6A"/>
    <w:rsid w:val="00CE2EE1"/>
    <w:rsid w:val="00CE3349"/>
    <w:rsid w:val="00CE36E5"/>
    <w:rsid w:val="00CF27F5"/>
    <w:rsid w:val="00CF3FFD"/>
    <w:rsid w:val="00D02121"/>
    <w:rsid w:val="00D10CCF"/>
    <w:rsid w:val="00D37F70"/>
    <w:rsid w:val="00D77110"/>
    <w:rsid w:val="00D77D0F"/>
    <w:rsid w:val="00DA1CF0"/>
    <w:rsid w:val="00DC1E02"/>
    <w:rsid w:val="00DC24B4"/>
    <w:rsid w:val="00DC302F"/>
    <w:rsid w:val="00DC5FB0"/>
    <w:rsid w:val="00DF07FA"/>
    <w:rsid w:val="00DF16DC"/>
    <w:rsid w:val="00E00AF3"/>
    <w:rsid w:val="00E45211"/>
    <w:rsid w:val="00E473C5"/>
    <w:rsid w:val="00E76199"/>
    <w:rsid w:val="00E76BA1"/>
    <w:rsid w:val="00E92863"/>
    <w:rsid w:val="00EB796D"/>
    <w:rsid w:val="00F058DC"/>
    <w:rsid w:val="00F16820"/>
    <w:rsid w:val="00F216FB"/>
    <w:rsid w:val="00F24FC4"/>
    <w:rsid w:val="00F2676C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2220E"/>
  <w15:chartTrackingRefBased/>
  <w15:docId w15:val="{8E67E694-8A59-4D49-A26C-16B969FF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paragraph" w:customStyle="1" w:styleId="Tabletext">
    <w:name w:val="Table_text"/>
    <w:basedOn w:val="Normal"/>
    <w:link w:val="TabletextChar"/>
    <w:rsid w:val="00F216FB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Calibri" w:cs="Simplified Arabic"/>
      <w:sz w:val="20"/>
      <w:szCs w:val="30"/>
      <w:lang w:val="fr-CH"/>
    </w:rPr>
  </w:style>
  <w:style w:type="character" w:customStyle="1" w:styleId="TabletextChar">
    <w:name w:val="Table_text Char"/>
    <w:link w:val="Tabletext"/>
    <w:locked/>
    <w:rsid w:val="00F216FB"/>
    <w:rPr>
      <w:rFonts w:ascii="Times New Roman" w:eastAsia="Times New Roman" w:hAnsi="Calibri" w:cs="Simplified Arabic"/>
      <w:sz w:val="20"/>
      <w:szCs w:val="30"/>
      <w:lang w:val="fr-CH"/>
    </w:rPr>
  </w:style>
  <w:style w:type="paragraph" w:customStyle="1" w:styleId="Tablehead0">
    <w:name w:val="Table_head"/>
    <w:basedOn w:val="Normal"/>
    <w:next w:val="Tabletext"/>
    <w:link w:val="TableheadChar"/>
    <w:rsid w:val="00857F3F"/>
    <w:pPr>
      <w:keepNext/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Calibri" w:cs="Simplified Arabic"/>
      <w:b/>
      <w:sz w:val="20"/>
      <w:szCs w:val="30"/>
      <w:lang w:val="fr-CH"/>
    </w:rPr>
  </w:style>
  <w:style w:type="character" w:customStyle="1" w:styleId="TableheadChar">
    <w:name w:val="Table_head Char"/>
    <w:basedOn w:val="DefaultParagraphFont"/>
    <w:link w:val="Tablehead0"/>
    <w:locked/>
    <w:rsid w:val="00857F3F"/>
    <w:rPr>
      <w:rFonts w:ascii="Times New Roman" w:eastAsia="Times New Roman" w:hAnsi="Calibri" w:cs="Simplified Arabic"/>
      <w:b/>
      <w:sz w:val="20"/>
      <w:szCs w:val="30"/>
      <w:lang w:val="fr-CH"/>
    </w:rPr>
  </w:style>
  <w:style w:type="character" w:styleId="FollowedHyperlink">
    <w:name w:val="FollowedHyperlink"/>
    <w:basedOn w:val="DefaultParagraphFont"/>
    <w:uiPriority w:val="99"/>
    <w:semiHidden/>
    <w:unhideWhenUsed/>
    <w:rsid w:val="00213F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6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abdul\Desktop\type\Arabic%20Templates%202026\ITU-R%20(BR)\PA_CACE%20Mod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920D536F5742E4912D08E06C53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BE5D-FCAC-46B7-BC6A-2ED9431FB859}"/>
      </w:docPartPr>
      <w:docPartBody>
        <w:p w:rsidR="00B5058D" w:rsidRDefault="00B5058D">
          <w:pPr>
            <w:pStyle w:val="47920D536F5742E4912D08E06C5330C1"/>
          </w:pPr>
          <w:r w:rsidRPr="00203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04865DF7349C4B9A86D548F623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13A5-1774-4C42-9B63-D93FBADC2D28}"/>
      </w:docPartPr>
      <w:docPartBody>
        <w:p w:rsidR="00B5058D" w:rsidRDefault="00B5058D">
          <w:pPr>
            <w:pStyle w:val="55D04865DF7349C4B9A86D548F623DA8"/>
          </w:pPr>
          <w:r w:rsidRPr="006B56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71"/>
    <w:rsid w:val="00526D71"/>
    <w:rsid w:val="007F69A7"/>
    <w:rsid w:val="00B5058D"/>
    <w:rsid w:val="00BA330B"/>
    <w:rsid w:val="00C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920D536F5742E4912D08E06C5330C1">
    <w:name w:val="47920D536F5742E4912D08E06C5330C1"/>
  </w:style>
  <w:style w:type="paragraph" w:customStyle="1" w:styleId="55D04865DF7349C4B9A86D548F623DA8">
    <w:name w:val="55D04865DF7349C4B9A86D548F623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PA_CACE Model.dotx</Template>
  <TotalTime>14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Arabic_AA</dc:creator>
  <cp:keywords/>
  <dc:description/>
  <cp:lastModifiedBy>Panoussopoulos, Sonia</cp:lastModifiedBy>
  <cp:revision>6</cp:revision>
  <dcterms:created xsi:type="dcterms:W3CDTF">2026-02-26T09:39:00Z</dcterms:created>
  <dcterms:modified xsi:type="dcterms:W3CDTF">2026-03-02T09:22:00Z</dcterms:modified>
</cp:coreProperties>
</file>