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7B3DB1" w14:paraId="50AFECED" w14:textId="77777777" w:rsidTr="00306452">
        <w:trPr>
          <w:jc w:val="center"/>
        </w:trPr>
        <w:tc>
          <w:tcPr>
            <w:tcW w:w="9889" w:type="dxa"/>
            <w:gridSpan w:val="3"/>
          </w:tcPr>
          <w:p w14:paraId="1DE190E2" w14:textId="77777777" w:rsidR="00E53DCE" w:rsidRDefault="00A96D3A" w:rsidP="006160CB">
            <w:pPr>
              <w:spacing w:before="0"/>
              <w:jc w:val="left"/>
              <w:rPr>
                <w:rFonts w:cstheme="minorHAnsi"/>
                <w:b/>
                <w:bCs/>
                <w:color w:val="808080"/>
                <w:sz w:val="28"/>
                <w:szCs w:val="28"/>
                <w:lang w:val="en-GB"/>
              </w:rPr>
            </w:pPr>
            <w:r w:rsidRPr="00415CFA">
              <w:rPr>
                <w:rFonts w:cstheme="minorHAnsi"/>
                <w:b/>
                <w:bCs/>
                <w:color w:val="808080"/>
                <w:sz w:val="28"/>
                <w:szCs w:val="28"/>
                <w:lang w:val="es-ES_tradnl"/>
              </w:rPr>
              <w:t>Oficina de Radiocomunicaciones (BR)</w:t>
            </w:r>
          </w:p>
          <w:p w14:paraId="717FF43B" w14:textId="77777777" w:rsidR="00E53DCE" w:rsidRDefault="00E53DCE" w:rsidP="006160CB">
            <w:pPr>
              <w:spacing w:before="0"/>
              <w:jc w:val="left"/>
              <w:rPr>
                <w:rFonts w:cstheme="minorHAnsi"/>
                <w:b/>
                <w:bCs/>
                <w:color w:val="808080"/>
                <w:sz w:val="28"/>
                <w:szCs w:val="28"/>
                <w:lang w:val="en-GB"/>
              </w:rPr>
            </w:pPr>
          </w:p>
          <w:p w14:paraId="54C97C3C" w14:textId="77777777" w:rsidR="00E53DCE" w:rsidRPr="00AF70DA" w:rsidRDefault="00E53DCE" w:rsidP="006160CB">
            <w:pPr>
              <w:spacing w:before="0"/>
              <w:jc w:val="left"/>
              <w:rPr>
                <w:rFonts w:cs="Times New Roman Bold"/>
                <w:b/>
                <w:bCs/>
                <w:color w:val="808080"/>
                <w:sz w:val="28"/>
                <w:szCs w:val="28"/>
                <w:lang w:val="en-GB"/>
              </w:rPr>
            </w:pPr>
          </w:p>
        </w:tc>
      </w:tr>
      <w:tr w:rsidR="00E53DCE" w:rsidRPr="0033029C" w14:paraId="084C0D88" w14:textId="77777777" w:rsidTr="00306452">
        <w:trPr>
          <w:jc w:val="center"/>
        </w:trPr>
        <w:tc>
          <w:tcPr>
            <w:tcW w:w="7054" w:type="dxa"/>
            <w:gridSpan w:val="2"/>
          </w:tcPr>
          <w:p w14:paraId="082125DB" w14:textId="2DDFCAFC" w:rsidR="00E53DCE" w:rsidRPr="001B3D4D" w:rsidRDefault="00A96D3A" w:rsidP="00CF3666">
            <w:pPr>
              <w:spacing w:before="0"/>
              <w:rPr>
                <w:lang w:val="es-ES"/>
              </w:rPr>
            </w:pPr>
            <w:r w:rsidRPr="001B3D4D">
              <w:rPr>
                <w:lang w:val="es-ES"/>
              </w:rPr>
              <w:t>Circular Administrativa</w:t>
            </w:r>
          </w:p>
          <w:p w14:paraId="7AB5E94B" w14:textId="72BAF942" w:rsidR="00E53DCE" w:rsidRPr="00CF3666" w:rsidRDefault="001B3D4D" w:rsidP="00CF3666">
            <w:pPr>
              <w:spacing w:before="0"/>
              <w:rPr>
                <w:b/>
                <w:bCs/>
                <w:lang w:val="es-ES"/>
              </w:rPr>
            </w:pPr>
            <w:r w:rsidRPr="00CF3666">
              <w:rPr>
                <w:b/>
                <w:bCs/>
                <w:lang w:val="es-ES"/>
              </w:rPr>
              <w:t>CACE/</w:t>
            </w:r>
            <w:r w:rsidR="004949B8">
              <w:rPr>
                <w:b/>
                <w:bCs/>
                <w:lang w:val="es-ES"/>
              </w:rPr>
              <w:t>11</w:t>
            </w:r>
            <w:r w:rsidR="004949B8" w:rsidRPr="00BE6791">
              <w:rPr>
                <w:b/>
                <w:bCs/>
                <w:lang w:val="es-ES"/>
              </w:rPr>
              <w:t>7</w:t>
            </w:r>
            <w:r w:rsidR="00416493" w:rsidRPr="00BE6791">
              <w:rPr>
                <w:b/>
                <w:bCs/>
                <w:lang w:val="es-ES"/>
              </w:rPr>
              <w:t>4</w:t>
            </w:r>
          </w:p>
        </w:tc>
        <w:tc>
          <w:tcPr>
            <w:tcW w:w="2835" w:type="dxa"/>
          </w:tcPr>
          <w:p w14:paraId="2FC3DEEE" w14:textId="58E34BFD" w:rsidR="00E53DCE" w:rsidRPr="002B7EE0" w:rsidRDefault="004949B8" w:rsidP="006160CB">
            <w:pPr>
              <w:spacing w:before="0"/>
              <w:jc w:val="right"/>
              <w:rPr>
                <w:szCs w:val="24"/>
                <w:lang w:val="fr-FR"/>
              </w:rPr>
            </w:pPr>
            <w:r>
              <w:rPr>
                <w:lang w:val="es-ES_tradnl"/>
              </w:rPr>
              <w:t>2</w:t>
            </w:r>
            <w:r w:rsidR="00CC0C7E">
              <w:rPr>
                <w:lang w:val="es-ES_tradnl"/>
              </w:rPr>
              <w:t>5</w:t>
            </w:r>
            <w:r>
              <w:rPr>
                <w:lang w:val="es-ES_tradnl"/>
              </w:rPr>
              <w:t xml:space="preserve"> de febrero de 2026</w:t>
            </w:r>
          </w:p>
        </w:tc>
      </w:tr>
      <w:tr w:rsidR="00E53DCE" w:rsidRPr="009D701E" w14:paraId="3BB0C651" w14:textId="77777777" w:rsidTr="00306452">
        <w:trPr>
          <w:jc w:val="center"/>
        </w:trPr>
        <w:tc>
          <w:tcPr>
            <w:tcW w:w="9889" w:type="dxa"/>
            <w:gridSpan w:val="3"/>
          </w:tcPr>
          <w:p w14:paraId="68AFCF4E" w14:textId="1956E934" w:rsidR="00E53DCE" w:rsidRPr="00CF3666" w:rsidRDefault="00E53DCE" w:rsidP="00CF3666">
            <w:pPr>
              <w:spacing w:before="0"/>
              <w:rPr>
                <w:lang w:val="es-ES"/>
              </w:rPr>
            </w:pPr>
          </w:p>
        </w:tc>
      </w:tr>
      <w:tr w:rsidR="00E53DCE" w:rsidRPr="009D701E" w14:paraId="4264C4DE" w14:textId="77777777" w:rsidTr="00306452">
        <w:trPr>
          <w:jc w:val="center"/>
        </w:trPr>
        <w:tc>
          <w:tcPr>
            <w:tcW w:w="9889" w:type="dxa"/>
            <w:gridSpan w:val="3"/>
          </w:tcPr>
          <w:p w14:paraId="07B4E93F" w14:textId="77777777" w:rsidR="00E53DCE" w:rsidRPr="00CF3666" w:rsidRDefault="00E53DCE" w:rsidP="00CF3666">
            <w:pPr>
              <w:spacing w:before="0"/>
              <w:rPr>
                <w:lang w:val="es-ES"/>
              </w:rPr>
            </w:pPr>
          </w:p>
        </w:tc>
      </w:tr>
      <w:tr w:rsidR="00E53DCE" w:rsidRPr="00CC0C7E" w14:paraId="6D3A0640" w14:textId="77777777" w:rsidTr="00306452">
        <w:trPr>
          <w:jc w:val="center"/>
        </w:trPr>
        <w:tc>
          <w:tcPr>
            <w:tcW w:w="9889" w:type="dxa"/>
            <w:gridSpan w:val="3"/>
          </w:tcPr>
          <w:p w14:paraId="14827E75" w14:textId="5B3D9C47" w:rsidR="00E53DCE" w:rsidRPr="0033029C" w:rsidRDefault="009D701E" w:rsidP="00790553">
            <w:pPr>
              <w:spacing w:before="0"/>
              <w:jc w:val="left"/>
              <w:rPr>
                <w:b/>
                <w:bCs/>
                <w:szCs w:val="24"/>
                <w:lang w:val="es-ES"/>
              </w:rPr>
            </w:pPr>
            <w:r w:rsidRPr="00CF3666">
              <w:rPr>
                <w:b/>
                <w:bCs/>
                <w:lang w:val="es-ES"/>
              </w:rPr>
              <w:t xml:space="preserve">A las Administraciones de los Estados Miembros de la UIT, a los Miembros del Sector de Radiocomunicaciones, a los Asociados del UIT-R y a las Instituciones Académicas de la UIT que participan en los trabajos de la Comisión de Estudio </w:t>
            </w:r>
            <w:r w:rsidR="004949B8">
              <w:rPr>
                <w:b/>
                <w:bCs/>
                <w:lang w:val="es-ES"/>
              </w:rPr>
              <w:t>5</w:t>
            </w:r>
            <w:r w:rsidR="00790553">
              <w:rPr>
                <w:b/>
                <w:bCs/>
                <w:lang w:val="es-ES"/>
              </w:rPr>
              <w:t xml:space="preserve"> </w:t>
            </w:r>
            <w:r w:rsidR="00790553" w:rsidRPr="008B4EC6">
              <w:rPr>
                <w:b/>
                <w:bCs/>
                <w:lang w:val="es-ES"/>
              </w:rPr>
              <w:t>de Radiocomunicaciones</w:t>
            </w:r>
          </w:p>
        </w:tc>
      </w:tr>
      <w:tr w:rsidR="00E53DCE" w:rsidRPr="00CC0C7E" w14:paraId="5AC8FDCA" w14:textId="77777777" w:rsidTr="00306452">
        <w:trPr>
          <w:jc w:val="center"/>
        </w:trPr>
        <w:tc>
          <w:tcPr>
            <w:tcW w:w="9889" w:type="dxa"/>
            <w:gridSpan w:val="3"/>
          </w:tcPr>
          <w:p w14:paraId="660EA47B" w14:textId="77777777" w:rsidR="00E53DCE" w:rsidRPr="0033029C" w:rsidRDefault="00E53DCE" w:rsidP="00CF3666">
            <w:pPr>
              <w:spacing w:before="0"/>
              <w:rPr>
                <w:lang w:val="es-ES"/>
              </w:rPr>
            </w:pPr>
          </w:p>
        </w:tc>
      </w:tr>
      <w:tr w:rsidR="00E53DCE" w:rsidRPr="00CC0C7E" w14:paraId="5072478A" w14:textId="77777777" w:rsidTr="00306452">
        <w:trPr>
          <w:jc w:val="center"/>
        </w:trPr>
        <w:tc>
          <w:tcPr>
            <w:tcW w:w="9889" w:type="dxa"/>
            <w:gridSpan w:val="3"/>
          </w:tcPr>
          <w:p w14:paraId="6BBD18EE" w14:textId="77777777" w:rsidR="00E53DCE" w:rsidRPr="0033029C" w:rsidRDefault="00E53DCE" w:rsidP="00CF3666">
            <w:pPr>
              <w:spacing w:before="0"/>
              <w:rPr>
                <w:lang w:val="es-ES"/>
              </w:rPr>
            </w:pPr>
          </w:p>
        </w:tc>
      </w:tr>
      <w:tr w:rsidR="00E53DCE" w:rsidRPr="00CC0C7E" w14:paraId="53F8F969" w14:textId="77777777" w:rsidTr="00306452">
        <w:trPr>
          <w:jc w:val="center"/>
        </w:trPr>
        <w:tc>
          <w:tcPr>
            <w:tcW w:w="1526" w:type="dxa"/>
          </w:tcPr>
          <w:p w14:paraId="4B2F5452" w14:textId="77777777" w:rsidR="00E53DCE" w:rsidRPr="00CF3666" w:rsidRDefault="00311970" w:rsidP="00CF3666">
            <w:pPr>
              <w:spacing w:before="0"/>
              <w:rPr>
                <w:lang w:val="es-ES"/>
              </w:rPr>
            </w:pPr>
            <w:r w:rsidRPr="00CF3666">
              <w:rPr>
                <w:lang w:val="es-ES"/>
              </w:rPr>
              <w:t>Asunto:</w:t>
            </w:r>
          </w:p>
        </w:tc>
        <w:tc>
          <w:tcPr>
            <w:tcW w:w="8363" w:type="dxa"/>
            <w:gridSpan w:val="2"/>
            <w:vMerge w:val="restart"/>
          </w:tcPr>
          <w:p w14:paraId="15A9A1AF" w14:textId="5A307F65" w:rsidR="00CF3666" w:rsidRPr="00F167FB" w:rsidRDefault="00CF3666" w:rsidP="00CF3666">
            <w:pPr>
              <w:spacing w:before="0"/>
              <w:jc w:val="left"/>
              <w:rPr>
                <w:b/>
                <w:bCs/>
                <w:lang w:val="es-ES"/>
              </w:rPr>
            </w:pPr>
            <w:r w:rsidRPr="00F167FB">
              <w:rPr>
                <w:b/>
                <w:bCs/>
                <w:lang w:val="es-ES"/>
              </w:rPr>
              <w:t xml:space="preserve">Comisión de Estudio </w:t>
            </w:r>
            <w:r w:rsidR="004949B8" w:rsidRPr="004949B8">
              <w:rPr>
                <w:b/>
                <w:bCs/>
                <w:lang w:val="es-ES"/>
              </w:rPr>
              <w:t>5 de Radiocomunicaciones (Servicios terrenales)</w:t>
            </w:r>
          </w:p>
          <w:p w14:paraId="71C2A9CC" w14:textId="1B993268" w:rsidR="00E53DCE" w:rsidRPr="009D701E" w:rsidRDefault="009D701E" w:rsidP="004949B8">
            <w:pPr>
              <w:spacing w:before="120"/>
              <w:ind w:left="794" w:hanging="794"/>
              <w:jc w:val="left"/>
              <w:rPr>
                <w:bCs/>
                <w:szCs w:val="24"/>
                <w:lang w:val="es-ES"/>
              </w:rPr>
            </w:pPr>
            <w:r w:rsidRPr="00CF3666">
              <w:rPr>
                <w:b/>
                <w:bCs/>
                <w:lang w:val="es-ES"/>
              </w:rPr>
              <w:t>–</w:t>
            </w:r>
            <w:r w:rsidRPr="00CF3666">
              <w:rPr>
                <w:b/>
                <w:bCs/>
                <w:lang w:val="es-ES"/>
              </w:rPr>
              <w:tab/>
              <w:t xml:space="preserve">Propuesta de aprobación de </w:t>
            </w:r>
            <w:r w:rsidR="004949B8">
              <w:rPr>
                <w:b/>
                <w:bCs/>
                <w:lang w:val="es-ES"/>
              </w:rPr>
              <w:t>2</w:t>
            </w:r>
            <w:r w:rsidRPr="00CF3666">
              <w:rPr>
                <w:b/>
                <w:bCs/>
                <w:lang w:val="es-ES"/>
              </w:rPr>
              <w:t xml:space="preserve"> proyecto</w:t>
            </w:r>
            <w:r w:rsidRPr="004949B8">
              <w:rPr>
                <w:b/>
                <w:bCs/>
                <w:lang w:val="es-ES"/>
              </w:rPr>
              <w:t>s</w:t>
            </w:r>
            <w:r w:rsidRPr="00CF3666">
              <w:rPr>
                <w:b/>
                <w:bCs/>
                <w:lang w:val="es-ES"/>
              </w:rPr>
              <w:t xml:space="preserve"> de nueva Recomendación</w:t>
            </w:r>
            <w:r w:rsidR="00FE0355">
              <w:rPr>
                <w:b/>
                <w:bCs/>
                <w:lang w:val="es-ES"/>
              </w:rPr>
              <w:t xml:space="preserve"> UIT</w:t>
            </w:r>
            <w:r w:rsidR="00FE0355">
              <w:rPr>
                <w:b/>
                <w:bCs/>
                <w:lang w:val="es-ES"/>
              </w:rPr>
              <w:noBreakHyphen/>
              <w:t>R</w:t>
            </w:r>
            <w:r w:rsidRPr="00CF3666">
              <w:rPr>
                <w:b/>
                <w:bCs/>
                <w:lang w:val="es-ES"/>
              </w:rPr>
              <w:t xml:space="preserve"> y </w:t>
            </w:r>
            <w:r w:rsidR="004949B8">
              <w:rPr>
                <w:b/>
                <w:bCs/>
                <w:lang w:val="es-ES"/>
              </w:rPr>
              <w:t>1</w:t>
            </w:r>
            <w:r w:rsidRPr="00CF3666">
              <w:rPr>
                <w:b/>
                <w:bCs/>
                <w:lang w:val="es-ES"/>
              </w:rPr>
              <w:t xml:space="preserve"> proyecto de Recomendación </w:t>
            </w:r>
            <w:r w:rsidR="00FE0355">
              <w:rPr>
                <w:b/>
                <w:bCs/>
                <w:lang w:val="es-ES"/>
              </w:rPr>
              <w:t>UIT</w:t>
            </w:r>
            <w:r w:rsidR="00FE0355">
              <w:rPr>
                <w:b/>
                <w:bCs/>
                <w:lang w:val="es-ES"/>
              </w:rPr>
              <w:noBreakHyphen/>
              <w:t xml:space="preserve">R </w:t>
            </w:r>
            <w:r w:rsidRPr="00CF3666">
              <w:rPr>
                <w:b/>
                <w:bCs/>
                <w:lang w:val="es-ES"/>
              </w:rPr>
              <w:t>revisada</w:t>
            </w:r>
          </w:p>
        </w:tc>
      </w:tr>
      <w:tr w:rsidR="00E53DCE" w:rsidRPr="00CC0C7E" w14:paraId="5CCFBFBB" w14:textId="77777777" w:rsidTr="00306452">
        <w:trPr>
          <w:jc w:val="center"/>
        </w:trPr>
        <w:tc>
          <w:tcPr>
            <w:tcW w:w="1526" w:type="dxa"/>
          </w:tcPr>
          <w:p w14:paraId="11850631" w14:textId="77777777" w:rsidR="00E53DCE" w:rsidRPr="00CF3666" w:rsidRDefault="00E53DCE" w:rsidP="00CF3666">
            <w:pPr>
              <w:spacing w:before="0"/>
              <w:rPr>
                <w:lang w:val="es-ES"/>
              </w:rPr>
            </w:pPr>
          </w:p>
        </w:tc>
        <w:tc>
          <w:tcPr>
            <w:tcW w:w="8363" w:type="dxa"/>
            <w:gridSpan w:val="2"/>
            <w:vMerge/>
          </w:tcPr>
          <w:p w14:paraId="374B3F7F" w14:textId="77777777" w:rsidR="00E53DCE" w:rsidRPr="009D701E" w:rsidRDefault="00E53DCE" w:rsidP="006160CB">
            <w:pPr>
              <w:tabs>
                <w:tab w:val="clear" w:pos="1588"/>
                <w:tab w:val="left" w:pos="1560"/>
              </w:tabs>
              <w:spacing w:before="0"/>
              <w:rPr>
                <w:b/>
                <w:bCs/>
                <w:szCs w:val="24"/>
                <w:lang w:val="es-ES"/>
              </w:rPr>
            </w:pPr>
          </w:p>
        </w:tc>
      </w:tr>
      <w:tr w:rsidR="00E53DCE" w:rsidRPr="00CC0C7E" w14:paraId="234F764B" w14:textId="77777777" w:rsidTr="00306452">
        <w:trPr>
          <w:jc w:val="center"/>
        </w:trPr>
        <w:tc>
          <w:tcPr>
            <w:tcW w:w="1526" w:type="dxa"/>
          </w:tcPr>
          <w:p w14:paraId="28FB458C" w14:textId="77777777" w:rsidR="00E53DCE" w:rsidRPr="00CF3666" w:rsidRDefault="00E53DCE" w:rsidP="00CF3666">
            <w:pPr>
              <w:spacing w:before="0"/>
              <w:rPr>
                <w:lang w:val="es-ES"/>
              </w:rPr>
            </w:pPr>
          </w:p>
        </w:tc>
        <w:tc>
          <w:tcPr>
            <w:tcW w:w="8363" w:type="dxa"/>
            <w:gridSpan w:val="2"/>
            <w:vMerge/>
          </w:tcPr>
          <w:p w14:paraId="4AA7D2D1" w14:textId="77777777" w:rsidR="00E53DCE" w:rsidRPr="009D701E" w:rsidRDefault="00E53DCE" w:rsidP="006160CB">
            <w:pPr>
              <w:tabs>
                <w:tab w:val="clear" w:pos="1588"/>
                <w:tab w:val="left" w:pos="1560"/>
              </w:tabs>
              <w:spacing w:before="0"/>
              <w:rPr>
                <w:b/>
                <w:bCs/>
                <w:szCs w:val="24"/>
                <w:lang w:val="es-ES"/>
              </w:rPr>
            </w:pPr>
          </w:p>
        </w:tc>
      </w:tr>
      <w:tr w:rsidR="00AE7258" w:rsidRPr="00CC0C7E" w14:paraId="6686D097" w14:textId="77777777" w:rsidTr="00306452">
        <w:trPr>
          <w:jc w:val="center"/>
        </w:trPr>
        <w:tc>
          <w:tcPr>
            <w:tcW w:w="1526" w:type="dxa"/>
          </w:tcPr>
          <w:p w14:paraId="1AD254CB" w14:textId="77777777" w:rsidR="00AE7258" w:rsidRPr="00CF3666" w:rsidRDefault="00AE7258" w:rsidP="00CF3666">
            <w:pPr>
              <w:spacing w:before="0"/>
              <w:rPr>
                <w:lang w:val="es-ES"/>
              </w:rPr>
            </w:pPr>
          </w:p>
        </w:tc>
        <w:tc>
          <w:tcPr>
            <w:tcW w:w="8363" w:type="dxa"/>
            <w:gridSpan w:val="2"/>
          </w:tcPr>
          <w:p w14:paraId="120BB761" w14:textId="77777777" w:rsidR="00AE7258" w:rsidRPr="009D701E" w:rsidRDefault="00AE7258" w:rsidP="006160CB">
            <w:pPr>
              <w:tabs>
                <w:tab w:val="clear" w:pos="1588"/>
                <w:tab w:val="left" w:pos="1560"/>
              </w:tabs>
              <w:spacing w:before="0"/>
              <w:rPr>
                <w:b/>
                <w:bCs/>
                <w:szCs w:val="24"/>
                <w:lang w:val="es-ES"/>
              </w:rPr>
            </w:pPr>
          </w:p>
        </w:tc>
      </w:tr>
    </w:tbl>
    <w:p w14:paraId="1821FA54" w14:textId="7BB7C144" w:rsidR="009D701E" w:rsidRPr="000357A2" w:rsidRDefault="009D701E" w:rsidP="00AE7258">
      <w:pPr>
        <w:pStyle w:val="Normalaftertitle"/>
        <w:spacing w:before="480"/>
        <w:rPr>
          <w:lang w:val="es-ES"/>
        </w:rPr>
      </w:pPr>
      <w:r w:rsidRPr="000357A2">
        <w:rPr>
          <w:lang w:val="es-ES"/>
        </w:rPr>
        <w:t xml:space="preserve">En la reunión de la Comisión de Estudio </w:t>
      </w:r>
      <w:r w:rsidR="004949B8">
        <w:rPr>
          <w:lang w:val="es-ES"/>
        </w:rPr>
        <w:t>5</w:t>
      </w:r>
      <w:r w:rsidRPr="000357A2">
        <w:rPr>
          <w:lang w:val="es-ES"/>
        </w:rPr>
        <w:t xml:space="preserve"> de Radiocomunicaciones celebrada </w:t>
      </w:r>
      <w:r w:rsidRPr="004949B8">
        <w:rPr>
          <w:lang w:val="es-ES"/>
        </w:rPr>
        <w:t xml:space="preserve">del </w:t>
      </w:r>
      <w:r w:rsidR="004949B8" w:rsidRPr="004949B8">
        <w:rPr>
          <w:lang w:val="es-ES"/>
        </w:rPr>
        <w:t>1</w:t>
      </w:r>
      <w:r w:rsidRPr="004949B8">
        <w:rPr>
          <w:lang w:val="es-ES"/>
        </w:rPr>
        <w:t xml:space="preserve"> al </w:t>
      </w:r>
      <w:r w:rsidR="004949B8" w:rsidRPr="004949B8">
        <w:rPr>
          <w:lang w:val="es-ES"/>
        </w:rPr>
        <w:t>2</w:t>
      </w:r>
      <w:r w:rsidRPr="004949B8">
        <w:rPr>
          <w:lang w:val="es-ES"/>
        </w:rPr>
        <w:t xml:space="preserve"> de </w:t>
      </w:r>
      <w:r w:rsidR="004949B8" w:rsidRPr="004949B8">
        <w:rPr>
          <w:lang w:val="es-ES"/>
        </w:rPr>
        <w:t>diciembre</w:t>
      </w:r>
      <w:r w:rsidRPr="004949B8">
        <w:rPr>
          <w:lang w:val="es-ES"/>
        </w:rPr>
        <w:t xml:space="preserve"> de 20</w:t>
      </w:r>
      <w:r w:rsidR="004949B8" w:rsidRPr="004949B8">
        <w:rPr>
          <w:lang w:val="es-ES"/>
        </w:rPr>
        <w:t>25</w:t>
      </w:r>
      <w:r w:rsidRPr="004949B8">
        <w:rPr>
          <w:lang w:val="es-ES"/>
        </w:rPr>
        <w:t xml:space="preserve">, la Comisión de Estudio decidió solicitar la adopción de </w:t>
      </w:r>
      <w:r w:rsidR="004949B8">
        <w:rPr>
          <w:lang w:val="es-ES"/>
        </w:rPr>
        <w:t>2</w:t>
      </w:r>
      <w:r w:rsidRPr="000357A2">
        <w:rPr>
          <w:lang w:val="es-ES"/>
        </w:rPr>
        <w:t xml:space="preserve"> </w:t>
      </w:r>
      <w:r w:rsidRPr="003041BD">
        <w:rPr>
          <w:lang w:val="es-ES"/>
        </w:rPr>
        <w:t>proyectos de nueva Recomendación</w:t>
      </w:r>
      <w:r w:rsidR="00FE0355" w:rsidRPr="003041BD">
        <w:rPr>
          <w:lang w:val="es-ES"/>
        </w:rPr>
        <w:t xml:space="preserve"> UIT-R</w:t>
      </w:r>
      <w:r w:rsidRPr="003041BD">
        <w:rPr>
          <w:lang w:val="es-ES"/>
        </w:rPr>
        <w:t xml:space="preserve"> y </w:t>
      </w:r>
      <w:r w:rsidR="00E073ED" w:rsidRPr="003041BD">
        <w:rPr>
          <w:lang w:val="es-ES"/>
        </w:rPr>
        <w:t>1</w:t>
      </w:r>
      <w:r w:rsidRPr="003041BD">
        <w:rPr>
          <w:lang w:val="es-ES"/>
        </w:rPr>
        <w:t xml:space="preserve"> proyecto de Recomendación</w:t>
      </w:r>
      <w:r w:rsidR="00FE0355" w:rsidRPr="003041BD">
        <w:rPr>
          <w:lang w:val="es-ES"/>
        </w:rPr>
        <w:t xml:space="preserve"> UIT-R</w:t>
      </w:r>
      <w:r w:rsidRPr="003041BD">
        <w:rPr>
          <w:lang w:val="es-ES"/>
        </w:rPr>
        <w:t xml:space="preserve"> revisada por correspondencia, de conformidad con el § A2.6.2.2.3 de la Resolución UIT-R 1-9. Las Recomendaci</w:t>
      </w:r>
      <w:r w:rsidR="00E073ED" w:rsidRPr="003041BD">
        <w:rPr>
          <w:lang w:val="es-ES"/>
        </w:rPr>
        <w:t>o</w:t>
      </w:r>
      <w:r w:rsidRPr="003041BD">
        <w:rPr>
          <w:lang w:val="es-ES"/>
        </w:rPr>
        <w:t>ne</w:t>
      </w:r>
      <w:r w:rsidR="00E073ED" w:rsidRPr="003041BD">
        <w:rPr>
          <w:lang w:val="es-ES"/>
        </w:rPr>
        <w:t>s</w:t>
      </w:r>
      <w:r w:rsidRPr="003041BD">
        <w:rPr>
          <w:lang w:val="es-ES"/>
        </w:rPr>
        <w:t xml:space="preserve"> han sido adoptadas por la Comisión de Estudio </w:t>
      </w:r>
      <w:r w:rsidR="00E073ED" w:rsidRPr="003041BD">
        <w:rPr>
          <w:lang w:val="es-ES"/>
        </w:rPr>
        <w:t>5</w:t>
      </w:r>
      <w:r w:rsidRPr="003041BD">
        <w:rPr>
          <w:lang w:val="es-ES"/>
        </w:rPr>
        <w:t xml:space="preserve"> y debe aplicarse el procedimiento de aprobación del § A2.6.2.3 de la Resolución UIT-R 1-9. En el Anexo a la presente</w:t>
      </w:r>
      <w:r w:rsidR="00FE0355" w:rsidRPr="003041BD">
        <w:rPr>
          <w:lang w:val="es-ES"/>
        </w:rPr>
        <w:t xml:space="preserve"> carta</w:t>
      </w:r>
      <w:r w:rsidRPr="003041BD">
        <w:rPr>
          <w:lang w:val="es-ES"/>
        </w:rPr>
        <w:t xml:space="preserve"> se facilitan los títulos y los </w:t>
      </w:r>
      <w:r w:rsidR="00E073ED" w:rsidRPr="003041BD">
        <w:rPr>
          <w:lang w:val="es-ES"/>
        </w:rPr>
        <w:t>resúmenes</w:t>
      </w:r>
      <w:r w:rsidRPr="003041BD">
        <w:rPr>
          <w:lang w:val="es-ES"/>
        </w:rPr>
        <w:t xml:space="preserve"> de los proyectos de Recomendación. Todo Estado Miembro que se oponga</w:t>
      </w:r>
      <w:r w:rsidRPr="000357A2">
        <w:rPr>
          <w:lang w:val="es-ES"/>
        </w:rPr>
        <w:t xml:space="preserve"> a la aprobación de un proyecto de Recomendación debe informar al Director y al Presidente de la Comisión de Estudio de los motivos de dicha objeción.</w:t>
      </w:r>
    </w:p>
    <w:p w14:paraId="45D8EA05" w14:textId="5143DDBC" w:rsidR="009D701E" w:rsidRPr="005B2946" w:rsidRDefault="009D701E" w:rsidP="00CF3666">
      <w:pPr>
        <w:rPr>
          <w:lang w:val="es-ES"/>
        </w:rPr>
      </w:pPr>
      <w:r w:rsidRPr="000357A2">
        <w:rPr>
          <w:lang w:val="es-ES"/>
        </w:rPr>
        <w:t xml:space="preserve">Como indica la Circular Administrativa </w:t>
      </w:r>
      <w:hyperlink r:id="rId8" w:history="1">
        <w:r w:rsidRPr="0008712E">
          <w:rPr>
            <w:rStyle w:val="Hyperlink"/>
            <w:lang w:val="es-ES"/>
          </w:rPr>
          <w:t>CACE/</w:t>
        </w:r>
        <w:r w:rsidR="003041BD">
          <w:rPr>
            <w:rStyle w:val="Hyperlink"/>
            <w:lang w:val="es-ES"/>
          </w:rPr>
          <w:t>1165</w:t>
        </w:r>
      </w:hyperlink>
      <w:r w:rsidRPr="000357A2">
        <w:rPr>
          <w:lang w:val="es-ES"/>
        </w:rPr>
        <w:t xml:space="preserve"> </w:t>
      </w:r>
      <w:r w:rsidRPr="005B2946">
        <w:rPr>
          <w:lang w:val="es-ES"/>
        </w:rPr>
        <w:t xml:space="preserve">de </w:t>
      </w:r>
      <w:r w:rsidR="003041BD" w:rsidRPr="005B2946">
        <w:rPr>
          <w:lang w:val="es-ES"/>
        </w:rPr>
        <w:t>16 de diciembre de 2025</w:t>
      </w:r>
      <w:r w:rsidRPr="005B2946">
        <w:rPr>
          <w:lang w:val="es-ES"/>
        </w:rPr>
        <w:t>, el periodo de consulta para la adopción de las Recomendaci</w:t>
      </w:r>
      <w:r w:rsidR="003041BD" w:rsidRPr="005B2946">
        <w:rPr>
          <w:lang w:val="es-ES"/>
        </w:rPr>
        <w:t>o</w:t>
      </w:r>
      <w:r w:rsidRPr="005B2946">
        <w:rPr>
          <w:lang w:val="es-ES"/>
        </w:rPr>
        <w:t xml:space="preserve">nes finalizó el </w:t>
      </w:r>
      <w:r w:rsidR="003041BD" w:rsidRPr="005B2946">
        <w:rPr>
          <w:lang w:val="es-ES"/>
        </w:rPr>
        <w:t xml:space="preserve">16 de </w:t>
      </w:r>
      <w:r w:rsidR="005B2946" w:rsidRPr="005B2946">
        <w:rPr>
          <w:lang w:val="es-ES"/>
        </w:rPr>
        <w:t>febrero</w:t>
      </w:r>
      <w:r w:rsidR="003041BD" w:rsidRPr="005B2946">
        <w:rPr>
          <w:lang w:val="es-ES"/>
        </w:rPr>
        <w:t xml:space="preserve"> de 2026</w:t>
      </w:r>
      <w:r w:rsidRPr="005B2946">
        <w:rPr>
          <w:lang w:val="es-ES"/>
        </w:rPr>
        <w:t>.</w:t>
      </w:r>
    </w:p>
    <w:p w14:paraId="2D968E65" w14:textId="15F9538D" w:rsidR="009D701E" w:rsidRPr="000357A2" w:rsidRDefault="009D701E" w:rsidP="00CF3666">
      <w:pPr>
        <w:rPr>
          <w:lang w:val="es-ES"/>
        </w:rPr>
      </w:pPr>
      <w:r w:rsidRPr="005B2946">
        <w:rPr>
          <w:lang w:val="es-ES"/>
        </w:rPr>
        <w:t>Teniendo en cuenta las disposiciones del § A2.6.2.3 de la Resolución UIT-R 1</w:t>
      </w:r>
      <w:r w:rsidR="00CF3666" w:rsidRPr="005B2946">
        <w:rPr>
          <w:lang w:val="es-ES"/>
        </w:rPr>
        <w:noBreakHyphen/>
        <w:t>9</w:t>
      </w:r>
      <w:r w:rsidRPr="005B2946">
        <w:rPr>
          <w:lang w:val="es-ES"/>
        </w:rPr>
        <w:t>, se solicita a los Estados Miembros que informen a la Secretaría (</w:t>
      </w:r>
      <w:hyperlink r:id="rId9" w:history="1">
        <w:r w:rsidRPr="005B2946">
          <w:rPr>
            <w:rStyle w:val="Hyperlink"/>
            <w:lang w:val="es-ES"/>
          </w:rPr>
          <w:t>brsgd@itu.int</w:t>
        </w:r>
      </w:hyperlink>
      <w:r w:rsidRPr="005B2946">
        <w:rPr>
          <w:lang w:val="es-ES"/>
        </w:rPr>
        <w:t xml:space="preserve">) a más tardar el </w:t>
      </w:r>
      <w:r w:rsidR="005B2946" w:rsidRPr="005B2946">
        <w:rPr>
          <w:u w:val="single"/>
          <w:lang w:val="es-ES"/>
        </w:rPr>
        <w:t>2</w:t>
      </w:r>
      <w:r w:rsidR="00CC0C7E">
        <w:rPr>
          <w:u w:val="single"/>
          <w:lang w:val="es-ES"/>
        </w:rPr>
        <w:t>5</w:t>
      </w:r>
      <w:r w:rsidR="005B2946" w:rsidRPr="005B2946">
        <w:rPr>
          <w:u w:val="single"/>
          <w:lang w:val="es-ES"/>
        </w:rPr>
        <w:t xml:space="preserve"> de abril de 2026</w:t>
      </w:r>
      <w:r w:rsidRPr="005B2946">
        <w:rPr>
          <w:lang w:val="es-ES"/>
        </w:rPr>
        <w:t xml:space="preserve"> si aprueban o no </w:t>
      </w:r>
      <w:r w:rsidR="001F4C62" w:rsidRPr="005B2946">
        <w:rPr>
          <w:lang w:val="es-ES"/>
        </w:rPr>
        <w:t>las</w:t>
      </w:r>
      <w:r w:rsidRPr="005B2946">
        <w:rPr>
          <w:lang w:val="es-ES"/>
        </w:rPr>
        <w:t xml:space="preserve"> anterior</w:t>
      </w:r>
      <w:r w:rsidR="001F4C62" w:rsidRPr="005B2946">
        <w:rPr>
          <w:lang w:val="es-ES"/>
        </w:rPr>
        <w:t>es</w:t>
      </w:r>
      <w:r w:rsidRPr="005B2946">
        <w:rPr>
          <w:lang w:val="es-ES"/>
        </w:rPr>
        <w:t xml:space="preserve"> propuesta</w:t>
      </w:r>
      <w:r w:rsidR="001F4C62" w:rsidRPr="005B2946">
        <w:rPr>
          <w:lang w:val="es-ES"/>
        </w:rPr>
        <w:t>s</w:t>
      </w:r>
      <w:r w:rsidRPr="005B2946">
        <w:rPr>
          <w:lang w:val="es-ES"/>
        </w:rPr>
        <w:t>.</w:t>
      </w:r>
      <w:r w:rsidRPr="000357A2">
        <w:rPr>
          <w:lang w:val="es-ES"/>
        </w:rPr>
        <w:t xml:space="preserve"> </w:t>
      </w:r>
    </w:p>
    <w:p w14:paraId="326E9FC0" w14:textId="00EC392D" w:rsidR="00E53DCE" w:rsidRPr="009D701E" w:rsidRDefault="009D701E" w:rsidP="00CF3666">
      <w:pPr>
        <w:rPr>
          <w:szCs w:val="24"/>
          <w:lang w:val="es-ES"/>
        </w:rPr>
      </w:pPr>
      <w:r w:rsidRPr="000357A2">
        <w:rPr>
          <w:lang w:val="es-ES"/>
        </w:rPr>
        <w:t xml:space="preserve">Una vez transcurrido el plazo señalado, se anunciarán los resultados de esta consulta en una Circular Administrativa y </w:t>
      </w:r>
      <w:r w:rsidRPr="004C7456">
        <w:rPr>
          <w:lang w:val="es-ES"/>
        </w:rPr>
        <w:t>las Recomendaci</w:t>
      </w:r>
      <w:r w:rsidR="005B2946" w:rsidRPr="004C7456">
        <w:rPr>
          <w:lang w:val="es-ES"/>
        </w:rPr>
        <w:t>o</w:t>
      </w:r>
      <w:r w:rsidRPr="004C7456">
        <w:rPr>
          <w:lang w:val="es-ES"/>
        </w:rPr>
        <w:t>nes aprobadas se publicarán a</w:t>
      </w:r>
      <w:r w:rsidRPr="000357A2">
        <w:rPr>
          <w:lang w:val="es-ES"/>
        </w:rPr>
        <w:t xml:space="preserve"> la mayor brevedad posible (véase</w:t>
      </w:r>
      <w:r w:rsidR="00867E77">
        <w:rPr>
          <w:lang w:val="es-ES"/>
        </w:rPr>
        <w:t> </w:t>
      </w:r>
      <w:hyperlink r:id="rId10" w:history="1">
        <w:r w:rsidR="00867E77" w:rsidRPr="00E542A6">
          <w:rPr>
            <w:rStyle w:val="Hyperlink"/>
            <w:lang w:val="es-ES"/>
          </w:rPr>
          <w:t>http://www.itu.int/pub/R-REC</w:t>
        </w:r>
      </w:hyperlink>
      <w:r w:rsidRPr="000357A2">
        <w:rPr>
          <w:lang w:val="es-ES"/>
        </w:rPr>
        <w:t>)</w:t>
      </w:r>
      <w:r>
        <w:rPr>
          <w:lang w:val="es-ES"/>
        </w:rPr>
        <w:t>.</w:t>
      </w:r>
    </w:p>
    <w:p w14:paraId="47808862" w14:textId="77777777" w:rsidR="00AE7258" w:rsidRDefault="00AE7258">
      <w:pPr>
        <w:tabs>
          <w:tab w:val="clear" w:pos="794"/>
          <w:tab w:val="clear" w:pos="1191"/>
          <w:tab w:val="clear" w:pos="1588"/>
          <w:tab w:val="clear" w:pos="1985"/>
        </w:tabs>
        <w:overflowPunct/>
        <w:autoSpaceDE/>
        <w:autoSpaceDN/>
        <w:adjustRightInd/>
        <w:spacing w:before="0" w:line="240" w:lineRule="auto"/>
        <w:jc w:val="left"/>
        <w:textAlignment w:val="auto"/>
        <w:rPr>
          <w:lang w:val="es-ES"/>
        </w:rPr>
      </w:pPr>
      <w:r>
        <w:rPr>
          <w:lang w:val="es-ES"/>
        </w:rPr>
        <w:br w:type="page"/>
      </w:r>
    </w:p>
    <w:p w14:paraId="3819DC19" w14:textId="093BDC66" w:rsidR="009D701E" w:rsidRPr="000357A2" w:rsidRDefault="009D701E" w:rsidP="00CF3666">
      <w:pPr>
        <w:keepNext/>
        <w:keepLines/>
        <w:rPr>
          <w:lang w:val="es-ES"/>
        </w:rPr>
      </w:pPr>
      <w:r w:rsidRPr="000357A2">
        <w:rPr>
          <w:lang w:val="es-ES"/>
        </w:rPr>
        <w:lastRenderedPageBreak/>
        <w:t xml:space="preserve">Se solicita a toda organización miembro de la UIT que tenga conocimiento de una patente, de su propiedad o de propiedad ajena, que cubra total o parcialmente elementos </w:t>
      </w:r>
      <w:r w:rsidRPr="00AE7258">
        <w:rPr>
          <w:lang w:val="es-ES"/>
        </w:rPr>
        <w:t>de los proyectos de Recomendación mencionados en esta carta, que comunique dicha información</w:t>
      </w:r>
      <w:r w:rsidRPr="000357A2">
        <w:rPr>
          <w:lang w:val="es-ES"/>
        </w:rPr>
        <w:t xml:space="preserve"> a la Secretaría tan pronto como sea posible. La Política común en materia de patentes para UIT-T/UIT-R/ISO/CEI puede consultarse en </w:t>
      </w:r>
      <w:hyperlink r:id="rId11" w:history="1">
        <w:r w:rsidRPr="000357A2">
          <w:rPr>
            <w:rStyle w:val="Hyperlink"/>
            <w:lang w:val="es-ES"/>
          </w:rPr>
          <w:t>http://www.itu.int/en/ITU-T/ipr/Pages/policy.aspx</w:t>
        </w:r>
      </w:hyperlink>
      <w:r w:rsidRPr="000357A2">
        <w:rPr>
          <w:lang w:val="es-ES"/>
        </w:rPr>
        <w:t>.</w:t>
      </w:r>
    </w:p>
    <w:p w14:paraId="2C565C5E" w14:textId="77777777" w:rsidR="009D701E" w:rsidRPr="000357A2" w:rsidRDefault="009D701E" w:rsidP="001F4C62">
      <w:pPr>
        <w:spacing w:before="1200"/>
        <w:jc w:val="left"/>
        <w:rPr>
          <w:lang w:val="es-ES"/>
        </w:rPr>
      </w:pPr>
      <w:r w:rsidRPr="000357A2">
        <w:rPr>
          <w:lang w:val="es-ES"/>
        </w:rPr>
        <w:t xml:space="preserve">Mario </w:t>
      </w:r>
      <w:r w:rsidRPr="00CF3666">
        <w:rPr>
          <w:lang w:val="es-ES"/>
        </w:rPr>
        <w:t>Maniewicz</w:t>
      </w:r>
      <w:r w:rsidRPr="00CF3666">
        <w:rPr>
          <w:lang w:val="es-ES"/>
        </w:rPr>
        <w:br/>
      </w:r>
      <w:r w:rsidRPr="000357A2">
        <w:rPr>
          <w:lang w:val="es-ES"/>
        </w:rPr>
        <w:t>Director</w:t>
      </w:r>
    </w:p>
    <w:p w14:paraId="66039237" w14:textId="14A886BE" w:rsidR="009D701E" w:rsidRPr="000357A2" w:rsidRDefault="009D701E" w:rsidP="001F4C62">
      <w:pPr>
        <w:spacing w:before="1680"/>
        <w:ind w:left="1191" w:hanging="1191"/>
        <w:jc w:val="left"/>
        <w:rPr>
          <w:b/>
          <w:lang w:val="es-ES"/>
        </w:rPr>
      </w:pPr>
      <w:r w:rsidRPr="00AE7258">
        <w:rPr>
          <w:b/>
          <w:bCs/>
          <w:lang w:val="es-ES"/>
        </w:rPr>
        <w:t>Anexos:</w:t>
      </w:r>
      <w:r w:rsidRPr="00AE7258">
        <w:rPr>
          <w:b/>
          <w:bCs/>
          <w:lang w:val="es-ES"/>
        </w:rPr>
        <w:tab/>
      </w:r>
      <w:r w:rsidRPr="00AE7258">
        <w:rPr>
          <w:lang w:val="es-ES"/>
        </w:rPr>
        <w:t xml:space="preserve">Títulos y </w:t>
      </w:r>
      <w:r w:rsidR="00AE7258" w:rsidRPr="00AE7258">
        <w:rPr>
          <w:lang w:val="es-ES"/>
        </w:rPr>
        <w:t>resúmenes</w:t>
      </w:r>
      <w:r w:rsidRPr="00AE7258">
        <w:rPr>
          <w:lang w:val="es-ES"/>
        </w:rPr>
        <w:t xml:space="preserve"> de los proyectos</w:t>
      </w:r>
      <w:r w:rsidRPr="000357A2">
        <w:rPr>
          <w:lang w:val="es-ES"/>
        </w:rPr>
        <w:t xml:space="preserve"> de Recomendación</w:t>
      </w:r>
    </w:p>
    <w:p w14:paraId="320D2E42" w14:textId="0C9B794F" w:rsidR="009D701E" w:rsidRPr="00FE5DC5" w:rsidRDefault="009D701E" w:rsidP="00CF3666">
      <w:pPr>
        <w:spacing w:before="1200"/>
        <w:rPr>
          <w:lang w:val="es-ES"/>
        </w:rPr>
      </w:pPr>
      <w:r w:rsidRPr="00FE5DC5">
        <w:rPr>
          <w:b/>
          <w:lang w:val="es-ES"/>
        </w:rPr>
        <w:t>Documentos:</w:t>
      </w:r>
      <w:r w:rsidRPr="00FE5DC5">
        <w:rPr>
          <w:lang w:val="es-ES"/>
        </w:rPr>
        <w:tab/>
      </w:r>
      <w:r w:rsidR="00AE7258" w:rsidRPr="00FE5DC5">
        <w:rPr>
          <w:lang w:val="es-ES"/>
        </w:rPr>
        <w:t>Documentos 5/85(Rev.1), 5/86(Rev.1) y 5/106(Rev.1)</w:t>
      </w:r>
    </w:p>
    <w:p w14:paraId="3EB4717E" w14:textId="2B55B69A" w:rsidR="009D701E" w:rsidRPr="00AC4488" w:rsidRDefault="009D701E" w:rsidP="00FE5DC5">
      <w:pPr>
        <w:spacing w:before="240"/>
        <w:jc w:val="left"/>
        <w:rPr>
          <w:lang w:val="es-ES"/>
        </w:rPr>
      </w:pPr>
      <w:r w:rsidRPr="00FE5DC5">
        <w:rPr>
          <w:lang w:val="es-ES"/>
        </w:rPr>
        <w:t>Estos documentos están disponibles en formato electrónico en</w:t>
      </w:r>
      <w:r w:rsidR="00FE5DC5" w:rsidRPr="00FE5DC5">
        <w:rPr>
          <w:lang w:val="es-ES"/>
        </w:rPr>
        <w:t>:</w:t>
      </w:r>
      <w:r w:rsidRPr="00FE5DC5">
        <w:rPr>
          <w:lang w:val="es-ES"/>
        </w:rPr>
        <w:t xml:space="preserve"> </w:t>
      </w:r>
      <w:r w:rsidR="00FE5DC5" w:rsidRPr="00FE5DC5">
        <w:rPr>
          <w:lang w:val="es-ES"/>
        </w:rPr>
        <w:br/>
      </w:r>
      <w:hyperlink r:id="rId12" w:history="1">
        <w:r w:rsidR="00FE5DC5" w:rsidRPr="00FE5DC5">
          <w:rPr>
            <w:rStyle w:val="Hyperlink"/>
            <w:szCs w:val="24"/>
            <w:lang w:val="es-ES"/>
          </w:rPr>
          <w:t>https://www.itu.int/md/R23-SG05-C/en</w:t>
        </w:r>
      </w:hyperlink>
      <w:r w:rsidR="00D875B2" w:rsidRPr="00AC4488">
        <w:rPr>
          <w:lang w:val="es-ES"/>
        </w:rPr>
        <w:t>.</w:t>
      </w:r>
    </w:p>
    <w:p w14:paraId="6A4CE6FB" w14:textId="699A23D0" w:rsidR="009D701E" w:rsidRPr="00AC4488" w:rsidRDefault="009D701E" w:rsidP="00CF3666">
      <w:pPr>
        <w:rPr>
          <w:lang w:val="es-ES"/>
        </w:rPr>
      </w:pPr>
      <w:r w:rsidRPr="00AC4488">
        <w:rPr>
          <w:lang w:val="es-ES"/>
        </w:rPr>
        <w:br w:type="page"/>
      </w:r>
    </w:p>
    <w:p w14:paraId="1717CB30" w14:textId="537951B9" w:rsidR="009D701E" w:rsidRPr="000357A2" w:rsidRDefault="009D701E" w:rsidP="00D14876">
      <w:pPr>
        <w:pStyle w:val="AnnexNoTitle"/>
        <w:spacing w:before="600"/>
        <w:rPr>
          <w:lang w:val="es-ES"/>
        </w:rPr>
      </w:pPr>
      <w:r w:rsidRPr="000357A2">
        <w:rPr>
          <w:lang w:val="es-ES"/>
        </w:rPr>
        <w:lastRenderedPageBreak/>
        <w:t>Anexo</w:t>
      </w:r>
      <w:r w:rsidR="00CF3666">
        <w:rPr>
          <w:lang w:val="es-ES"/>
        </w:rPr>
        <w:br/>
      </w:r>
      <w:r w:rsidRPr="000357A2">
        <w:rPr>
          <w:lang w:val="es-ES"/>
        </w:rPr>
        <w:br/>
      </w:r>
      <w:r w:rsidRPr="00D14876">
        <w:rPr>
          <w:lang w:val="es-ES"/>
        </w:rPr>
        <w:t xml:space="preserve">Títulos y </w:t>
      </w:r>
      <w:r w:rsidR="00D14876" w:rsidRPr="00D14876">
        <w:rPr>
          <w:lang w:val="es-ES"/>
        </w:rPr>
        <w:t>resúmenes</w:t>
      </w:r>
      <w:r w:rsidRPr="00D14876">
        <w:rPr>
          <w:lang w:val="es-ES"/>
        </w:rPr>
        <w:t xml:space="preserve"> de los proyectos de Recomendación</w:t>
      </w:r>
      <w:r w:rsidRPr="00D14876">
        <w:rPr>
          <w:lang w:val="es-ES"/>
        </w:rPr>
        <w:br/>
        <w:t>adoptados por la Comisión de Estudio</w:t>
      </w:r>
      <w:r w:rsidRPr="000357A2">
        <w:rPr>
          <w:lang w:val="es-ES"/>
        </w:rPr>
        <w:t xml:space="preserve"> </w:t>
      </w:r>
      <w:r w:rsidR="00D14876">
        <w:rPr>
          <w:lang w:val="es-ES"/>
        </w:rPr>
        <w:t>5</w:t>
      </w:r>
      <w:r w:rsidRPr="000357A2">
        <w:rPr>
          <w:lang w:val="es-ES"/>
        </w:rPr>
        <w:t xml:space="preserve"> de Radiocomunicaciones</w:t>
      </w:r>
    </w:p>
    <w:p w14:paraId="5F4ECE48" w14:textId="33A71E0C" w:rsidR="00D14876" w:rsidRPr="00002FE3" w:rsidRDefault="00D14876" w:rsidP="00D14876">
      <w:pPr>
        <w:pStyle w:val="Normalaftertitle"/>
        <w:tabs>
          <w:tab w:val="left" w:pos="7797"/>
        </w:tabs>
        <w:rPr>
          <w:lang w:val="es-ES"/>
        </w:rPr>
      </w:pPr>
      <w:r w:rsidRPr="00AA7235">
        <w:rPr>
          <w:u w:val="single"/>
          <w:lang w:val="es-ES"/>
        </w:rPr>
        <w:t>Proyecto de nueva Recomendación UIT-R M.[</w:t>
      </w:r>
      <w:r w:rsidR="00DA1FB9">
        <w:rPr>
          <w:u w:val="single"/>
          <w:lang w:val="es-ES"/>
        </w:rPr>
        <w:t>IM</w:t>
      </w:r>
      <w:r w:rsidRPr="00BA3C70">
        <w:rPr>
          <w:u w:val="single"/>
          <w:lang w:val="es-ES"/>
        </w:rPr>
        <w:t>T-2020.UNWANT.BS</w:t>
      </w:r>
      <w:r w:rsidRPr="00AA7235">
        <w:rPr>
          <w:u w:val="single"/>
          <w:lang w:val="es-ES"/>
        </w:rPr>
        <w:t>]</w:t>
      </w:r>
      <w:r w:rsidRPr="00AA7235">
        <w:rPr>
          <w:lang w:val="es-ES"/>
        </w:rPr>
        <w:tab/>
        <w:t xml:space="preserve">Doc. </w:t>
      </w:r>
      <w:r>
        <w:rPr>
          <w:lang w:val="es-ES"/>
        </w:rPr>
        <w:t>5</w:t>
      </w:r>
      <w:r w:rsidRPr="00AA7235">
        <w:rPr>
          <w:lang w:val="es-ES"/>
        </w:rPr>
        <w:t>/</w:t>
      </w:r>
      <w:r>
        <w:rPr>
          <w:lang w:val="es-ES"/>
        </w:rPr>
        <w:t>85</w:t>
      </w:r>
      <w:r w:rsidRPr="00AA7235">
        <w:rPr>
          <w:lang w:val="es-ES"/>
        </w:rPr>
        <w:t>(Rev.1)</w:t>
      </w:r>
    </w:p>
    <w:p w14:paraId="6D4C877B" w14:textId="77777777" w:rsidR="00D14876" w:rsidRPr="007918DF" w:rsidRDefault="00D14876" w:rsidP="00D14876">
      <w:pPr>
        <w:keepNext/>
        <w:keepLines/>
        <w:spacing w:before="240" w:line="240" w:lineRule="auto"/>
        <w:jc w:val="center"/>
        <w:rPr>
          <w:b/>
          <w:sz w:val="28"/>
          <w:lang w:val="es-ES"/>
        </w:rPr>
      </w:pPr>
      <w:r w:rsidRPr="007918DF">
        <w:rPr>
          <w:b/>
          <w:sz w:val="28"/>
          <w:lang w:val="es-ES"/>
        </w:rPr>
        <w:t>Características de las emisiones no deseadas procedentes de estaciones base que utilizan las interfaces radioeléctricas terrenales de las IMT-2020</w:t>
      </w:r>
    </w:p>
    <w:p w14:paraId="2BF66608" w14:textId="77777777" w:rsidR="00D14876" w:rsidRPr="007918DF" w:rsidRDefault="00D14876" w:rsidP="00D14876">
      <w:pPr>
        <w:spacing w:before="200"/>
        <w:rPr>
          <w:szCs w:val="24"/>
          <w:lang w:val="es-ES" w:eastAsia="ja-JP"/>
        </w:rPr>
      </w:pPr>
      <w:r w:rsidRPr="007918DF">
        <w:rPr>
          <w:szCs w:val="24"/>
          <w:lang w:val="es-ES" w:eastAsia="ja-JP"/>
        </w:rPr>
        <w:t>A partir del material presentado a la UIT por organizaciones externas, en esta Recomendación se presentan las características de las emisiones no deseadas de las estaciones base que utilizan las interfaces radioeléctricas del componente terrenal de las IMT-2020 y las frecuencias de las bandas identificadas para las IMT.</w:t>
      </w:r>
    </w:p>
    <w:p w14:paraId="26B50D8F" w14:textId="77777777" w:rsidR="00D14876" w:rsidRPr="007918DF" w:rsidRDefault="00D14876" w:rsidP="00D14876">
      <w:pPr>
        <w:spacing w:before="120"/>
        <w:rPr>
          <w:lang w:val="es-ES" w:eastAsia="ja-JP"/>
        </w:rPr>
      </w:pPr>
      <w:r w:rsidRPr="007918DF">
        <w:rPr>
          <w:lang w:val="es-ES" w:eastAsia="ja-JP"/>
        </w:rPr>
        <w:t>Las administraciones pueden utilizar estas características de emisiones no deseadas para garantizar la compatibilidad intrasistema entre las redes terrenales IMT-2020, de conformidad con el Reglamento de Radiocomunicaciones.</w:t>
      </w:r>
    </w:p>
    <w:p w14:paraId="0AD5F9D3" w14:textId="77777777" w:rsidR="00D14876" w:rsidRPr="00002FE3" w:rsidRDefault="00D14876" w:rsidP="00D14876">
      <w:pPr>
        <w:pStyle w:val="Normalaftertitle"/>
        <w:tabs>
          <w:tab w:val="left" w:pos="7797"/>
        </w:tabs>
        <w:spacing w:before="240"/>
        <w:rPr>
          <w:lang w:val="es-ES"/>
        </w:rPr>
      </w:pPr>
      <w:r w:rsidRPr="00002FE3">
        <w:rPr>
          <w:u w:val="single"/>
          <w:lang w:val="es-ES"/>
        </w:rPr>
        <w:t xml:space="preserve">Proyecto de </w:t>
      </w:r>
      <w:r w:rsidRPr="00AA7235">
        <w:rPr>
          <w:u w:val="single"/>
          <w:lang w:val="es-ES"/>
        </w:rPr>
        <w:t>nueva Recomendación UIT-R M.[</w:t>
      </w:r>
      <w:r w:rsidRPr="00BA3C70">
        <w:rPr>
          <w:u w:val="single"/>
          <w:lang w:val="es-ES"/>
        </w:rPr>
        <w:t>IMT-2020.UNWANT.MS</w:t>
      </w:r>
      <w:r w:rsidRPr="00AA7235">
        <w:rPr>
          <w:u w:val="single"/>
          <w:lang w:val="es-ES"/>
        </w:rPr>
        <w:t>]</w:t>
      </w:r>
      <w:r w:rsidRPr="00AA7235">
        <w:rPr>
          <w:lang w:val="es-ES"/>
        </w:rPr>
        <w:tab/>
        <w:t xml:space="preserve">Doc. </w:t>
      </w:r>
      <w:r>
        <w:rPr>
          <w:lang w:val="es-ES"/>
        </w:rPr>
        <w:t>5</w:t>
      </w:r>
      <w:r w:rsidRPr="00AA7235">
        <w:rPr>
          <w:lang w:val="es-ES"/>
        </w:rPr>
        <w:t>/</w:t>
      </w:r>
      <w:r>
        <w:rPr>
          <w:lang w:val="es-ES"/>
        </w:rPr>
        <w:t>86</w:t>
      </w:r>
      <w:r w:rsidRPr="00AA7235">
        <w:rPr>
          <w:lang w:val="es-ES"/>
        </w:rPr>
        <w:t>(Rev.1)</w:t>
      </w:r>
    </w:p>
    <w:p w14:paraId="4DDDC315" w14:textId="77777777" w:rsidR="00D14876" w:rsidRPr="007918DF" w:rsidRDefault="00D14876" w:rsidP="00D14876">
      <w:pPr>
        <w:keepNext/>
        <w:keepLines/>
        <w:spacing w:before="240" w:line="240" w:lineRule="auto"/>
        <w:jc w:val="center"/>
        <w:rPr>
          <w:b/>
          <w:sz w:val="28"/>
          <w:lang w:val="es-ES"/>
        </w:rPr>
      </w:pPr>
      <w:r w:rsidRPr="007918DF">
        <w:rPr>
          <w:b/>
          <w:sz w:val="28"/>
          <w:lang w:val="es-ES"/>
        </w:rPr>
        <w:t>Características de las emisiones no deseadas de estaciones móviles que utilizan las interfaces radioeléctricas terrenales de las IMT-2020</w:t>
      </w:r>
    </w:p>
    <w:p w14:paraId="4F91D5A5" w14:textId="77777777" w:rsidR="00D14876" w:rsidRPr="007918DF" w:rsidRDefault="00D14876" w:rsidP="00D14876">
      <w:pPr>
        <w:spacing w:before="200"/>
        <w:rPr>
          <w:szCs w:val="24"/>
          <w:lang w:val="es-ES" w:eastAsia="ja-JP"/>
        </w:rPr>
      </w:pPr>
      <w:r w:rsidRPr="007918DF">
        <w:rPr>
          <w:szCs w:val="24"/>
          <w:lang w:val="es-ES" w:eastAsia="ja-JP"/>
        </w:rPr>
        <w:t xml:space="preserve">A partir del material presentado a la UIT por organizaciones externas, en esta Recomendación se presentan las características de las emisiones no deseadas de las estaciones móviles (equipos de usuario) que utilizan las interfaces radioeléctricas del componente terrenal de las IMT-2020 y las frecuencias de las bandas identificadas para las IMT. </w:t>
      </w:r>
    </w:p>
    <w:p w14:paraId="28BDECB1" w14:textId="77777777" w:rsidR="00D14876" w:rsidRPr="007918DF" w:rsidRDefault="00D14876" w:rsidP="00D14876">
      <w:pPr>
        <w:spacing w:before="120"/>
        <w:rPr>
          <w:lang w:val="es-ES" w:eastAsia="ja-JP"/>
        </w:rPr>
      </w:pPr>
      <w:r w:rsidRPr="007918DF">
        <w:rPr>
          <w:lang w:val="es-ES" w:eastAsia="ja-JP"/>
        </w:rPr>
        <w:t>Las administraciones pueden utilizar estas características de emisiones no deseadas para garantizar la compatibilidad intrasistema entre las redes terrenales IMT-2020, de conformidad con el Reglamento de Radiocomunicaciones.</w:t>
      </w:r>
    </w:p>
    <w:p w14:paraId="192DFC4C" w14:textId="77777777" w:rsidR="00D14876" w:rsidRPr="007918DF" w:rsidRDefault="00D14876" w:rsidP="00D14876">
      <w:pPr>
        <w:spacing w:before="120"/>
        <w:rPr>
          <w:lang w:val="es-ES" w:eastAsia="ja-JP"/>
        </w:rPr>
      </w:pPr>
      <w:r w:rsidRPr="007918DF">
        <w:rPr>
          <w:lang w:val="es-ES" w:eastAsia="ja-JP"/>
        </w:rPr>
        <w:t>Estas características pueden considerarse la base técnica común para la circulación mundial de terminales IMT-2020 y servir de guía a las administraciones a la hora de definir reglamentos a escala nacional.</w:t>
      </w:r>
    </w:p>
    <w:p w14:paraId="1434B9B7" w14:textId="77777777" w:rsidR="00D14876" w:rsidRPr="00002FE3" w:rsidRDefault="00D14876" w:rsidP="00D14876">
      <w:pPr>
        <w:pStyle w:val="Normalaftertitle"/>
        <w:tabs>
          <w:tab w:val="left" w:pos="7797"/>
        </w:tabs>
        <w:spacing w:before="240"/>
        <w:rPr>
          <w:lang w:val="es-ES"/>
        </w:rPr>
      </w:pPr>
      <w:r w:rsidRPr="00002FE3">
        <w:rPr>
          <w:u w:val="single"/>
          <w:lang w:val="es-ES"/>
        </w:rPr>
        <w:t xml:space="preserve">Proyecto </w:t>
      </w:r>
      <w:r w:rsidRPr="00AA7235">
        <w:rPr>
          <w:u w:val="single"/>
          <w:lang w:val="es-ES"/>
        </w:rPr>
        <w:t>de revisión de la Recomendación UIT-R M.585-9</w:t>
      </w:r>
      <w:r w:rsidRPr="00AA7235">
        <w:rPr>
          <w:lang w:val="es-ES"/>
        </w:rPr>
        <w:tab/>
        <w:t xml:space="preserve">Doc. </w:t>
      </w:r>
      <w:r>
        <w:rPr>
          <w:lang w:val="es-ES"/>
        </w:rPr>
        <w:t>5</w:t>
      </w:r>
      <w:r w:rsidRPr="00AA7235">
        <w:rPr>
          <w:lang w:val="es-ES"/>
        </w:rPr>
        <w:t>/</w:t>
      </w:r>
      <w:r>
        <w:rPr>
          <w:lang w:val="es-ES"/>
        </w:rPr>
        <w:t>106</w:t>
      </w:r>
      <w:r w:rsidRPr="00AA7235">
        <w:rPr>
          <w:lang w:val="es-ES"/>
        </w:rPr>
        <w:t>(Rev.1)</w:t>
      </w:r>
    </w:p>
    <w:p w14:paraId="45C56D9C" w14:textId="77777777" w:rsidR="00D14876" w:rsidRPr="00002FE3" w:rsidRDefault="00D14876" w:rsidP="00D14876">
      <w:pPr>
        <w:pStyle w:val="Rectitle"/>
        <w:spacing w:before="240"/>
        <w:rPr>
          <w:lang w:val="es-ES"/>
        </w:rPr>
      </w:pPr>
      <w:r w:rsidRPr="00E32F9C">
        <w:rPr>
          <w:lang w:val="es-ES"/>
        </w:rPr>
        <w:t>Asignación y uso de identidades del servicio móvil marítimo</w:t>
      </w:r>
    </w:p>
    <w:p w14:paraId="420AC221" w14:textId="77777777" w:rsidR="00D14876" w:rsidRPr="00A16E0C" w:rsidRDefault="00D14876" w:rsidP="00D14876">
      <w:pPr>
        <w:spacing w:before="200"/>
        <w:rPr>
          <w:lang w:val="es-ES"/>
        </w:rPr>
      </w:pPr>
      <w:r w:rsidRPr="00A16E0C">
        <w:rPr>
          <w:lang w:val="es-ES"/>
        </w:rPr>
        <w:t>En esta revisión se introduce un formato de identidad de 12 caracteres suplementario para los dispositivos que utilizan identidades numéricas de formato libre, por ejemplo, SIA-SART, MOB y RLS</w:t>
      </w:r>
      <w:r w:rsidRPr="00A16E0C">
        <w:rPr>
          <w:lang w:val="es-ES"/>
        </w:rPr>
        <w:noBreakHyphen/>
        <w:t>SIA. El aumento del número de dispositivos ha provocado el agotamiento del recurso de identificación del fabricante de 2 cifras original, que forma parte de la identidad del dispositivo de 9 cifras. Por consiguiente, se integra en la identidad de 9 cifras un MPP de información de identidad de dispositivo para crear la identidad marítima de 12 caracteres con el siguiente formato:</w:t>
      </w:r>
    </w:p>
    <w:p w14:paraId="31C63844" w14:textId="77777777" w:rsidR="00D14876" w:rsidRPr="00A16E0C" w:rsidRDefault="00D14876" w:rsidP="00D14876">
      <w:pPr>
        <w:spacing w:before="120"/>
        <w:jc w:val="center"/>
        <w:rPr>
          <w:lang w:val="es-ES"/>
        </w:rPr>
      </w:pPr>
      <w:r w:rsidRPr="00A16E0C">
        <w:rPr>
          <w:bCs/>
          <w:lang w:val="es-ES"/>
        </w:rPr>
        <w:t>9</w:t>
      </w:r>
      <w:r w:rsidRPr="00A16E0C">
        <w:rPr>
          <w:bCs/>
          <w:vertAlign w:val="subscript"/>
          <w:lang w:val="es-ES"/>
        </w:rPr>
        <w:t>1</w:t>
      </w:r>
      <w:r w:rsidRPr="00A16E0C">
        <w:rPr>
          <w:bCs/>
          <w:lang w:val="es-ES"/>
        </w:rPr>
        <w:t>7</w:t>
      </w:r>
      <w:r w:rsidRPr="00A16E0C">
        <w:rPr>
          <w:bCs/>
          <w:vertAlign w:val="subscript"/>
          <w:lang w:val="es-ES"/>
        </w:rPr>
        <w:t>2</w:t>
      </w:r>
      <w:r w:rsidRPr="00A16E0C">
        <w:rPr>
          <w:bCs/>
          <w:lang w:val="es-ES"/>
        </w:rPr>
        <w:t>T</w:t>
      </w:r>
      <w:r w:rsidRPr="00A16E0C">
        <w:rPr>
          <w:bCs/>
          <w:vertAlign w:val="subscript"/>
          <w:lang w:val="es-ES"/>
        </w:rPr>
        <w:t>3</w:t>
      </w:r>
      <w:r w:rsidRPr="00A16E0C">
        <w:rPr>
          <w:lang w:val="es-ES"/>
        </w:rPr>
        <w:t>X</w:t>
      </w:r>
      <w:r w:rsidRPr="00A16E0C">
        <w:rPr>
          <w:vertAlign w:val="subscript"/>
          <w:lang w:val="es-ES"/>
        </w:rPr>
        <w:t>4</w:t>
      </w:r>
      <w:r w:rsidRPr="00A16E0C">
        <w:rPr>
          <w:lang w:val="es-ES"/>
        </w:rPr>
        <w:t>X</w:t>
      </w:r>
      <w:r w:rsidRPr="00A16E0C">
        <w:rPr>
          <w:vertAlign w:val="subscript"/>
          <w:lang w:val="es-ES"/>
        </w:rPr>
        <w:t>5</w:t>
      </w:r>
      <w:r w:rsidRPr="00A16E0C">
        <w:rPr>
          <w:lang w:val="es-ES"/>
        </w:rPr>
        <w:t>M</w:t>
      </w:r>
      <w:r w:rsidRPr="00A16E0C">
        <w:rPr>
          <w:vertAlign w:val="subscript"/>
          <w:lang w:val="es-ES"/>
        </w:rPr>
        <w:t>6</w:t>
      </w:r>
      <w:r w:rsidRPr="00A16E0C">
        <w:rPr>
          <w:lang w:val="es-ES"/>
        </w:rPr>
        <w:t>P</w:t>
      </w:r>
      <w:r w:rsidRPr="00A16E0C">
        <w:rPr>
          <w:vertAlign w:val="subscript"/>
          <w:lang w:val="es-ES"/>
        </w:rPr>
        <w:t>7</w:t>
      </w:r>
      <w:r w:rsidRPr="00A16E0C">
        <w:rPr>
          <w:lang w:val="es-ES"/>
        </w:rPr>
        <w:t>P</w:t>
      </w:r>
      <w:r w:rsidRPr="00A16E0C">
        <w:rPr>
          <w:vertAlign w:val="subscript"/>
          <w:lang w:val="es-ES"/>
        </w:rPr>
        <w:t>8</w:t>
      </w:r>
      <w:r w:rsidRPr="00A16E0C">
        <w:rPr>
          <w:lang w:val="es-ES"/>
        </w:rPr>
        <w:t>Y</w:t>
      </w:r>
      <w:r w:rsidRPr="00A16E0C">
        <w:rPr>
          <w:vertAlign w:val="subscript"/>
          <w:lang w:val="es-ES"/>
        </w:rPr>
        <w:t>9</w:t>
      </w:r>
      <w:r w:rsidRPr="00A16E0C">
        <w:rPr>
          <w:lang w:val="es-ES"/>
        </w:rPr>
        <w:t>Y</w:t>
      </w:r>
      <w:r w:rsidRPr="00A16E0C">
        <w:rPr>
          <w:vertAlign w:val="subscript"/>
          <w:lang w:val="es-ES"/>
        </w:rPr>
        <w:t>10</w:t>
      </w:r>
      <w:r w:rsidRPr="00A16E0C">
        <w:rPr>
          <w:lang w:val="es-ES"/>
        </w:rPr>
        <w:t>Y</w:t>
      </w:r>
      <w:r w:rsidRPr="00A16E0C">
        <w:rPr>
          <w:vertAlign w:val="subscript"/>
          <w:lang w:val="es-ES"/>
        </w:rPr>
        <w:t>11</w:t>
      </w:r>
      <w:r w:rsidRPr="00A16E0C">
        <w:rPr>
          <w:lang w:val="es-ES"/>
        </w:rPr>
        <w:t>Y</w:t>
      </w:r>
      <w:r w:rsidRPr="00A16E0C">
        <w:rPr>
          <w:vertAlign w:val="subscript"/>
          <w:lang w:val="es-ES"/>
        </w:rPr>
        <w:t>12</w:t>
      </w:r>
    </w:p>
    <w:p w14:paraId="1C695F19" w14:textId="77777777" w:rsidR="00D14876" w:rsidRPr="00A16E0C" w:rsidRDefault="00D14876" w:rsidP="00D14876">
      <w:pPr>
        <w:spacing w:before="120" w:line="240" w:lineRule="auto"/>
        <w:rPr>
          <w:lang w:val="es-ES"/>
        </w:rPr>
      </w:pPr>
      <w:r w:rsidRPr="00A16E0C">
        <w:rPr>
          <w:lang w:val="es-ES"/>
        </w:rPr>
        <w:t xml:space="preserve">donde </w:t>
      </w:r>
      <w:r w:rsidRPr="00A16E0C">
        <w:rPr>
          <w:bCs/>
          <w:lang w:val="es-ES"/>
        </w:rPr>
        <w:t>T</w:t>
      </w:r>
      <w:r w:rsidRPr="00A16E0C">
        <w:rPr>
          <w:bCs/>
          <w:vertAlign w:val="subscript"/>
          <w:lang w:val="es-ES"/>
        </w:rPr>
        <w:t xml:space="preserve">3 </w:t>
      </w:r>
      <w:r w:rsidRPr="00A16E0C">
        <w:rPr>
          <w:bCs/>
          <w:lang w:val="es-ES"/>
        </w:rPr>
        <w:t>= tipo de dispositivo;</w:t>
      </w:r>
      <w:r w:rsidRPr="00A16E0C">
        <w:rPr>
          <w:lang w:val="es-ES"/>
        </w:rPr>
        <w:t xml:space="preserve"> </w:t>
      </w:r>
      <w:r w:rsidRPr="00A16E0C">
        <w:rPr>
          <w:bCs/>
          <w:lang w:val="es-ES"/>
        </w:rPr>
        <w:t>X</w:t>
      </w:r>
      <w:r w:rsidRPr="00A16E0C">
        <w:rPr>
          <w:bCs/>
          <w:vertAlign w:val="subscript"/>
          <w:lang w:val="es-ES"/>
        </w:rPr>
        <w:t>4</w:t>
      </w:r>
      <w:r w:rsidRPr="00A16E0C">
        <w:rPr>
          <w:bCs/>
          <w:lang w:val="es-ES"/>
        </w:rPr>
        <w:t>X</w:t>
      </w:r>
      <w:r w:rsidRPr="00A16E0C">
        <w:rPr>
          <w:bCs/>
          <w:vertAlign w:val="subscript"/>
          <w:lang w:val="es-ES"/>
        </w:rPr>
        <w:t>5</w:t>
      </w:r>
      <w:r w:rsidRPr="00A16E0C">
        <w:rPr>
          <w:lang w:val="es-ES"/>
        </w:rPr>
        <w:t> = ID de fabricante, de 01 a 99; M</w:t>
      </w:r>
      <w:r w:rsidRPr="00A16E0C">
        <w:rPr>
          <w:vertAlign w:val="subscript"/>
          <w:lang w:val="es-ES"/>
        </w:rPr>
        <w:t>6</w:t>
      </w:r>
      <w:r w:rsidRPr="00A16E0C">
        <w:rPr>
          <w:lang w:val="es-ES"/>
        </w:rPr>
        <w:t xml:space="preserve"> = sufijo alfanumérico de ID de fabricante suplementario; P</w:t>
      </w:r>
      <w:r w:rsidRPr="00A16E0C">
        <w:rPr>
          <w:vertAlign w:val="subscript"/>
          <w:lang w:val="es-ES"/>
        </w:rPr>
        <w:t>7</w:t>
      </w:r>
      <w:r w:rsidRPr="00A16E0C">
        <w:rPr>
          <w:lang w:val="es-ES"/>
        </w:rPr>
        <w:t>P</w:t>
      </w:r>
      <w:r w:rsidRPr="00A16E0C">
        <w:rPr>
          <w:vertAlign w:val="subscript"/>
          <w:lang w:val="es-ES"/>
        </w:rPr>
        <w:t>8</w:t>
      </w:r>
      <w:r w:rsidRPr="00A16E0C">
        <w:rPr>
          <w:lang w:val="es-ES"/>
        </w:rPr>
        <w:t xml:space="preserve"> = prefijo alfanumérico de número de secuencia suplementario; </w:t>
      </w:r>
      <w:r w:rsidRPr="00A16E0C">
        <w:rPr>
          <w:bCs/>
          <w:lang w:val="es-ES"/>
        </w:rPr>
        <w:t>Y</w:t>
      </w:r>
      <w:r w:rsidRPr="00A16E0C">
        <w:rPr>
          <w:bCs/>
          <w:vertAlign w:val="subscript"/>
          <w:lang w:val="es-ES"/>
        </w:rPr>
        <w:t>9</w:t>
      </w:r>
      <w:r w:rsidRPr="00A16E0C">
        <w:rPr>
          <w:bCs/>
          <w:lang w:val="es-ES"/>
        </w:rPr>
        <w:t>Y</w:t>
      </w:r>
      <w:r w:rsidRPr="00A16E0C">
        <w:rPr>
          <w:bCs/>
          <w:vertAlign w:val="subscript"/>
          <w:lang w:val="es-ES"/>
        </w:rPr>
        <w:t>10</w:t>
      </w:r>
      <w:r w:rsidRPr="00A16E0C">
        <w:rPr>
          <w:bCs/>
          <w:lang w:val="es-ES"/>
        </w:rPr>
        <w:t>Y</w:t>
      </w:r>
      <w:r w:rsidRPr="00A16E0C">
        <w:rPr>
          <w:bCs/>
          <w:vertAlign w:val="subscript"/>
          <w:lang w:val="es-ES"/>
        </w:rPr>
        <w:t>11</w:t>
      </w:r>
      <w:r w:rsidRPr="00A16E0C">
        <w:rPr>
          <w:bCs/>
          <w:lang w:val="es-ES"/>
        </w:rPr>
        <w:t>Y</w:t>
      </w:r>
      <w:r w:rsidRPr="00A16E0C">
        <w:rPr>
          <w:bCs/>
          <w:vertAlign w:val="subscript"/>
          <w:lang w:val="es-ES"/>
        </w:rPr>
        <w:t>12</w:t>
      </w:r>
      <w:r w:rsidRPr="00A16E0C">
        <w:rPr>
          <w:lang w:val="es-ES"/>
        </w:rPr>
        <w:t> = número de secuencia, de 0000 a 9999. La revisión propuesta contiene además revisiones formales que aumentan la claridad de esta Recomendación.</w:t>
      </w:r>
    </w:p>
    <w:p w14:paraId="4E0C8358" w14:textId="77777777" w:rsidR="009D701E" w:rsidRPr="000357A2" w:rsidRDefault="009D701E" w:rsidP="00D14876">
      <w:pPr>
        <w:spacing w:before="0"/>
        <w:jc w:val="center"/>
        <w:rPr>
          <w:rFonts w:asciiTheme="majorBidi" w:hAnsiTheme="majorBidi" w:cstheme="majorBidi"/>
          <w:lang w:val="es-ES"/>
        </w:rPr>
      </w:pPr>
      <w:r w:rsidRPr="000357A2">
        <w:rPr>
          <w:rFonts w:asciiTheme="majorBidi" w:hAnsiTheme="majorBidi" w:cstheme="majorBidi"/>
          <w:lang w:val="es-ES"/>
        </w:rPr>
        <w:t>______________</w:t>
      </w:r>
    </w:p>
    <w:sectPr w:rsidR="009D701E" w:rsidRPr="000357A2" w:rsidSect="00FE0355">
      <w:headerReference w:type="even" r:id="rId13"/>
      <w:headerReference w:type="default" r:id="rId14"/>
      <w:headerReference w:type="first" r:id="rId15"/>
      <w:footerReference w:type="first" r:id="rId16"/>
      <w:pgSz w:w="11907" w:h="16834" w:code="9"/>
      <w:pgMar w:top="1134" w:right="1134" w:bottom="992"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963C6" w14:textId="77777777" w:rsidR="004C6F2A" w:rsidRDefault="004C6F2A">
      <w:r>
        <w:separator/>
      </w:r>
    </w:p>
  </w:endnote>
  <w:endnote w:type="continuationSeparator" w:id="0">
    <w:p w14:paraId="324702AF" w14:textId="77777777" w:rsidR="004C6F2A" w:rsidRDefault="004C6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CBA0" w14:textId="43DBF9E2" w:rsidR="005370F0" w:rsidRPr="009D701E" w:rsidRDefault="00CF7B6D" w:rsidP="00132DD2">
    <w:pPr>
      <w:pStyle w:val="Footer"/>
      <w:spacing w:before="0" w:line="240" w:lineRule="auto"/>
      <w:jc w:val="center"/>
      <w:rPr>
        <w:sz w:val="19"/>
        <w:szCs w:val="19"/>
        <w:lang w:val="es-ES"/>
      </w:rPr>
    </w:pPr>
    <w:r w:rsidRPr="00353E34">
      <w:rPr>
        <w:color w:val="4F81BD" w:themeColor="accent1"/>
        <w:sz w:val="19"/>
        <w:szCs w:val="19"/>
        <w:lang w:val="es-ES"/>
      </w:rPr>
      <w:t>Unión Internacional de Telecomunicaciones • Place des Nations, CH-1211 Ginebra 20, Suiza</w:t>
    </w:r>
    <w:r w:rsidRPr="00353E34">
      <w:rPr>
        <w:color w:val="4F81BD" w:themeColor="accent1"/>
        <w:sz w:val="19"/>
        <w:szCs w:val="19"/>
        <w:lang w:val="es-ES"/>
      </w:rPr>
      <w:br/>
      <w:t xml:space="preserve">Tel.: +41 22 730 5111 • Correo-e: </w:t>
    </w:r>
    <w:hyperlink r:id="rId1" w:history="1">
      <w:r w:rsidR="00353E34" w:rsidRPr="000B33D5">
        <w:rPr>
          <w:rStyle w:val="Hyperlink"/>
          <w:sz w:val="19"/>
          <w:szCs w:val="19"/>
          <w:lang w:val="es-ES"/>
        </w:rPr>
        <w:t>brmail@itu.int</w:t>
      </w:r>
    </w:hyperlink>
    <w:r w:rsidRPr="00353E34">
      <w:rPr>
        <w:color w:val="4F81BD" w:themeColor="accent1"/>
        <w:sz w:val="19"/>
        <w:szCs w:val="19"/>
        <w:lang w:val="es-ES"/>
      </w:rPr>
      <w:t xml:space="preserve"> </w:t>
    </w:r>
    <w:r w:rsidRPr="00353E34">
      <w:rPr>
        <w:color w:val="4F81BD"/>
        <w:sz w:val="19"/>
        <w:szCs w:val="19"/>
        <w:lang w:val="es-ES"/>
      </w:rPr>
      <w:t xml:space="preserve">• Fax: +41 22 733 7256 • </w:t>
    </w:r>
    <w:hyperlink r:id="rId2" w:history="1">
      <w:r w:rsidR="00A26DAF" w:rsidRPr="00C34296">
        <w:rPr>
          <w:rStyle w:val="Hyperlink"/>
          <w:sz w:val="19"/>
          <w:szCs w:val="19"/>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A83D9" w14:textId="77777777" w:rsidR="004C6F2A" w:rsidRDefault="004C6F2A">
      <w:r>
        <w:t>____________________</w:t>
      </w:r>
    </w:p>
  </w:footnote>
  <w:footnote w:type="continuationSeparator" w:id="0">
    <w:p w14:paraId="4616E4FC" w14:textId="77777777" w:rsidR="004C6F2A" w:rsidRDefault="004C6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32448681"/>
      <w:docPartObj>
        <w:docPartGallery w:val="Page Numbers (Top of Page)"/>
        <w:docPartUnique/>
      </w:docPartObj>
    </w:sdtPr>
    <w:sdtEndPr>
      <w:rPr>
        <w:noProof/>
      </w:rPr>
    </w:sdtEndPr>
    <w:sdtContent>
      <w:p w14:paraId="502FA7BB" w14:textId="73D27A8F" w:rsidR="00E915AF" w:rsidRPr="00D875B2" w:rsidRDefault="006E4FE0" w:rsidP="00CF3666">
        <w:pPr>
          <w:pStyle w:val="Header"/>
          <w:jc w:val="center"/>
          <w:rPr>
            <w:sz w:val="18"/>
            <w:szCs w:val="18"/>
          </w:rPr>
        </w:pPr>
        <w:r w:rsidRPr="00D875B2">
          <w:rPr>
            <w:sz w:val="18"/>
            <w:szCs w:val="18"/>
          </w:rPr>
          <w:t xml:space="preserve">- </w:t>
        </w:r>
        <w:r w:rsidRPr="00D875B2">
          <w:rPr>
            <w:rStyle w:val="PageNumber"/>
            <w:sz w:val="18"/>
            <w:szCs w:val="18"/>
          </w:rPr>
          <w:fldChar w:fldCharType="begin"/>
        </w:r>
        <w:r w:rsidRPr="00D875B2">
          <w:rPr>
            <w:rStyle w:val="PageNumber"/>
            <w:sz w:val="18"/>
            <w:szCs w:val="18"/>
          </w:rPr>
          <w:instrText xml:space="preserve"> PAGE </w:instrText>
        </w:r>
        <w:r w:rsidRPr="00D875B2">
          <w:rPr>
            <w:rStyle w:val="PageNumber"/>
            <w:sz w:val="18"/>
            <w:szCs w:val="18"/>
          </w:rPr>
          <w:fldChar w:fldCharType="separate"/>
        </w:r>
        <w:r w:rsidRPr="00D875B2">
          <w:rPr>
            <w:rStyle w:val="PageNumber"/>
            <w:sz w:val="18"/>
            <w:szCs w:val="18"/>
          </w:rPr>
          <w:t>3</w:t>
        </w:r>
        <w:r w:rsidRPr="00D875B2">
          <w:rPr>
            <w:rStyle w:val="PageNumber"/>
            <w:sz w:val="18"/>
            <w:szCs w:val="18"/>
          </w:rPr>
          <w:fldChar w:fldCharType="end"/>
        </w:r>
        <w:r w:rsidRPr="00D875B2">
          <w:rPr>
            <w:rStyle w:val="PageNumber"/>
            <w:sz w:val="18"/>
            <w:szCs w:val="18"/>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3130194"/>
      <w:docPartObj>
        <w:docPartGallery w:val="Page Numbers (Top of Page)"/>
        <w:docPartUnique/>
      </w:docPartObj>
    </w:sdtPr>
    <w:sdtEndPr>
      <w:rPr>
        <w:noProof/>
      </w:rPr>
    </w:sdtEndPr>
    <w:sdtContent>
      <w:p w14:paraId="45B32C89" w14:textId="4219D378" w:rsidR="00E915AF" w:rsidRPr="00D875B2" w:rsidRDefault="006E4FE0" w:rsidP="00CF3666">
        <w:pPr>
          <w:pStyle w:val="Header"/>
          <w:jc w:val="center"/>
          <w:rPr>
            <w:sz w:val="18"/>
            <w:szCs w:val="18"/>
          </w:rPr>
        </w:pPr>
        <w:r w:rsidRPr="00D875B2">
          <w:rPr>
            <w:sz w:val="18"/>
            <w:szCs w:val="18"/>
          </w:rPr>
          <w:t xml:space="preserve">- </w:t>
        </w:r>
        <w:r w:rsidRPr="00D875B2">
          <w:rPr>
            <w:rStyle w:val="PageNumber"/>
            <w:sz w:val="18"/>
            <w:szCs w:val="18"/>
          </w:rPr>
          <w:fldChar w:fldCharType="begin"/>
        </w:r>
        <w:r w:rsidRPr="00D875B2">
          <w:rPr>
            <w:rStyle w:val="PageNumber"/>
            <w:sz w:val="18"/>
            <w:szCs w:val="18"/>
          </w:rPr>
          <w:instrText xml:space="preserve"> PAGE </w:instrText>
        </w:r>
        <w:r w:rsidRPr="00D875B2">
          <w:rPr>
            <w:rStyle w:val="PageNumber"/>
            <w:sz w:val="18"/>
            <w:szCs w:val="18"/>
          </w:rPr>
          <w:fldChar w:fldCharType="separate"/>
        </w:r>
        <w:r w:rsidRPr="00D875B2">
          <w:rPr>
            <w:rStyle w:val="PageNumber"/>
            <w:sz w:val="18"/>
            <w:szCs w:val="18"/>
          </w:rPr>
          <w:t>3</w:t>
        </w:r>
        <w:r w:rsidRPr="00D875B2">
          <w:rPr>
            <w:rStyle w:val="PageNumber"/>
            <w:sz w:val="18"/>
            <w:szCs w:val="18"/>
          </w:rPr>
          <w:fldChar w:fldCharType="end"/>
        </w:r>
        <w:r w:rsidRPr="00D875B2">
          <w:rPr>
            <w:rStyle w:val="PageNumber"/>
            <w:sz w:val="18"/>
            <w:szCs w:val="18"/>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91F0" w14:textId="1FEC9444" w:rsidR="00FE0355" w:rsidRPr="001B3D4D" w:rsidRDefault="00FE0355" w:rsidP="00FE0355">
    <w:pPr>
      <w:pStyle w:val="Header"/>
      <w:spacing w:before="840"/>
      <w:jc w:val="center"/>
    </w:pPr>
    <w:r>
      <w:rPr>
        <w:noProof/>
        <w:lang w:val="en-GB" w:eastAsia="en-GB"/>
      </w:rPr>
      <w:drawing>
        <wp:inline distT="0" distB="0" distL="0" distR="0" wp14:anchorId="5062E150" wp14:editId="7C6A953F">
          <wp:extent cx="765175" cy="765175"/>
          <wp:effectExtent l="0" t="0" r="0" b="0"/>
          <wp:docPr id="1350946514" name="Picture 1350946514"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946514" name="Picture 1350946514" descr="A blue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051809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789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2B7EE0"/>
    <w:rsid w:val="00006A31"/>
    <w:rsid w:val="00006C82"/>
    <w:rsid w:val="00010E30"/>
    <w:rsid w:val="00015C76"/>
    <w:rsid w:val="00026B1F"/>
    <w:rsid w:val="00026CF8"/>
    <w:rsid w:val="00030BD7"/>
    <w:rsid w:val="00031E64"/>
    <w:rsid w:val="00034340"/>
    <w:rsid w:val="00035CB3"/>
    <w:rsid w:val="00045A8D"/>
    <w:rsid w:val="0005167A"/>
    <w:rsid w:val="00054E5D"/>
    <w:rsid w:val="00070258"/>
    <w:rsid w:val="0007323C"/>
    <w:rsid w:val="00086D03"/>
    <w:rsid w:val="0008712E"/>
    <w:rsid w:val="00091A09"/>
    <w:rsid w:val="000A096A"/>
    <w:rsid w:val="000A375E"/>
    <w:rsid w:val="000A7051"/>
    <w:rsid w:val="000B0AF6"/>
    <w:rsid w:val="000B0E9B"/>
    <w:rsid w:val="000B2CAE"/>
    <w:rsid w:val="000C03C7"/>
    <w:rsid w:val="000C2AD0"/>
    <w:rsid w:val="000D3F3B"/>
    <w:rsid w:val="000E3DEE"/>
    <w:rsid w:val="000E4BCD"/>
    <w:rsid w:val="00100B72"/>
    <w:rsid w:val="00101F7D"/>
    <w:rsid w:val="00103C76"/>
    <w:rsid w:val="0011265F"/>
    <w:rsid w:val="00117282"/>
    <w:rsid w:val="00117389"/>
    <w:rsid w:val="00121C2D"/>
    <w:rsid w:val="00132DD2"/>
    <w:rsid w:val="00134404"/>
    <w:rsid w:val="001377B3"/>
    <w:rsid w:val="00144DFB"/>
    <w:rsid w:val="00187CA3"/>
    <w:rsid w:val="00191105"/>
    <w:rsid w:val="00195EB7"/>
    <w:rsid w:val="00196710"/>
    <w:rsid w:val="00196770"/>
    <w:rsid w:val="00197324"/>
    <w:rsid w:val="001B351B"/>
    <w:rsid w:val="001B3D4D"/>
    <w:rsid w:val="001B42C9"/>
    <w:rsid w:val="001C06DB"/>
    <w:rsid w:val="001C6971"/>
    <w:rsid w:val="001D2785"/>
    <w:rsid w:val="001D7070"/>
    <w:rsid w:val="001F2170"/>
    <w:rsid w:val="001F3948"/>
    <w:rsid w:val="001F4C62"/>
    <w:rsid w:val="001F5A49"/>
    <w:rsid w:val="00201097"/>
    <w:rsid w:val="00201B6E"/>
    <w:rsid w:val="002302B3"/>
    <w:rsid w:val="00230C66"/>
    <w:rsid w:val="00235A29"/>
    <w:rsid w:val="00241526"/>
    <w:rsid w:val="002443A2"/>
    <w:rsid w:val="00257BE7"/>
    <w:rsid w:val="00266E74"/>
    <w:rsid w:val="002819A8"/>
    <w:rsid w:val="00283C3B"/>
    <w:rsid w:val="002861E6"/>
    <w:rsid w:val="00287D18"/>
    <w:rsid w:val="002A2618"/>
    <w:rsid w:val="002A5DD7"/>
    <w:rsid w:val="002B0CAC"/>
    <w:rsid w:val="002B7EE0"/>
    <w:rsid w:val="002D5A15"/>
    <w:rsid w:val="002D5BDD"/>
    <w:rsid w:val="002E3B3A"/>
    <w:rsid w:val="002E3D27"/>
    <w:rsid w:val="002F0890"/>
    <w:rsid w:val="002F2531"/>
    <w:rsid w:val="002F4967"/>
    <w:rsid w:val="003041BD"/>
    <w:rsid w:val="00306452"/>
    <w:rsid w:val="00311970"/>
    <w:rsid w:val="00316935"/>
    <w:rsid w:val="003266ED"/>
    <w:rsid w:val="00326C68"/>
    <w:rsid w:val="0033029C"/>
    <w:rsid w:val="003370B8"/>
    <w:rsid w:val="00345D38"/>
    <w:rsid w:val="00352097"/>
    <w:rsid w:val="00353E34"/>
    <w:rsid w:val="003666FF"/>
    <w:rsid w:val="0037309C"/>
    <w:rsid w:val="00380A6E"/>
    <w:rsid w:val="003836D4"/>
    <w:rsid w:val="003974CD"/>
    <w:rsid w:val="003A1F49"/>
    <w:rsid w:val="003A55ED"/>
    <w:rsid w:val="003A5D52"/>
    <w:rsid w:val="003B2BDA"/>
    <w:rsid w:val="003B55EC"/>
    <w:rsid w:val="003C2EA7"/>
    <w:rsid w:val="003C4471"/>
    <w:rsid w:val="003C7D41"/>
    <w:rsid w:val="003D4A69"/>
    <w:rsid w:val="003E09F8"/>
    <w:rsid w:val="003E504F"/>
    <w:rsid w:val="003E78D6"/>
    <w:rsid w:val="003F0E9F"/>
    <w:rsid w:val="00400573"/>
    <w:rsid w:val="004007A3"/>
    <w:rsid w:val="00406D71"/>
    <w:rsid w:val="00416493"/>
    <w:rsid w:val="004326DB"/>
    <w:rsid w:val="0043682E"/>
    <w:rsid w:val="00447ECB"/>
    <w:rsid w:val="004623F7"/>
    <w:rsid w:val="00480F51"/>
    <w:rsid w:val="00481124"/>
    <w:rsid w:val="004815EB"/>
    <w:rsid w:val="00487569"/>
    <w:rsid w:val="004949B8"/>
    <w:rsid w:val="00496864"/>
    <w:rsid w:val="00496920"/>
    <w:rsid w:val="004A4496"/>
    <w:rsid w:val="004A5F47"/>
    <w:rsid w:val="004B11AB"/>
    <w:rsid w:val="004B7C9A"/>
    <w:rsid w:val="004C6779"/>
    <w:rsid w:val="004C6F2A"/>
    <w:rsid w:val="004C7456"/>
    <w:rsid w:val="004D733B"/>
    <w:rsid w:val="004E0DC4"/>
    <w:rsid w:val="004E0FB5"/>
    <w:rsid w:val="004E43BB"/>
    <w:rsid w:val="004E460D"/>
    <w:rsid w:val="004F178E"/>
    <w:rsid w:val="004F4543"/>
    <w:rsid w:val="004F57BB"/>
    <w:rsid w:val="00505309"/>
    <w:rsid w:val="0050789B"/>
    <w:rsid w:val="005224A1"/>
    <w:rsid w:val="0052333F"/>
    <w:rsid w:val="00534372"/>
    <w:rsid w:val="00535FEF"/>
    <w:rsid w:val="005370F0"/>
    <w:rsid w:val="00543DF8"/>
    <w:rsid w:val="00546101"/>
    <w:rsid w:val="00553364"/>
    <w:rsid w:val="00553DD7"/>
    <w:rsid w:val="005638CF"/>
    <w:rsid w:val="0056741E"/>
    <w:rsid w:val="0057325A"/>
    <w:rsid w:val="0057469A"/>
    <w:rsid w:val="00580814"/>
    <w:rsid w:val="00583A0B"/>
    <w:rsid w:val="005A03A3"/>
    <w:rsid w:val="005A2B92"/>
    <w:rsid w:val="005A3F66"/>
    <w:rsid w:val="005A79E9"/>
    <w:rsid w:val="005B214C"/>
    <w:rsid w:val="005B2946"/>
    <w:rsid w:val="005B4CDA"/>
    <w:rsid w:val="005D3669"/>
    <w:rsid w:val="005E5EB3"/>
    <w:rsid w:val="005F3CB6"/>
    <w:rsid w:val="005F657C"/>
    <w:rsid w:val="00602D53"/>
    <w:rsid w:val="006047E5"/>
    <w:rsid w:val="0064371D"/>
    <w:rsid w:val="00650543"/>
    <w:rsid w:val="00650B2A"/>
    <w:rsid w:val="00651777"/>
    <w:rsid w:val="006550F8"/>
    <w:rsid w:val="006829F3"/>
    <w:rsid w:val="006A518B"/>
    <w:rsid w:val="006B0590"/>
    <w:rsid w:val="006B49DA"/>
    <w:rsid w:val="006C53F8"/>
    <w:rsid w:val="006C7CDE"/>
    <w:rsid w:val="006E4FE0"/>
    <w:rsid w:val="00713C39"/>
    <w:rsid w:val="007234B1"/>
    <w:rsid w:val="00723D08"/>
    <w:rsid w:val="00725FDA"/>
    <w:rsid w:val="00727816"/>
    <w:rsid w:val="00730B9A"/>
    <w:rsid w:val="00750CFA"/>
    <w:rsid w:val="007553DA"/>
    <w:rsid w:val="00775DB8"/>
    <w:rsid w:val="00782354"/>
    <w:rsid w:val="00790553"/>
    <w:rsid w:val="007921A7"/>
    <w:rsid w:val="007B3DB1"/>
    <w:rsid w:val="007C6A4B"/>
    <w:rsid w:val="007D183E"/>
    <w:rsid w:val="007D43D0"/>
    <w:rsid w:val="007E1833"/>
    <w:rsid w:val="007E3F13"/>
    <w:rsid w:val="007E6606"/>
    <w:rsid w:val="007F751A"/>
    <w:rsid w:val="00800012"/>
    <w:rsid w:val="0080261F"/>
    <w:rsid w:val="00805A02"/>
    <w:rsid w:val="00806160"/>
    <w:rsid w:val="008143A4"/>
    <w:rsid w:val="0081513E"/>
    <w:rsid w:val="008312E3"/>
    <w:rsid w:val="00854131"/>
    <w:rsid w:val="0085652D"/>
    <w:rsid w:val="00867E77"/>
    <w:rsid w:val="0087694B"/>
    <w:rsid w:val="00880F4D"/>
    <w:rsid w:val="008B35A3"/>
    <w:rsid w:val="008B37E1"/>
    <w:rsid w:val="008B45F8"/>
    <w:rsid w:val="008C2E74"/>
    <w:rsid w:val="008D4B2D"/>
    <w:rsid w:val="008D5409"/>
    <w:rsid w:val="008D6955"/>
    <w:rsid w:val="008E006D"/>
    <w:rsid w:val="008E38B4"/>
    <w:rsid w:val="008F4F21"/>
    <w:rsid w:val="00904D4A"/>
    <w:rsid w:val="009076D7"/>
    <w:rsid w:val="00912DAB"/>
    <w:rsid w:val="009151BA"/>
    <w:rsid w:val="00925023"/>
    <w:rsid w:val="009277BC"/>
    <w:rsid w:val="00927D57"/>
    <w:rsid w:val="00931A51"/>
    <w:rsid w:val="00947185"/>
    <w:rsid w:val="009518B3"/>
    <w:rsid w:val="0095226F"/>
    <w:rsid w:val="00963D9D"/>
    <w:rsid w:val="0098013E"/>
    <w:rsid w:val="00981B54"/>
    <w:rsid w:val="009842C3"/>
    <w:rsid w:val="009A009A"/>
    <w:rsid w:val="009A6BB6"/>
    <w:rsid w:val="009B3F43"/>
    <w:rsid w:val="009B5CFA"/>
    <w:rsid w:val="009C161F"/>
    <w:rsid w:val="009C56B4"/>
    <w:rsid w:val="009D51A2"/>
    <w:rsid w:val="009D701E"/>
    <w:rsid w:val="009E04A8"/>
    <w:rsid w:val="009E4595"/>
    <w:rsid w:val="009E4AEC"/>
    <w:rsid w:val="009E5BD8"/>
    <w:rsid w:val="009E681E"/>
    <w:rsid w:val="00A119E6"/>
    <w:rsid w:val="00A20FBC"/>
    <w:rsid w:val="00A26DAF"/>
    <w:rsid w:val="00A31370"/>
    <w:rsid w:val="00A34D6F"/>
    <w:rsid w:val="00A41F91"/>
    <w:rsid w:val="00A63355"/>
    <w:rsid w:val="00A7596D"/>
    <w:rsid w:val="00A80EFE"/>
    <w:rsid w:val="00A963DF"/>
    <w:rsid w:val="00A96D3A"/>
    <w:rsid w:val="00AC0C22"/>
    <w:rsid w:val="00AC3896"/>
    <w:rsid w:val="00AC4488"/>
    <w:rsid w:val="00AD2CF2"/>
    <w:rsid w:val="00AE2D88"/>
    <w:rsid w:val="00AE6F6F"/>
    <w:rsid w:val="00AE7258"/>
    <w:rsid w:val="00AF3325"/>
    <w:rsid w:val="00AF34D9"/>
    <w:rsid w:val="00AF5B37"/>
    <w:rsid w:val="00AF70DA"/>
    <w:rsid w:val="00B019D3"/>
    <w:rsid w:val="00B34CF9"/>
    <w:rsid w:val="00B37559"/>
    <w:rsid w:val="00B4054B"/>
    <w:rsid w:val="00B579B0"/>
    <w:rsid w:val="00B57D11"/>
    <w:rsid w:val="00B649D7"/>
    <w:rsid w:val="00B81C2F"/>
    <w:rsid w:val="00B90743"/>
    <w:rsid w:val="00B90C45"/>
    <w:rsid w:val="00B933BE"/>
    <w:rsid w:val="00BD6738"/>
    <w:rsid w:val="00BD7E5E"/>
    <w:rsid w:val="00BE63DB"/>
    <w:rsid w:val="00BE6574"/>
    <w:rsid w:val="00BE6791"/>
    <w:rsid w:val="00C02F08"/>
    <w:rsid w:val="00C07319"/>
    <w:rsid w:val="00C16FD2"/>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C0C7E"/>
    <w:rsid w:val="00CE076A"/>
    <w:rsid w:val="00CE463D"/>
    <w:rsid w:val="00CF3666"/>
    <w:rsid w:val="00CF7B6D"/>
    <w:rsid w:val="00D10BA0"/>
    <w:rsid w:val="00D14876"/>
    <w:rsid w:val="00D21694"/>
    <w:rsid w:val="00D239B4"/>
    <w:rsid w:val="00D24EB5"/>
    <w:rsid w:val="00D35AB9"/>
    <w:rsid w:val="00D41571"/>
    <w:rsid w:val="00D416A0"/>
    <w:rsid w:val="00D47672"/>
    <w:rsid w:val="00D5123C"/>
    <w:rsid w:val="00D55560"/>
    <w:rsid w:val="00D61C5A"/>
    <w:rsid w:val="00D63BFF"/>
    <w:rsid w:val="00D6790C"/>
    <w:rsid w:val="00D73277"/>
    <w:rsid w:val="00D76586"/>
    <w:rsid w:val="00D82657"/>
    <w:rsid w:val="00D875B2"/>
    <w:rsid w:val="00D87E20"/>
    <w:rsid w:val="00D97EF5"/>
    <w:rsid w:val="00DA1FB9"/>
    <w:rsid w:val="00DA4037"/>
    <w:rsid w:val="00DD66C2"/>
    <w:rsid w:val="00DE66A5"/>
    <w:rsid w:val="00DF2B50"/>
    <w:rsid w:val="00E01059"/>
    <w:rsid w:val="00E04C86"/>
    <w:rsid w:val="00E06471"/>
    <w:rsid w:val="00E073ED"/>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4254"/>
    <w:rsid w:val="00E67928"/>
    <w:rsid w:val="00E706CF"/>
    <w:rsid w:val="00E70FB5"/>
    <w:rsid w:val="00E915AF"/>
    <w:rsid w:val="00E96415"/>
    <w:rsid w:val="00EA15B3"/>
    <w:rsid w:val="00EB2358"/>
    <w:rsid w:val="00EB3EB8"/>
    <w:rsid w:val="00EC00EF"/>
    <w:rsid w:val="00EC02FE"/>
    <w:rsid w:val="00EC4A96"/>
    <w:rsid w:val="00EE03A0"/>
    <w:rsid w:val="00F424BF"/>
    <w:rsid w:val="00F44FC3"/>
    <w:rsid w:val="00F46107"/>
    <w:rsid w:val="00F468C5"/>
    <w:rsid w:val="00F52F39"/>
    <w:rsid w:val="00F6184F"/>
    <w:rsid w:val="00F8310E"/>
    <w:rsid w:val="00F914DD"/>
    <w:rsid w:val="00F955D9"/>
    <w:rsid w:val="00FA2358"/>
    <w:rsid w:val="00FB2592"/>
    <w:rsid w:val="00FB2810"/>
    <w:rsid w:val="00FB7A2C"/>
    <w:rsid w:val="00FC2947"/>
    <w:rsid w:val="00FE0355"/>
    <w:rsid w:val="00FE0818"/>
    <w:rsid w:val="00FE37E7"/>
    <w:rsid w:val="00FE4822"/>
    <w:rsid w:val="00FE5DC5"/>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52904"/>
  <w15:docId w15:val="{540A99F6-8275-4534-8B63-70D0CB54E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F47"/>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CF3666"/>
    <w:pPr>
      <w:keepNext/>
      <w:keepLines/>
      <w:spacing w:before="720" w:after="120"/>
      <w:jc w:val="center"/>
    </w:pPr>
    <w:rPr>
      <w:b/>
      <w:sz w:val="28"/>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jc w:val="left"/>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character" w:styleId="UnresolvedMention">
    <w:name w:val="Unresolved Mention"/>
    <w:basedOn w:val="DefaultParagraphFont"/>
    <w:uiPriority w:val="99"/>
    <w:semiHidden/>
    <w:unhideWhenUsed/>
    <w:rsid w:val="00353E34"/>
    <w:rPr>
      <w:color w:val="605E5C"/>
      <w:shd w:val="clear" w:color="auto" w:fill="E1DFDD"/>
    </w:rPr>
  </w:style>
  <w:style w:type="character" w:styleId="PlaceholderText">
    <w:name w:val="Placeholder Text"/>
    <w:basedOn w:val="DefaultParagraphFont"/>
    <w:uiPriority w:val="99"/>
    <w:semiHidden/>
    <w:rsid w:val="009D701E"/>
    <w:rPr>
      <w:color w:val="808080"/>
    </w:rPr>
  </w:style>
  <w:style w:type="paragraph" w:customStyle="1" w:styleId="AnnexNotitle0">
    <w:name w:val="Annex_No &amp; title"/>
    <w:basedOn w:val="Normal"/>
    <w:next w:val="Normalaftertitle"/>
    <w:rsid w:val="009D701E"/>
    <w:pPr>
      <w:keepNext/>
      <w:keepLines/>
      <w:spacing w:before="480" w:line="240" w:lineRule="auto"/>
      <w:jc w:val="center"/>
    </w:pPr>
    <w:rPr>
      <w:rFonts w:ascii="Times New Roman" w:hAnsi="Times New Roman" w:cs="Times New Roman"/>
      <w:b/>
      <w:sz w:val="28"/>
      <w:szCs w:val="20"/>
      <w:lang w:val="en-GB"/>
    </w:rPr>
  </w:style>
  <w:style w:type="character" w:customStyle="1" w:styleId="TabletextChar">
    <w:name w:val="Table_text Char"/>
    <w:link w:val="Tabletext"/>
    <w:uiPriority w:val="99"/>
    <w:locked/>
    <w:rsid w:val="009D701E"/>
    <w:rPr>
      <w:szCs w:val="22"/>
      <w:lang w:val="en-US" w:eastAsia="en-US"/>
    </w:rPr>
  </w:style>
  <w:style w:type="character" w:customStyle="1" w:styleId="TableheadChar">
    <w:name w:val="Table_head Char"/>
    <w:basedOn w:val="DefaultParagraphFont"/>
    <w:link w:val="Tablehead"/>
    <w:uiPriority w:val="99"/>
    <w:locked/>
    <w:rsid w:val="009D701E"/>
    <w:rPr>
      <w:b/>
      <w:szCs w:val="22"/>
      <w:lang w:val="en-US" w:eastAsia="en-US"/>
    </w:rPr>
  </w:style>
  <w:style w:type="character" w:customStyle="1" w:styleId="RectitleChar">
    <w:name w:val="Rec_title Char"/>
    <w:link w:val="Rectitle"/>
    <w:rsid w:val="009D701E"/>
    <w:rPr>
      <w:b/>
      <w:sz w:val="28"/>
      <w:szCs w:val="22"/>
      <w:lang w:val="en-US" w:eastAsia="en-US"/>
    </w:rPr>
  </w:style>
  <w:style w:type="paragraph" w:customStyle="1" w:styleId="Reasons">
    <w:name w:val="Reasons"/>
    <w:basedOn w:val="Normal"/>
    <w:qFormat/>
    <w:rsid w:val="009D701E"/>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paragraph" w:customStyle="1" w:styleId="Summary">
    <w:name w:val="Summary"/>
    <w:basedOn w:val="Normal"/>
    <w:next w:val="Normal"/>
    <w:autoRedefine/>
    <w:rsid w:val="00191105"/>
    <w:pPr>
      <w:spacing w:before="240" w:line="240" w:lineRule="auto"/>
    </w:pPr>
    <w:rPr>
      <w:rFonts w:asciiTheme="minorHAnsi" w:hAnsiTheme="minorHAnsi" w:cstheme="minorHAnsi"/>
      <w:szCs w:val="24"/>
    </w:rPr>
  </w:style>
  <w:style w:type="character" w:styleId="FollowedHyperlink">
    <w:name w:val="FollowedHyperlink"/>
    <w:basedOn w:val="DefaultParagraphFont"/>
    <w:semiHidden/>
    <w:unhideWhenUsed/>
    <w:rsid w:val="00FE5D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65/e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R23-SG05-C/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ipr/Pages/policy.aspx"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tu.int/pub/R-REC" TargetMode="Externa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br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2387C-DC9E-461E-8AFA-8ECF22A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824</Words>
  <Characters>5119</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5932</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Fernandez Jimenez, Virginia</cp:lastModifiedBy>
  <cp:revision>13</cp:revision>
  <cp:lastPrinted>2013-03-08T10:15:00Z</cp:lastPrinted>
  <dcterms:created xsi:type="dcterms:W3CDTF">2026-02-16T10:00:00Z</dcterms:created>
  <dcterms:modified xsi:type="dcterms:W3CDTF">2026-02-19T09:50:00Z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