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BBFE278" w14:textId="77777777" w:rsidTr="00153E23">
        <w:tc>
          <w:tcPr>
            <w:tcW w:w="5000" w:type="pct"/>
            <w:gridSpan w:val="3"/>
          </w:tcPr>
          <w:p w14:paraId="014D32B1"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099E5F6F" w14:textId="77777777" w:rsidR="000F7BBE" w:rsidRPr="000F7BBE" w:rsidRDefault="000F7BBE" w:rsidP="000F7BBE">
            <w:pPr>
              <w:rPr>
                <w:b/>
                <w:bCs/>
                <w:rtl/>
                <w:lang w:bidi="ar-EG"/>
              </w:rPr>
            </w:pPr>
          </w:p>
        </w:tc>
      </w:tr>
      <w:tr w:rsidR="000F7BBE" w:rsidRPr="000F7BBE" w14:paraId="419D66C9" w14:textId="77777777" w:rsidTr="00153E23">
        <w:tc>
          <w:tcPr>
            <w:tcW w:w="2707" w:type="pct"/>
            <w:gridSpan w:val="2"/>
          </w:tcPr>
          <w:p w14:paraId="17ACB6E1" w14:textId="0B968C5A" w:rsidR="000F7BBE" w:rsidRPr="005E1EE3" w:rsidRDefault="000F7BBE" w:rsidP="005E1EE3">
            <w:pPr>
              <w:spacing w:before="80" w:line="300" w:lineRule="exact"/>
              <w:jc w:val="left"/>
              <w:rPr>
                <w:position w:val="2"/>
                <w:rtl/>
                <w:lang w:bidi="ar-SY"/>
              </w:rPr>
            </w:pPr>
            <w:r w:rsidRPr="005E1EE3">
              <w:rPr>
                <w:rFonts w:hint="cs"/>
                <w:position w:val="2"/>
                <w:rtl/>
                <w:lang w:bidi="ar-AE"/>
              </w:rPr>
              <w:t>الرسالة الإدارية المعممة</w:t>
            </w:r>
            <w:r w:rsidR="005E1EE3" w:rsidRPr="005E1EE3">
              <w:rPr>
                <w:position w:val="2"/>
                <w:rtl/>
                <w:lang w:bidi="ar-EG"/>
              </w:rPr>
              <w:br/>
            </w:r>
            <w:r w:rsidRPr="005E1EE3">
              <w:rPr>
                <w:b/>
                <w:bCs/>
                <w:position w:val="2"/>
                <w:lang w:val="en-GB" w:bidi="ar-EG"/>
              </w:rPr>
              <w:t>CACE</w:t>
            </w:r>
            <w:r w:rsidR="005E1EE3" w:rsidRPr="005E1EE3">
              <w:rPr>
                <w:b/>
                <w:bCs/>
                <w:position w:val="2"/>
                <w:lang w:val="en-GB" w:bidi="ar-EG"/>
              </w:rPr>
              <w:t>/1173</w:t>
            </w:r>
          </w:p>
        </w:tc>
        <w:tc>
          <w:tcPr>
            <w:tcW w:w="2293" w:type="pct"/>
          </w:tcPr>
          <w:p w14:paraId="57F087FA" w14:textId="4A57D10E" w:rsidR="000F7BBE" w:rsidRPr="005E1EE3" w:rsidRDefault="00A34214" w:rsidP="00F16820">
            <w:pPr>
              <w:spacing w:before="80" w:after="60" w:line="300" w:lineRule="exact"/>
              <w:jc w:val="right"/>
              <w:rPr>
                <w:position w:val="2"/>
                <w:rtl/>
                <w:lang w:bidi="ar-EG"/>
              </w:rPr>
            </w:pPr>
            <w:r>
              <w:rPr>
                <w:position w:val="2"/>
                <w:lang w:val="fr-FR" w:bidi="ar-EG"/>
              </w:rPr>
              <w:t>19</w:t>
            </w:r>
            <w:r w:rsidR="00F16820" w:rsidRPr="005E1EE3">
              <w:rPr>
                <w:rFonts w:hint="cs"/>
                <w:position w:val="2"/>
                <w:rtl/>
                <w:lang w:bidi="ar-SY"/>
              </w:rPr>
              <w:t xml:space="preserve"> </w:t>
            </w:r>
            <w:r w:rsidR="005E1EE3" w:rsidRPr="005E1EE3">
              <w:rPr>
                <w:rFonts w:hint="cs"/>
                <w:position w:val="2"/>
                <w:rtl/>
                <w:lang w:bidi="ar-SY"/>
              </w:rPr>
              <w:t xml:space="preserve">فبراير </w:t>
            </w:r>
            <w:r w:rsidR="005E1EE3" w:rsidRPr="005E1EE3">
              <w:rPr>
                <w:position w:val="2"/>
                <w:lang w:bidi="ar-SY"/>
              </w:rPr>
              <w:t>2026</w:t>
            </w:r>
          </w:p>
        </w:tc>
      </w:tr>
      <w:tr w:rsidR="000F7BBE" w:rsidRPr="000F7BBE" w14:paraId="2EFB4665" w14:textId="77777777" w:rsidTr="00153E23">
        <w:tc>
          <w:tcPr>
            <w:tcW w:w="5000" w:type="pct"/>
            <w:gridSpan w:val="3"/>
          </w:tcPr>
          <w:p w14:paraId="4E7D10D3" w14:textId="77777777" w:rsidR="000F7BBE" w:rsidRPr="005E1EE3" w:rsidRDefault="000F7BBE" w:rsidP="004111FB">
            <w:pPr>
              <w:spacing w:before="0" w:line="260" w:lineRule="exact"/>
              <w:rPr>
                <w:position w:val="2"/>
                <w:rtl/>
                <w:lang w:bidi="ar-SY"/>
              </w:rPr>
            </w:pPr>
          </w:p>
        </w:tc>
      </w:tr>
      <w:tr w:rsidR="000F7BBE" w:rsidRPr="000F7BBE" w14:paraId="39F3E8DE" w14:textId="77777777" w:rsidTr="00153E23">
        <w:tc>
          <w:tcPr>
            <w:tcW w:w="5000" w:type="pct"/>
            <w:gridSpan w:val="3"/>
          </w:tcPr>
          <w:p w14:paraId="78C85F10" w14:textId="77777777" w:rsidR="000F7BBE" w:rsidRPr="005E1EE3" w:rsidRDefault="000F7BBE" w:rsidP="004111FB">
            <w:pPr>
              <w:spacing w:before="0" w:line="260" w:lineRule="exact"/>
              <w:rPr>
                <w:position w:val="2"/>
                <w:rtl/>
                <w:lang w:bidi="ar-SY"/>
              </w:rPr>
            </w:pPr>
          </w:p>
        </w:tc>
      </w:tr>
      <w:tr w:rsidR="000F7BBE" w:rsidRPr="000F7BBE" w14:paraId="7AD0811A" w14:textId="77777777" w:rsidTr="00153E23">
        <w:tc>
          <w:tcPr>
            <w:tcW w:w="5000" w:type="pct"/>
            <w:gridSpan w:val="3"/>
          </w:tcPr>
          <w:p w14:paraId="5D395075" w14:textId="324E8850" w:rsidR="000F7BBE" w:rsidRPr="005E1EE3" w:rsidRDefault="000F7BBE" w:rsidP="00F16820">
            <w:pPr>
              <w:spacing w:before="80" w:after="60" w:line="300" w:lineRule="exact"/>
              <w:jc w:val="left"/>
              <w:rPr>
                <w:b/>
                <w:bCs/>
                <w:position w:val="2"/>
                <w:lang w:bidi="ar-EG"/>
              </w:rPr>
            </w:pPr>
            <w:r w:rsidRPr="005E1EE3">
              <w:rPr>
                <w:b/>
                <w:bCs/>
                <w:position w:val="2"/>
                <w:rtl/>
              </w:rPr>
              <w:t>إلى إدارات الدول الأعضاء في الاتحاد</w:t>
            </w:r>
            <w:r w:rsidR="00B1143A" w:rsidRPr="005E1EE3">
              <w:rPr>
                <w:rFonts w:hint="cs"/>
                <w:b/>
                <w:bCs/>
                <w:position w:val="2"/>
                <w:rtl/>
              </w:rPr>
              <w:t xml:space="preserve"> الدولي للاتصالات</w:t>
            </w:r>
            <w:r w:rsidRPr="005E1EE3">
              <w:rPr>
                <w:b/>
                <w:bCs/>
                <w:position w:val="2"/>
                <w:rtl/>
              </w:rPr>
              <w:t xml:space="preserve"> وأعضاء قطاع الاتصالات الراديوية</w:t>
            </w:r>
            <w:r w:rsidRPr="005E1EE3">
              <w:rPr>
                <w:rFonts w:hint="cs"/>
                <w:b/>
                <w:bCs/>
                <w:position w:val="2"/>
                <w:rtl/>
              </w:rPr>
              <w:t xml:space="preserve"> و</w:t>
            </w:r>
            <w:r w:rsidRPr="005E1EE3">
              <w:rPr>
                <w:b/>
                <w:bCs/>
                <w:position w:val="2"/>
                <w:rtl/>
              </w:rPr>
              <w:t>المنتسبين إليه</w:t>
            </w:r>
            <w:r w:rsidRPr="005E1EE3">
              <w:rPr>
                <w:b/>
                <w:bCs/>
                <w:position w:val="2"/>
                <w:rtl/>
              </w:rPr>
              <w:br/>
            </w:r>
            <w:r w:rsidRPr="005E1EE3">
              <w:rPr>
                <w:b/>
                <w:bCs/>
                <w:position w:val="2"/>
                <w:rtl/>
                <w:lang w:bidi="ar-EG"/>
              </w:rPr>
              <w:t xml:space="preserve">المشاركين في أعمال لجنة الدراسات </w:t>
            </w:r>
            <w:r w:rsidR="005E1EE3" w:rsidRPr="005E1EE3">
              <w:rPr>
                <w:b/>
                <w:bCs/>
                <w:position w:val="2"/>
                <w:lang w:val="en-GB" w:bidi="ar-EG"/>
              </w:rPr>
              <w:t>5</w:t>
            </w:r>
            <w:r w:rsidRPr="005E1EE3">
              <w:rPr>
                <w:b/>
                <w:bCs/>
                <w:position w:val="2"/>
                <w:rtl/>
                <w:lang w:bidi="ar-EG"/>
              </w:rPr>
              <w:t xml:space="preserve"> للاتصالات الراديوية</w:t>
            </w:r>
            <w:r w:rsidRPr="005E1EE3">
              <w:rPr>
                <w:rFonts w:hint="cs"/>
                <w:b/>
                <w:bCs/>
                <w:position w:val="2"/>
                <w:rtl/>
                <w:lang w:bidi="ar-EG"/>
              </w:rPr>
              <w:t xml:space="preserve"> والهيئات الأكاديمية المنضمة إلى الاتحاد</w:t>
            </w:r>
          </w:p>
        </w:tc>
      </w:tr>
      <w:tr w:rsidR="000F7BBE" w:rsidRPr="000F7BBE" w14:paraId="0BC0C882" w14:textId="77777777" w:rsidTr="00153E23">
        <w:tc>
          <w:tcPr>
            <w:tcW w:w="5000" w:type="pct"/>
            <w:gridSpan w:val="3"/>
          </w:tcPr>
          <w:p w14:paraId="2BF5B22A" w14:textId="77777777" w:rsidR="000F7BBE" w:rsidRPr="005E1EE3" w:rsidRDefault="000F7BBE" w:rsidP="004111FB">
            <w:pPr>
              <w:spacing w:before="0" w:line="260" w:lineRule="exact"/>
              <w:rPr>
                <w:position w:val="2"/>
                <w:rtl/>
                <w:lang w:bidi="ar-SY"/>
              </w:rPr>
            </w:pPr>
          </w:p>
        </w:tc>
      </w:tr>
      <w:tr w:rsidR="000F7BBE" w:rsidRPr="000F7BBE" w14:paraId="018F3621" w14:textId="77777777" w:rsidTr="00153E23">
        <w:tc>
          <w:tcPr>
            <w:tcW w:w="5000" w:type="pct"/>
            <w:gridSpan w:val="3"/>
          </w:tcPr>
          <w:p w14:paraId="7DD8CF22" w14:textId="77777777" w:rsidR="000F7BBE" w:rsidRPr="005E1EE3" w:rsidRDefault="000F7BBE" w:rsidP="004111FB">
            <w:pPr>
              <w:spacing w:before="0" w:line="260" w:lineRule="exact"/>
              <w:rPr>
                <w:position w:val="2"/>
                <w:rtl/>
                <w:lang w:bidi="ar-SY"/>
              </w:rPr>
            </w:pPr>
          </w:p>
        </w:tc>
      </w:tr>
      <w:tr w:rsidR="000F7BBE" w:rsidRPr="00A34214" w14:paraId="6DC2FAC1" w14:textId="77777777" w:rsidTr="00153E23">
        <w:trPr>
          <w:trHeight w:val="452"/>
        </w:trPr>
        <w:tc>
          <w:tcPr>
            <w:tcW w:w="699" w:type="pct"/>
          </w:tcPr>
          <w:p w14:paraId="6E1C3D51" w14:textId="77777777" w:rsidR="000F7BBE" w:rsidRPr="005E1EE3" w:rsidRDefault="000F7BBE" w:rsidP="000F7BBE">
            <w:pPr>
              <w:spacing w:before="80" w:after="60" w:line="300" w:lineRule="exact"/>
              <w:rPr>
                <w:position w:val="2"/>
                <w:lang w:val="fr-FR" w:bidi="ar-EG"/>
              </w:rPr>
            </w:pPr>
            <w:r w:rsidRPr="005E1EE3">
              <w:rPr>
                <w:position w:val="2"/>
                <w:rtl/>
              </w:rPr>
              <w:t>الموضوع</w:t>
            </w:r>
            <w:r w:rsidRPr="005E1EE3">
              <w:rPr>
                <w:position w:val="2"/>
                <w:lang w:val="en-GB" w:bidi="ar-EG"/>
              </w:rPr>
              <w:t>:</w:t>
            </w:r>
          </w:p>
        </w:tc>
        <w:tc>
          <w:tcPr>
            <w:tcW w:w="4301" w:type="pct"/>
            <w:gridSpan w:val="2"/>
          </w:tcPr>
          <w:p w14:paraId="4C694882" w14:textId="4A47D520" w:rsidR="00D37F70" w:rsidRPr="00536169" w:rsidRDefault="00D37F70" w:rsidP="00D37F70">
            <w:pPr>
              <w:spacing w:before="60" w:after="60" w:line="300" w:lineRule="exact"/>
              <w:rPr>
                <w:b/>
                <w:bCs/>
                <w:lang w:val="fr-FR" w:bidi="ar-EG"/>
              </w:rPr>
            </w:pPr>
            <w:r w:rsidRPr="005E1EE3">
              <w:rPr>
                <w:b/>
                <w:bCs/>
                <w:rtl/>
                <w:lang w:bidi="ar-EG"/>
              </w:rPr>
              <w:t xml:space="preserve">لجنة الدراسات </w:t>
            </w:r>
            <w:r w:rsidR="005E1EE3" w:rsidRPr="00536169">
              <w:rPr>
                <w:b/>
                <w:bCs/>
                <w:lang w:val="fr-FR" w:bidi="ar-EG"/>
              </w:rPr>
              <w:t>5</w:t>
            </w:r>
            <w:r w:rsidRPr="005E1EE3">
              <w:rPr>
                <w:b/>
                <w:bCs/>
                <w:rtl/>
                <w:lang w:bidi="ar-EG"/>
              </w:rPr>
              <w:t xml:space="preserve"> للاتصالات الراديوي</w:t>
            </w:r>
            <w:r w:rsidRPr="005E1EE3">
              <w:rPr>
                <w:rFonts w:hint="cs"/>
                <w:b/>
                <w:bCs/>
                <w:rtl/>
                <w:lang w:bidi="ar-EG"/>
              </w:rPr>
              <w:t>ة</w:t>
            </w:r>
            <w:r w:rsidRPr="005E1EE3">
              <w:rPr>
                <w:b/>
                <w:bCs/>
                <w:rtl/>
              </w:rPr>
              <w:t xml:space="preserve"> </w:t>
            </w:r>
            <w:sdt>
              <w:sdtPr>
                <w:rPr>
                  <w:b/>
                  <w:bCs/>
                  <w:rtl/>
                </w:rPr>
                <w:alias w:val="SG"/>
                <w:tag w:val="SG"/>
                <w:id w:val="-2083972692"/>
                <w:placeholder>
                  <w:docPart w:val="85BC8CD1A1584BBC98640D007CB1E04E"/>
                </w:placeholder>
              </w:sdtPr>
              <w:sdtEndPr>
                <w:rPr>
                  <w:rFonts w:hint="cs"/>
                </w:rPr>
              </w:sdtEndPr>
              <w:sdtContent>
                <w:sdt>
                  <w:sdtPr>
                    <w:rPr>
                      <w:b/>
                      <w:bCs/>
                      <w:rtl/>
                    </w:rPr>
                    <w:id w:val="1324467921"/>
                    <w:placeholder>
                      <w:docPart w:val="8328CE5E466C41F9AA216DC26699E710"/>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5E1EE3" w:rsidRPr="005E1EE3">
                      <w:rPr>
                        <w:b/>
                        <w:bCs/>
                        <w:rtl/>
                      </w:rPr>
                      <w:t>(خدمات الأرض)</w:t>
                    </w:r>
                  </w:sdtContent>
                </w:sdt>
              </w:sdtContent>
            </w:sdt>
          </w:p>
          <w:p w14:paraId="33CD8062" w14:textId="61F2C1C3" w:rsidR="000F7BBE" w:rsidRPr="00536169" w:rsidRDefault="00D37F70" w:rsidP="005E1EE3">
            <w:pPr>
              <w:tabs>
                <w:tab w:val="clear" w:pos="794"/>
                <w:tab w:val="left" w:pos="385"/>
              </w:tabs>
              <w:spacing w:before="60" w:after="60" w:line="300" w:lineRule="exact"/>
              <w:ind w:left="386" w:hanging="386"/>
              <w:rPr>
                <w:b/>
                <w:bCs/>
                <w:lang w:val="fr-FR" w:bidi="ar-EG"/>
              </w:rPr>
            </w:pPr>
            <w:r w:rsidRPr="005E1EE3">
              <w:rPr>
                <w:rFonts w:hint="cs"/>
                <w:b/>
                <w:bCs/>
                <w:rtl/>
                <w:lang w:bidi="ar-EG"/>
              </w:rPr>
              <w:t>-</w:t>
            </w:r>
            <w:r w:rsidRPr="005E1EE3">
              <w:rPr>
                <w:b/>
                <w:bCs/>
                <w:rtl/>
                <w:lang w:bidi="ar-EG"/>
              </w:rPr>
              <w:tab/>
            </w:r>
            <w:r w:rsidRPr="005E1EE3">
              <w:rPr>
                <w:rFonts w:hint="cs"/>
                <w:b/>
                <w:bCs/>
                <w:rtl/>
                <w:lang w:bidi="ar-EG"/>
              </w:rPr>
              <w:t xml:space="preserve">الموافقة على مسألة </w:t>
            </w:r>
            <w:r w:rsidRPr="005E1EE3">
              <w:rPr>
                <w:rFonts w:hint="cs"/>
                <w:b/>
                <w:bCs/>
                <w:rtl/>
              </w:rPr>
              <w:t>مراج</w:t>
            </w:r>
            <w:r w:rsidR="005E1EE3" w:rsidRPr="005E1EE3">
              <w:rPr>
                <w:rFonts w:hint="cs"/>
                <w:b/>
                <w:bCs/>
                <w:rtl/>
              </w:rPr>
              <w:t>َ</w:t>
            </w:r>
            <w:r w:rsidRPr="005E1EE3">
              <w:rPr>
                <w:rFonts w:hint="cs"/>
                <w:b/>
                <w:bCs/>
                <w:rtl/>
              </w:rPr>
              <w:t>عة</w:t>
            </w:r>
            <w:r w:rsidRPr="005E1EE3">
              <w:rPr>
                <w:rFonts w:hint="cs"/>
                <w:b/>
                <w:bCs/>
                <w:rtl/>
                <w:lang w:bidi="ar-EG"/>
              </w:rPr>
              <w:t xml:space="preserve"> </w:t>
            </w:r>
            <w:r w:rsidR="005E1EE3" w:rsidRPr="005E1EE3">
              <w:rPr>
                <w:rFonts w:hint="cs"/>
                <w:b/>
                <w:bCs/>
                <w:rtl/>
                <w:lang w:bidi="ar-EG"/>
              </w:rPr>
              <w:t xml:space="preserve">واحدة </w:t>
            </w:r>
            <w:r w:rsidRPr="005E1EE3">
              <w:rPr>
                <w:rFonts w:hint="cs"/>
                <w:b/>
                <w:bCs/>
                <w:rtl/>
              </w:rPr>
              <w:t>لقطاع الاتصالات</w:t>
            </w:r>
            <w:r w:rsidRPr="005E1EE3">
              <w:rPr>
                <w:rFonts w:hint="eastAsia"/>
                <w:b/>
                <w:bCs/>
                <w:rtl/>
              </w:rPr>
              <w:t> </w:t>
            </w:r>
            <w:r w:rsidRPr="005E1EE3">
              <w:rPr>
                <w:rFonts w:hint="cs"/>
                <w:b/>
                <w:bCs/>
                <w:rtl/>
              </w:rPr>
              <w:t>الراديوية</w:t>
            </w:r>
          </w:p>
        </w:tc>
      </w:tr>
      <w:tr w:rsidR="00FC09E8" w:rsidRPr="00A34214" w14:paraId="68180AE1" w14:textId="77777777" w:rsidTr="00153E23">
        <w:trPr>
          <w:trHeight w:val="452"/>
        </w:trPr>
        <w:tc>
          <w:tcPr>
            <w:tcW w:w="699" w:type="pct"/>
          </w:tcPr>
          <w:p w14:paraId="6C1A9F11" w14:textId="77777777" w:rsidR="00FC09E8" w:rsidRPr="000F7BBE" w:rsidRDefault="00FC09E8" w:rsidP="000F7BBE">
            <w:pPr>
              <w:spacing w:before="80" w:after="60" w:line="300" w:lineRule="exact"/>
              <w:rPr>
                <w:position w:val="2"/>
                <w:rtl/>
              </w:rPr>
            </w:pPr>
          </w:p>
        </w:tc>
        <w:tc>
          <w:tcPr>
            <w:tcW w:w="4301" w:type="pct"/>
            <w:gridSpan w:val="2"/>
          </w:tcPr>
          <w:p w14:paraId="5455512D"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D664A47" w14:textId="77777777" w:rsidR="00D02121" w:rsidRPr="00E32A3B" w:rsidRDefault="00D02121" w:rsidP="00D02121">
      <w:pPr>
        <w:spacing w:before="600"/>
        <w:rPr>
          <w:rtl/>
          <w:lang w:bidi="ar-EG"/>
        </w:rPr>
      </w:pPr>
      <w:r w:rsidRPr="00E32A3B">
        <w:rPr>
          <w:rFonts w:hint="cs"/>
          <w:rtl/>
          <w:lang w:bidi="ar-EG"/>
        </w:rPr>
        <w:t>تحية طيبة وبعد،</w:t>
      </w:r>
    </w:p>
    <w:p w14:paraId="583C7F40" w14:textId="7AE41EA4" w:rsidR="00D02121" w:rsidRPr="00D226D5" w:rsidRDefault="005E1EE3" w:rsidP="005E1EE3">
      <w:pPr>
        <w:pStyle w:val="Tablelegend"/>
        <w:spacing w:before="120"/>
        <w:rPr>
          <w:rtl/>
          <w:lang w:bidi="ar-EG"/>
        </w:rPr>
      </w:pPr>
      <w:r w:rsidRPr="005E1EE3">
        <w:rPr>
          <w:rtl/>
          <w:lang w:bidi="ar-SA"/>
        </w:rPr>
        <w:t xml:space="preserve">تم بموجب الرسالة الإدارية المعممة </w:t>
      </w:r>
      <w:hyperlink r:id="rId8" w:history="1">
        <w:r w:rsidRPr="00325329">
          <w:rPr>
            <w:rStyle w:val="Hyperlink"/>
            <w:lang w:val="fr-CH" w:bidi="ar-SA"/>
          </w:rPr>
          <w:t>CACE/1164</w:t>
        </w:r>
      </w:hyperlink>
      <w:r w:rsidRPr="005E1EE3">
        <w:rPr>
          <w:rtl/>
          <w:lang w:bidi="ar-SA"/>
        </w:rPr>
        <w:t xml:space="preserve"> المؤرخة 12 ديسمبر 2025، تقديم مشروع مسألة مراجَعة لقطاع الاتصالات الراديوية للموافقة عليها عن طريق المراسلة وفقاً للقرار ITU-R 1-9 (الفقرة</w:t>
      </w:r>
      <w:r w:rsidR="00325329">
        <w:rPr>
          <w:rFonts w:hint="cs"/>
          <w:rtl/>
          <w:lang w:bidi="ar-EG"/>
        </w:rPr>
        <w:t xml:space="preserve"> </w:t>
      </w:r>
      <w:r w:rsidR="00325329" w:rsidRPr="00536169">
        <w:rPr>
          <w:lang w:val="fr-FR" w:bidi="ar-EG"/>
        </w:rPr>
        <w:t>3.2.5.A2</w:t>
      </w:r>
      <w:r w:rsidRPr="005E1EE3">
        <w:rPr>
          <w:rtl/>
          <w:lang w:bidi="ar-SA"/>
        </w:rPr>
        <w:t>).</w:t>
      </w:r>
    </w:p>
    <w:p w14:paraId="1C03CB0D" w14:textId="77777777" w:rsidR="005E1EE3" w:rsidRPr="005E1EE3" w:rsidRDefault="005E1EE3" w:rsidP="005E1EE3">
      <w:pPr>
        <w:rPr>
          <w:rtl/>
        </w:rPr>
      </w:pPr>
      <w:r w:rsidRPr="005E1EE3">
        <w:rPr>
          <w:rtl/>
        </w:rPr>
        <w:t>وقد استُوفيَت الشروط الناظمة لهذا الإجراء في 12 فبراير 2026.</w:t>
      </w:r>
    </w:p>
    <w:p w14:paraId="7BC9AACC" w14:textId="5891668C" w:rsidR="00D02121" w:rsidRPr="00D226D5" w:rsidRDefault="005E1EE3" w:rsidP="005E1EE3">
      <w:pPr>
        <w:rPr>
          <w:rtl/>
          <w:lang w:bidi="ar-EG"/>
        </w:rPr>
      </w:pPr>
      <w:r w:rsidRPr="005E1EE3">
        <w:rPr>
          <w:rtl/>
        </w:rPr>
        <w:t>ويرد نص المسألة الموافَق عليها في الملحق بهذه الرسالة لتيسير اطلاعكم عليها وسوف ينشرها الاتحاد.</w:t>
      </w:r>
    </w:p>
    <w:p w14:paraId="02AA493A"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59C7E5F3" w14:textId="77777777" w:rsidR="00D02121" w:rsidRDefault="00D02121" w:rsidP="00536169">
      <w:pPr>
        <w:spacing w:before="1200"/>
        <w:jc w:val="left"/>
      </w:pPr>
      <w:r w:rsidRPr="00F16820">
        <w:rPr>
          <w:rtl/>
        </w:rPr>
        <w:t>ماريو مانيفيتش</w:t>
      </w:r>
      <w:r w:rsidRPr="00F16820">
        <w:rPr>
          <w:rtl/>
        </w:rPr>
        <w:br/>
      </w:r>
      <w:r w:rsidRPr="00F16820">
        <w:rPr>
          <w:rFonts w:hint="cs"/>
          <w:rtl/>
        </w:rPr>
        <w:t>المدير</w:t>
      </w:r>
    </w:p>
    <w:p w14:paraId="64CD77BD" w14:textId="24CD04D9" w:rsidR="00D02121" w:rsidRDefault="00D02121" w:rsidP="00070B39">
      <w:pPr>
        <w:spacing w:before="2400"/>
        <w:rPr>
          <w:lang w:bidi="ar-EG"/>
        </w:rPr>
      </w:pPr>
      <w:r w:rsidRPr="00325329">
        <w:rPr>
          <w:rFonts w:hint="cs"/>
          <w:b/>
          <w:bCs/>
          <w:rtl/>
          <w:lang w:bidi="ar-EG"/>
        </w:rPr>
        <w:t>الملحق</w:t>
      </w:r>
      <w:r w:rsidRPr="00325329">
        <w:rPr>
          <w:rFonts w:hint="cs"/>
          <w:rtl/>
          <w:lang w:bidi="ar-EG"/>
        </w:rPr>
        <w:t xml:space="preserve">: </w:t>
      </w:r>
      <w:r w:rsidR="005E1EE3" w:rsidRPr="00325329">
        <w:rPr>
          <w:rFonts w:hint="cs"/>
          <w:rtl/>
          <w:lang w:bidi="ar-EG"/>
        </w:rPr>
        <w:t>1</w:t>
      </w:r>
    </w:p>
    <w:p w14:paraId="3977840C" w14:textId="77777777" w:rsidR="00FC09E8" w:rsidRDefault="00FC09E8" w:rsidP="007A1910">
      <w:pPr>
        <w:rPr>
          <w:rtl/>
        </w:rPr>
      </w:pPr>
      <w:r>
        <w:rPr>
          <w:rtl/>
        </w:rPr>
        <w:br w:type="page"/>
      </w:r>
    </w:p>
    <w:p w14:paraId="391199E6" w14:textId="1C787CF8" w:rsidR="00D02121" w:rsidRPr="00325329" w:rsidRDefault="00D02121" w:rsidP="00D02121">
      <w:pPr>
        <w:pStyle w:val="AnnexNotitle"/>
        <w:spacing w:after="0"/>
        <w:rPr>
          <w:sz w:val="26"/>
          <w:szCs w:val="26"/>
          <w:rtl/>
        </w:rPr>
      </w:pPr>
      <w:r w:rsidRPr="00325329">
        <w:rPr>
          <w:rFonts w:hint="cs"/>
          <w:sz w:val="26"/>
          <w:szCs w:val="26"/>
          <w:rtl/>
        </w:rPr>
        <w:lastRenderedPageBreak/>
        <w:t>الملحق</w:t>
      </w:r>
    </w:p>
    <w:p w14:paraId="7349E8B7" w14:textId="3110285E" w:rsidR="00D02121" w:rsidRDefault="005E1EE3" w:rsidP="00325329">
      <w:pPr>
        <w:pStyle w:val="QuestionNoBR"/>
        <w:spacing w:before="360"/>
        <w:rPr>
          <w:rtl/>
        </w:rPr>
      </w:pPr>
      <w:r w:rsidRPr="005E1EE3">
        <w:rPr>
          <w:rtl/>
        </w:rPr>
        <w:t>المسألة ITU-R 37-7/5</w:t>
      </w:r>
    </w:p>
    <w:p w14:paraId="75719E5A" w14:textId="3B401F4F" w:rsidR="00D02121" w:rsidRPr="005E1EE3" w:rsidRDefault="005E1EE3" w:rsidP="00325329">
      <w:pPr>
        <w:pStyle w:val="QuestionTitle"/>
        <w:spacing w:after="240"/>
        <w:jc w:val="center"/>
        <w:rPr>
          <w:sz w:val="26"/>
          <w:szCs w:val="26"/>
          <w:rtl/>
        </w:rPr>
      </w:pPr>
      <w:bookmarkStart w:id="0" w:name="_Hlk198219075"/>
      <w:r w:rsidRPr="005E1EE3">
        <w:rPr>
          <w:sz w:val="26"/>
          <w:szCs w:val="26"/>
          <w:rtl/>
        </w:rPr>
        <w:t>الأنظمة المتنقلة البرية الرقمية لتطبيقات محددة</w:t>
      </w:r>
      <w:bookmarkEnd w:id="0"/>
    </w:p>
    <w:p w14:paraId="02BCC5F4" w14:textId="555EE9DE" w:rsidR="005E1EE3" w:rsidRDefault="005E1EE3" w:rsidP="00325329">
      <w:pPr>
        <w:pStyle w:val="Questiondate"/>
        <w:jc w:val="right"/>
        <w:rPr>
          <w:rtl/>
        </w:rPr>
      </w:pPr>
      <w:r w:rsidRPr="005E1EE3">
        <w:rPr>
          <w:rtl/>
        </w:rPr>
        <w:t>(‏2026-2012-2007-1997-1995-1992-1982-1978)</w:t>
      </w:r>
    </w:p>
    <w:p w14:paraId="1F02CC0D" w14:textId="77777777" w:rsidR="005E1EE3" w:rsidRPr="005E1EE3" w:rsidRDefault="005E1EE3" w:rsidP="00325329">
      <w:pPr>
        <w:pStyle w:val="Normalaftertitle"/>
        <w:rPr>
          <w:rtl/>
        </w:rPr>
      </w:pPr>
      <w:r w:rsidRPr="005E1EE3">
        <w:rPr>
          <w:rtl/>
        </w:rPr>
        <w:t>إن جمعية الاتصالات الراديوية للاتحاد الدولي للاتصالات،</w:t>
      </w:r>
    </w:p>
    <w:p w14:paraId="495AE139" w14:textId="77777777" w:rsidR="005E1EE3" w:rsidRPr="005E1EE3" w:rsidRDefault="005E1EE3" w:rsidP="00325329">
      <w:pPr>
        <w:pStyle w:val="Call"/>
        <w:rPr>
          <w:lang w:bidi="ar-EG"/>
        </w:rPr>
      </w:pPr>
      <w:r w:rsidRPr="005E1EE3">
        <w:rPr>
          <w:rtl/>
        </w:rPr>
        <w:t>إذ تضع في اعتبارها</w:t>
      </w:r>
    </w:p>
    <w:p w14:paraId="3E7F11A9" w14:textId="00AD773F" w:rsidR="005E1EE3" w:rsidRPr="005E1EE3" w:rsidRDefault="00325329" w:rsidP="005E1EE3">
      <w:pPr>
        <w:rPr>
          <w:rtl/>
        </w:rPr>
      </w:pPr>
      <w:r>
        <w:rPr>
          <w:rFonts w:hint="cs"/>
          <w:i/>
          <w:iCs/>
          <w:rtl/>
        </w:rPr>
        <w:t xml:space="preserve"> </w:t>
      </w:r>
      <w:r w:rsidR="005E1EE3" w:rsidRPr="005E1EE3">
        <w:rPr>
          <w:i/>
          <w:iCs/>
          <w:rtl/>
        </w:rPr>
        <w:t>أ )</w:t>
      </w:r>
      <w:r w:rsidR="005E1EE3" w:rsidRPr="005E1EE3">
        <w:rPr>
          <w:rtl/>
        </w:rPr>
        <w:tab/>
        <w:t>أن عدد المحطات الراديوية</w:t>
      </w:r>
      <w:r w:rsidR="005E1EE3" w:rsidRPr="005E1EE3">
        <w:rPr>
          <w:rtl/>
          <w:cs/>
        </w:rPr>
        <w:t>‎ في الخدمة المتنقلة البرية في ازدياد مطرد؛</w:t>
      </w:r>
    </w:p>
    <w:p w14:paraId="2BD564F3" w14:textId="77777777" w:rsidR="005E1EE3" w:rsidRPr="005E1EE3" w:rsidRDefault="005E1EE3" w:rsidP="005E1EE3">
      <w:pPr>
        <w:rPr>
          <w:rtl/>
        </w:rPr>
      </w:pPr>
      <w:r w:rsidRPr="005E1EE3">
        <w:rPr>
          <w:i/>
          <w:iCs/>
          <w:rtl/>
        </w:rPr>
        <w:t>ب)</w:t>
      </w:r>
      <w:r w:rsidRPr="005E1EE3">
        <w:rPr>
          <w:rtl/>
        </w:rPr>
        <w:tab/>
        <w:t>أن الطلب المتزايد على القنوات الراديوية في الخدمة المتنقلة البرية في مناطق جغرافية متعددة قد أدى إلى ازدحام خطير في نطاقات الترددات الموزَّعة لهذه الخدمة؛</w:t>
      </w:r>
    </w:p>
    <w:p w14:paraId="348E8EFA" w14:textId="77777777" w:rsidR="005E1EE3" w:rsidRPr="005E1EE3" w:rsidRDefault="005E1EE3" w:rsidP="005E1EE3">
      <w:pPr>
        <w:rPr>
          <w:rtl/>
        </w:rPr>
      </w:pPr>
      <w:r w:rsidRPr="005E1EE3">
        <w:rPr>
          <w:i/>
          <w:iCs/>
          <w:rtl/>
        </w:rPr>
        <w:t>ج)</w:t>
      </w:r>
      <w:r w:rsidRPr="005E1EE3">
        <w:rPr>
          <w:rtl/>
        </w:rPr>
        <w:tab/>
        <w:t>أنه من أجل التخفيف من حدة هذا الازدحام بالإضافة إلى الازدحام المتوقع في المستقبل، يُستحسن للخدمات المتنقلة البرية استعمال تقنيات التوفير في الطيف؛</w:t>
      </w:r>
    </w:p>
    <w:p w14:paraId="5C0FD859" w14:textId="77777777" w:rsidR="005E1EE3" w:rsidRPr="005E1EE3" w:rsidRDefault="005E1EE3" w:rsidP="005E1EE3">
      <w:pPr>
        <w:rPr>
          <w:rtl/>
        </w:rPr>
      </w:pPr>
      <w:r w:rsidRPr="005E1EE3">
        <w:rPr>
          <w:i/>
          <w:iCs/>
          <w:rtl/>
        </w:rPr>
        <w:t>د )</w:t>
      </w:r>
      <w:r w:rsidRPr="005E1EE3">
        <w:rPr>
          <w:rtl/>
        </w:rPr>
        <w:tab/>
        <w:t>أنه يمكن تحسين كفاءة استعمال الطيف بعد أن تؤخذ في الحسبان خصائص النظام الأساسية مثل كثافة الحركة، ودرجة الخدمة، وغير ذلك، بالإضافة إلى التكاليف:</w:t>
      </w:r>
    </w:p>
    <w:p w14:paraId="66EBABC4" w14:textId="77777777" w:rsidR="005E1EE3" w:rsidRPr="005E1EE3" w:rsidRDefault="005E1EE3" w:rsidP="00325329">
      <w:pPr>
        <w:pStyle w:val="enumlev1"/>
        <w:spacing w:after="80"/>
        <w:rPr>
          <w:rtl/>
        </w:rPr>
      </w:pPr>
      <w:r w:rsidRPr="005E1EE3">
        <w:rPr>
          <w:lang w:val="fr-CH"/>
        </w:rPr>
        <w:t>–</w:t>
      </w:r>
      <w:r w:rsidRPr="005E1EE3">
        <w:rPr>
          <w:rtl/>
        </w:rPr>
        <w:tab/>
        <w:t>من خلال إتاحة عدد متزايد من قنوات الحركة في عرض نطاق محدد؛</w:t>
      </w:r>
    </w:p>
    <w:p w14:paraId="7A296B72" w14:textId="77777777" w:rsidR="005E1EE3" w:rsidRPr="005E1EE3" w:rsidRDefault="005E1EE3" w:rsidP="00325329">
      <w:pPr>
        <w:pStyle w:val="enumlev1"/>
        <w:spacing w:after="80"/>
        <w:rPr>
          <w:rtl/>
        </w:rPr>
      </w:pPr>
      <w:r w:rsidRPr="005E1EE3">
        <w:rPr>
          <w:lang w:val="fr-CH"/>
        </w:rPr>
        <w:t>–</w:t>
      </w:r>
      <w:r w:rsidRPr="005E1EE3">
        <w:rPr>
          <w:rtl/>
        </w:rPr>
        <w:tab/>
        <w:t>من خلال الوصول إلى الحد الأمثل لمساحة مناطق تغطية المحطات القاعدة حسب الطلب على الحركة؛</w:t>
      </w:r>
    </w:p>
    <w:p w14:paraId="220BEE2D" w14:textId="77777777" w:rsidR="005E1EE3" w:rsidRPr="005E1EE3" w:rsidRDefault="005E1EE3" w:rsidP="00325329">
      <w:pPr>
        <w:pStyle w:val="enumlev1"/>
        <w:spacing w:after="80"/>
        <w:rPr>
          <w:rtl/>
        </w:rPr>
      </w:pPr>
      <w:r w:rsidRPr="005E1EE3">
        <w:rPr>
          <w:lang w:val="fr-CH"/>
        </w:rPr>
        <w:t>–</w:t>
      </w:r>
      <w:r w:rsidRPr="005E1EE3">
        <w:rPr>
          <w:rtl/>
        </w:rPr>
        <w:tab/>
        <w:t>من خلال الجمع بين هذه التقنيات وغيرها؛</w:t>
      </w:r>
    </w:p>
    <w:p w14:paraId="3EBCEE45" w14:textId="0DABF5BC" w:rsidR="005E1EE3" w:rsidRPr="005E1EE3" w:rsidRDefault="005E1EE3" w:rsidP="005E1EE3">
      <w:pPr>
        <w:rPr>
          <w:rtl/>
        </w:rPr>
      </w:pPr>
      <w:r w:rsidRPr="005E1EE3">
        <w:rPr>
          <w:i/>
          <w:iCs/>
          <w:rtl/>
        </w:rPr>
        <w:t>ه</w:t>
      </w:r>
      <w:r w:rsidR="00325329">
        <w:rPr>
          <w:rFonts w:hint="cs"/>
          <w:i/>
          <w:iCs/>
          <w:rtl/>
        </w:rPr>
        <w:t>‍</w:t>
      </w:r>
      <w:r w:rsidRPr="005E1EE3">
        <w:rPr>
          <w:i/>
          <w:iCs/>
          <w:rtl/>
        </w:rPr>
        <w:t xml:space="preserve"> )</w:t>
      </w:r>
      <w:r w:rsidRPr="005E1EE3">
        <w:rPr>
          <w:rtl/>
        </w:rPr>
        <w:tab/>
        <w:t>أن تطوير تطبيقات الصناعة في الخدمة المتنقلة البرية يعزز الابتكار والاقتصاد الرقمي والتنمية الاجتماعية؛</w:t>
      </w:r>
    </w:p>
    <w:p w14:paraId="710D9033" w14:textId="77777777" w:rsidR="005E1EE3" w:rsidRPr="005E1EE3" w:rsidRDefault="005E1EE3" w:rsidP="005E1EE3">
      <w:pPr>
        <w:rPr>
          <w:rtl/>
        </w:rPr>
      </w:pPr>
      <w:r w:rsidRPr="005E1EE3">
        <w:rPr>
          <w:i/>
          <w:iCs/>
          <w:rtl/>
        </w:rPr>
        <w:t>و )</w:t>
      </w:r>
      <w:r w:rsidRPr="005E1EE3">
        <w:rPr>
          <w:rtl/>
        </w:rPr>
        <w:tab/>
        <w:t>أن التكنولوجيا الرقمية المطبقة في مثل هذه الأنظمة قد تتطلب عروض قناة تختلف عن العروض المستعملة في الخدمات المتنقلة البرية القائمة؛</w:t>
      </w:r>
    </w:p>
    <w:p w14:paraId="3061EB24" w14:textId="77777777" w:rsidR="005E1EE3" w:rsidRPr="005E1EE3" w:rsidRDefault="005E1EE3" w:rsidP="005E1EE3">
      <w:pPr>
        <w:rPr>
          <w:rtl/>
        </w:rPr>
      </w:pPr>
      <w:r w:rsidRPr="005E1EE3">
        <w:rPr>
          <w:i/>
          <w:iCs/>
          <w:rtl/>
        </w:rPr>
        <w:t>ز )</w:t>
      </w:r>
      <w:r w:rsidRPr="005E1EE3">
        <w:rPr>
          <w:rtl/>
        </w:rPr>
        <w:tab/>
        <w:t>أن الأنظمة المستندة إلى التكنولوجيا الرقمية تتيح درجة أعلى من الخصوصية والأمن؛</w:t>
      </w:r>
    </w:p>
    <w:p w14:paraId="37868C3C" w14:textId="77777777" w:rsidR="005E1EE3" w:rsidRPr="005E1EE3" w:rsidRDefault="005E1EE3" w:rsidP="005E1EE3">
      <w:pPr>
        <w:rPr>
          <w:rtl/>
        </w:rPr>
      </w:pPr>
      <w:r w:rsidRPr="005E1EE3">
        <w:rPr>
          <w:i/>
          <w:iCs/>
          <w:rtl/>
        </w:rPr>
        <w:t>ح)</w:t>
      </w:r>
      <w:r w:rsidRPr="005E1EE3">
        <w:rPr>
          <w:rtl/>
        </w:rPr>
        <w:tab/>
        <w:t>أن هذه الأنظمة يمكنها أن توفر الإمكانات التي تطلبها مجموعات محددة من مستعملي تطبيقات مثل الاتصالات الراديوية المتنقلة الخاصة والاتصالات الراديوية المتنقلة للنفاذ العام والمرافق والصحة الإلكترونية والحماية العامة والإغاثة في حالات الكوارث والاتصالات من آلة إلى آلة وغير ذلك؛</w:t>
      </w:r>
    </w:p>
    <w:p w14:paraId="3FBEB090" w14:textId="77777777" w:rsidR="005E1EE3" w:rsidRPr="005E1EE3" w:rsidRDefault="005E1EE3" w:rsidP="005E1EE3">
      <w:pPr>
        <w:rPr>
          <w:rtl/>
        </w:rPr>
      </w:pPr>
      <w:r w:rsidRPr="005E1EE3">
        <w:rPr>
          <w:i/>
          <w:iCs/>
          <w:rtl/>
        </w:rPr>
        <w:t>ط)</w:t>
      </w:r>
      <w:r w:rsidRPr="005E1EE3">
        <w:rPr>
          <w:rtl/>
        </w:rPr>
        <w:tab/>
        <w:t>أن الشبكة الراديوية المتنقلة الخاصة يمكن أن توفر بنية تحتية مكرسة للشبكة لمستعمل معين أو مجموعة من المستعملين، وأن هذه الأنواع من الشبكات يمكن أن تعزز أمن البيانات ومعدلات بيانات محسنة وكمون منخفض من طرف إلى طرف ومتانة الشبكة وموثوقيتها؛</w:t>
      </w:r>
    </w:p>
    <w:p w14:paraId="11886B31" w14:textId="77777777" w:rsidR="005E1EE3" w:rsidRPr="005E1EE3" w:rsidRDefault="005E1EE3" w:rsidP="005E1EE3">
      <w:pPr>
        <w:rPr>
          <w:rtl/>
        </w:rPr>
      </w:pPr>
      <w:r w:rsidRPr="005E1EE3">
        <w:rPr>
          <w:i/>
          <w:iCs/>
          <w:rtl/>
        </w:rPr>
        <w:t>ي)</w:t>
      </w:r>
      <w:r w:rsidRPr="005E1EE3">
        <w:rPr>
          <w:rtl/>
        </w:rPr>
        <w:tab/>
        <w:t>أنه بالإضافة إلى الشبكة الراديوية المتنقلة الخاصة، قد تقدم تكنولوجيات وتقنيات أخرى، مثل تقسيم الشبكة إلى شرائح، نُهجاً بديلة على سبيل المثال لدعم تطبيقات محددة للمستعملين؛</w:t>
      </w:r>
    </w:p>
    <w:p w14:paraId="3984F956" w14:textId="77777777" w:rsidR="005E1EE3" w:rsidRPr="005E1EE3" w:rsidRDefault="005E1EE3" w:rsidP="005E1EE3">
      <w:pPr>
        <w:rPr>
          <w:rtl/>
        </w:rPr>
      </w:pPr>
      <w:r w:rsidRPr="005E1EE3">
        <w:rPr>
          <w:i/>
          <w:iCs/>
          <w:rtl/>
        </w:rPr>
        <w:t>ك)</w:t>
      </w:r>
      <w:r w:rsidRPr="005E1EE3">
        <w:rPr>
          <w:rtl/>
        </w:rPr>
        <w:tab/>
        <w:t>أنه فيما يتعلق خصوصاً بالأنظمة العاملة في المناطق الحدودية للبلدان المجاورة، يُستحسن التوصل إلى اتفاق دولي بشأن خصائص محددة للأنظمة بغية تحقيق المرونة القصوى في الاستعمال،</w:t>
      </w:r>
    </w:p>
    <w:p w14:paraId="3D5E3D79" w14:textId="77777777" w:rsidR="005E1EE3" w:rsidRPr="005E1EE3" w:rsidRDefault="005E1EE3" w:rsidP="00325329">
      <w:pPr>
        <w:pStyle w:val="Call"/>
        <w:rPr>
          <w:rtl/>
        </w:rPr>
      </w:pPr>
      <w:r w:rsidRPr="005E1EE3">
        <w:rPr>
          <w:rtl/>
        </w:rPr>
        <w:t>وإذ تدرك</w:t>
      </w:r>
    </w:p>
    <w:p w14:paraId="63690DA4" w14:textId="53A9893A" w:rsidR="005E1EE3" w:rsidRPr="005E1EE3" w:rsidRDefault="00325329" w:rsidP="005E1EE3">
      <w:pPr>
        <w:rPr>
          <w:rtl/>
        </w:rPr>
      </w:pPr>
      <w:r>
        <w:rPr>
          <w:rFonts w:hint="cs"/>
          <w:i/>
          <w:iCs/>
          <w:rtl/>
        </w:rPr>
        <w:t xml:space="preserve"> </w:t>
      </w:r>
      <w:r w:rsidR="005E1EE3" w:rsidRPr="005E1EE3">
        <w:rPr>
          <w:i/>
          <w:iCs/>
          <w:rtl/>
        </w:rPr>
        <w:t>أ )</w:t>
      </w:r>
      <w:r w:rsidR="005E1EE3" w:rsidRPr="005E1EE3">
        <w:rPr>
          <w:rtl/>
        </w:rPr>
        <w:tab/>
        <w:t xml:space="preserve">أن القرار </w:t>
      </w:r>
      <w:hyperlink r:id="rId9" w:history="1">
        <w:r w:rsidR="005E1EE3" w:rsidRPr="005E1EE3">
          <w:rPr>
            <w:rStyle w:val="Hyperlink"/>
            <w:rtl/>
          </w:rPr>
          <w:t>ITU-R 66</w:t>
        </w:r>
      </w:hyperlink>
      <w:r w:rsidR="005E1EE3" w:rsidRPr="005E1EE3">
        <w:rPr>
          <w:rtl/>
        </w:rPr>
        <w:t>-1 قد دعا قطاع الاتصالات الراديوية بالاتحاد إلى دراسة الأنظمة والتطبيقات اللاسلكية لتطوير إنترنت الأشياء؛</w:t>
      </w:r>
      <w:hyperlink r:id="rId10" w:history="1"/>
    </w:p>
    <w:p w14:paraId="503D3FBE" w14:textId="600F61DD" w:rsidR="005E1EE3" w:rsidRPr="005E1EE3" w:rsidRDefault="005E1EE3" w:rsidP="005E1EE3">
      <w:pPr>
        <w:rPr>
          <w:rtl/>
        </w:rPr>
      </w:pPr>
      <w:r w:rsidRPr="005E1EE3">
        <w:rPr>
          <w:i/>
          <w:iCs/>
          <w:rtl/>
        </w:rPr>
        <w:t>ب)</w:t>
      </w:r>
      <w:r w:rsidRPr="005E1EE3">
        <w:rPr>
          <w:rtl/>
        </w:rPr>
        <w:tab/>
        <w:t xml:space="preserve">أن المسألة </w:t>
      </w:r>
      <w:hyperlink r:id="rId11" w:history="1">
        <w:r w:rsidRPr="005E1EE3">
          <w:rPr>
            <w:rStyle w:val="Hyperlink"/>
            <w:rtl/>
          </w:rPr>
          <w:t>ITU-R 209</w:t>
        </w:r>
      </w:hyperlink>
      <w:r w:rsidRPr="005E1EE3">
        <w:rPr>
          <w:rtl/>
        </w:rPr>
        <w:t>-6/5 تتناول استعمال الخدمة المتنقلة وخدمة الهواة وخدمة الهواة الساتلية لدعم الاتصالات الراديوية في حالات الكوارث؛</w:t>
      </w:r>
      <w:hyperlink r:id="rId12" w:history="1"/>
    </w:p>
    <w:p w14:paraId="58C33CD4" w14:textId="36D61B9B" w:rsidR="005E1EE3" w:rsidRPr="005E1EE3" w:rsidRDefault="005E1EE3" w:rsidP="005E1EE3">
      <w:pPr>
        <w:rPr>
          <w:rtl/>
        </w:rPr>
      </w:pPr>
      <w:r w:rsidRPr="005E1EE3">
        <w:rPr>
          <w:i/>
          <w:iCs/>
          <w:rtl/>
        </w:rPr>
        <w:t>ج)</w:t>
      </w:r>
      <w:r w:rsidRPr="005E1EE3">
        <w:rPr>
          <w:rtl/>
        </w:rPr>
        <w:tab/>
        <w:t xml:space="preserve">أن المسألة </w:t>
      </w:r>
      <w:hyperlink r:id="rId13" w:history="1">
        <w:r w:rsidRPr="005E1EE3">
          <w:rPr>
            <w:rStyle w:val="Hyperlink"/>
            <w:rtl/>
          </w:rPr>
          <w:t>ITU-R 262</w:t>
        </w:r>
      </w:hyperlink>
      <w:r w:rsidRPr="005E1EE3">
        <w:rPr>
          <w:rtl/>
        </w:rPr>
        <w:t>/5 تتناول استعمال أنظمة الاتصالات المتنقلة الدولية لتطبيقات محدَّدة،</w:t>
      </w:r>
      <w:hyperlink r:id="rId14" w:history="1"/>
    </w:p>
    <w:p w14:paraId="550184EE" w14:textId="77777777" w:rsidR="005E1EE3" w:rsidRPr="005E1EE3" w:rsidRDefault="005E1EE3" w:rsidP="00325329">
      <w:pPr>
        <w:pStyle w:val="Call"/>
        <w:rPr>
          <w:rtl/>
        </w:rPr>
      </w:pPr>
      <w:r w:rsidRPr="005E1EE3">
        <w:rPr>
          <w:rtl/>
        </w:rPr>
        <w:lastRenderedPageBreak/>
        <w:t xml:space="preserve">تقرر </w:t>
      </w:r>
      <w:r w:rsidRPr="00325329">
        <w:rPr>
          <w:i w:val="0"/>
          <w:iCs w:val="0"/>
          <w:rtl/>
        </w:rPr>
        <w:t>أن تخضع المسائل التالية للدراسة</w:t>
      </w:r>
    </w:p>
    <w:p w14:paraId="3655783A" w14:textId="77777777" w:rsidR="005E1EE3" w:rsidRPr="005E1EE3" w:rsidRDefault="005E1EE3" w:rsidP="005E1EE3">
      <w:pPr>
        <w:rPr>
          <w:rtl/>
        </w:rPr>
      </w:pPr>
      <w:r w:rsidRPr="005E1EE3">
        <w:rPr>
          <w:rtl/>
        </w:rPr>
        <w:t>1</w:t>
      </w:r>
      <w:r w:rsidRPr="005E1EE3">
        <w:rPr>
          <w:rtl/>
        </w:rPr>
        <w:tab/>
        <w:t>فيما يتعلق بكفاءة استعمال الطيف، ما هي الخصائص المثلى لهذه الأنظمة، مع مراعاة عوامل مثل السعة المطلوبة للنظام لخدمة عدد كبير من المستعملين ومنطقة تغطية المحطة القاعدة، وتعقيد التجهيزات، وعوامل الانتشار وأهداف الأداء؟</w:t>
      </w:r>
    </w:p>
    <w:p w14:paraId="07F213C7" w14:textId="77777777" w:rsidR="005E1EE3" w:rsidRPr="005E1EE3" w:rsidRDefault="005E1EE3" w:rsidP="005E1EE3">
      <w:pPr>
        <w:rPr>
          <w:rtl/>
        </w:rPr>
      </w:pPr>
      <w:r w:rsidRPr="005E1EE3">
        <w:rPr>
          <w:rtl/>
        </w:rPr>
        <w:t>2</w:t>
      </w:r>
      <w:r w:rsidRPr="005E1EE3">
        <w:rPr>
          <w:rtl/>
        </w:rPr>
        <w:tab/>
        <w:t>كيف يتسنى لهذه الأنظمة أن تلبي متطلبات المستعمل وما هي المتطلبات التشغيلية؟</w:t>
      </w:r>
    </w:p>
    <w:p w14:paraId="6CED7070" w14:textId="77777777" w:rsidR="005E1EE3" w:rsidRPr="005E1EE3" w:rsidRDefault="005E1EE3" w:rsidP="005E1EE3">
      <w:pPr>
        <w:rPr>
          <w:rtl/>
        </w:rPr>
      </w:pPr>
      <w:r w:rsidRPr="005E1EE3">
        <w:rPr>
          <w:rtl/>
        </w:rPr>
        <w:t>3</w:t>
      </w:r>
      <w:r w:rsidRPr="005E1EE3">
        <w:rPr>
          <w:rtl/>
        </w:rPr>
        <w:tab/>
        <w:t>ما هي الإمكانات والتسهيلات التي توفرها هذه الأنظمة، والتي من شأنها تلبية متطلبات مجموعات محددة من مستعملي تطبيقات مثل الاتصالات الراديوية المتنقلة الخاصة والاتصالات الراديوية المتنقلة للنفاذ العام والمرافق والصحة الإلكترونية والحماية العامة والإغاثة في حالات الكوارث والاتصالات من آلة إلى آلة وغير ذلك؟</w:t>
      </w:r>
    </w:p>
    <w:p w14:paraId="6BFF6CE6" w14:textId="77777777" w:rsidR="005E1EE3" w:rsidRPr="005E1EE3" w:rsidRDefault="005E1EE3" w:rsidP="005E1EE3">
      <w:pPr>
        <w:rPr>
          <w:rtl/>
        </w:rPr>
      </w:pPr>
      <w:r w:rsidRPr="005E1EE3">
        <w:rPr>
          <w:rtl/>
        </w:rPr>
        <w:t>4</w:t>
      </w:r>
      <w:r w:rsidRPr="005E1EE3">
        <w:rPr>
          <w:rtl/>
        </w:rPr>
        <w:tab/>
        <w:t>ما هي معلمات النظام التي يُستحسن التوصل بشأنها إلى اتفاق دولي لضمان التوافق بين الأنظمة و/أو تشغيل أنظمة متباينة في مناطق تغطية متجاورة؟</w:t>
      </w:r>
    </w:p>
    <w:p w14:paraId="4101A944" w14:textId="77777777" w:rsidR="005E1EE3" w:rsidRPr="005E1EE3" w:rsidRDefault="005E1EE3" w:rsidP="005E1EE3">
      <w:pPr>
        <w:rPr>
          <w:rtl/>
        </w:rPr>
      </w:pPr>
      <w:r w:rsidRPr="005E1EE3">
        <w:rPr>
          <w:rtl/>
        </w:rPr>
        <w:t>5</w:t>
      </w:r>
      <w:r w:rsidRPr="005E1EE3">
        <w:rPr>
          <w:rtl/>
        </w:rPr>
        <w:tab/>
        <w:t>ما هي الجوانب التقنية والتشغيلية والقدرات المرتبطة بتطبيقات صناعية محددة تدعمها الأنظمة المتنقلة البرية الرقمية، بما في ذلك الشبكات الراديوية المتنقلة الخاصة، في الخدمة المتنقلة البرية؟</w:t>
      </w:r>
    </w:p>
    <w:p w14:paraId="77C77D53" w14:textId="77777777" w:rsidR="005E1EE3" w:rsidRPr="005E1EE3" w:rsidRDefault="005E1EE3" w:rsidP="00325329">
      <w:pPr>
        <w:pStyle w:val="Call"/>
        <w:rPr>
          <w:rtl/>
        </w:rPr>
      </w:pPr>
      <w:r w:rsidRPr="005E1EE3">
        <w:rPr>
          <w:rtl/>
        </w:rPr>
        <w:t>تقرر كذلك</w:t>
      </w:r>
    </w:p>
    <w:p w14:paraId="3B1FE15F" w14:textId="77777777" w:rsidR="005E1EE3" w:rsidRPr="005E1EE3" w:rsidRDefault="005E1EE3" w:rsidP="005E1EE3">
      <w:pPr>
        <w:rPr>
          <w:rtl/>
        </w:rPr>
      </w:pPr>
      <w:r w:rsidRPr="005E1EE3">
        <w:rPr>
          <w:rtl/>
        </w:rPr>
        <w:t>1</w:t>
      </w:r>
      <w:r w:rsidRPr="005E1EE3">
        <w:rPr>
          <w:rtl/>
        </w:rPr>
        <w:tab/>
        <w:t>ضرورة إدراج نتائج الدراسات المذكورة أعلاه في توصية أو تقرير أو كتيب أو أكثر؛</w:t>
      </w:r>
    </w:p>
    <w:p w14:paraId="5115DC0B" w14:textId="77777777" w:rsidR="005E1EE3" w:rsidRPr="005E1EE3" w:rsidRDefault="005E1EE3" w:rsidP="005E1EE3">
      <w:pPr>
        <w:rPr>
          <w:rtl/>
        </w:rPr>
      </w:pPr>
      <w:r w:rsidRPr="005E1EE3">
        <w:rPr>
          <w:rtl/>
        </w:rPr>
        <w:t>2</w:t>
      </w:r>
      <w:r w:rsidRPr="005E1EE3">
        <w:rPr>
          <w:rtl/>
        </w:rPr>
        <w:tab/>
        <w:t>ضرورة إنجاز الدراسات المذكورة أعلاه بحلول عام 2027.</w:t>
      </w:r>
    </w:p>
    <w:p w14:paraId="4EA7665D" w14:textId="77777777" w:rsidR="005E1EE3" w:rsidRPr="005E1EE3" w:rsidRDefault="005E1EE3" w:rsidP="00325329">
      <w:pPr>
        <w:spacing w:before="480"/>
        <w:rPr>
          <w:rtl/>
        </w:rPr>
      </w:pPr>
      <w:r w:rsidRPr="005E1EE3">
        <w:rPr>
          <w:rtl/>
        </w:rPr>
        <w:t>الفئة</w:t>
      </w:r>
      <w:r w:rsidRPr="005E1EE3">
        <w:rPr>
          <w:lang w:val="fr-CH"/>
        </w:rPr>
        <w:t>:</w:t>
      </w:r>
      <w:r w:rsidRPr="005E1EE3">
        <w:rPr>
          <w:rtl/>
        </w:rPr>
        <w:t xml:space="preserve"> S2</w:t>
      </w:r>
    </w:p>
    <w:p w14:paraId="6286181E"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BBB3" w14:textId="77777777" w:rsidR="005E1EE3" w:rsidRDefault="005E1EE3" w:rsidP="006C3242">
      <w:pPr>
        <w:spacing w:before="0" w:line="240" w:lineRule="auto"/>
      </w:pPr>
      <w:r>
        <w:separator/>
      </w:r>
    </w:p>
  </w:endnote>
  <w:endnote w:type="continuationSeparator" w:id="0">
    <w:p w14:paraId="6EB95C36" w14:textId="77777777" w:rsidR="005E1EE3" w:rsidRDefault="005E1EE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7E91"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20EC" w14:textId="77777777" w:rsidR="005E1EE3" w:rsidRDefault="005E1EE3" w:rsidP="006C3242">
      <w:pPr>
        <w:spacing w:before="0" w:line="240" w:lineRule="auto"/>
      </w:pPr>
      <w:r>
        <w:separator/>
      </w:r>
    </w:p>
  </w:footnote>
  <w:footnote w:type="continuationSeparator" w:id="0">
    <w:p w14:paraId="4DC192A7" w14:textId="77777777" w:rsidR="005E1EE3" w:rsidRDefault="005E1EE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7B8E"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094D" w14:textId="77777777" w:rsidR="004C39C6" w:rsidRDefault="00B02BF4" w:rsidP="00B02BF4">
    <w:pPr>
      <w:pStyle w:val="Header"/>
      <w:spacing w:before="120"/>
      <w:jc w:val="center"/>
    </w:pPr>
    <w:r>
      <w:rPr>
        <w:noProof/>
        <w:lang w:val="en-GB" w:eastAsia="en-GB"/>
      </w:rPr>
      <w:drawing>
        <wp:inline distT="0" distB="0" distL="0" distR="0" wp14:anchorId="125C5BD8" wp14:editId="7C3C229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46C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A27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69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5E37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5489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C2C4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A2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4A1F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CB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5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3"/>
    <w:rsid w:val="0006468A"/>
    <w:rsid w:val="00070B39"/>
    <w:rsid w:val="00090574"/>
    <w:rsid w:val="000C1C0E"/>
    <w:rsid w:val="000C548A"/>
    <w:rsid w:val="000F7BBE"/>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25329"/>
    <w:rsid w:val="00334924"/>
    <w:rsid w:val="003409BC"/>
    <w:rsid w:val="00357185"/>
    <w:rsid w:val="003704CA"/>
    <w:rsid w:val="00383829"/>
    <w:rsid w:val="003B5733"/>
    <w:rsid w:val="003C5154"/>
    <w:rsid w:val="003F4B29"/>
    <w:rsid w:val="0040175B"/>
    <w:rsid w:val="004111FB"/>
    <w:rsid w:val="0042686F"/>
    <w:rsid w:val="004317D8"/>
    <w:rsid w:val="00434183"/>
    <w:rsid w:val="00443869"/>
    <w:rsid w:val="00447F32"/>
    <w:rsid w:val="004563AF"/>
    <w:rsid w:val="004C39C6"/>
    <w:rsid w:val="004E11DC"/>
    <w:rsid w:val="00525DDD"/>
    <w:rsid w:val="00536169"/>
    <w:rsid w:val="005409AC"/>
    <w:rsid w:val="0055516A"/>
    <w:rsid w:val="0058491B"/>
    <w:rsid w:val="00592EA5"/>
    <w:rsid w:val="005A3170"/>
    <w:rsid w:val="005E1EE3"/>
    <w:rsid w:val="00677396"/>
    <w:rsid w:val="0069200F"/>
    <w:rsid w:val="006A65CB"/>
    <w:rsid w:val="006C3242"/>
    <w:rsid w:val="006C7CC0"/>
    <w:rsid w:val="006E5F73"/>
    <w:rsid w:val="006F63F7"/>
    <w:rsid w:val="007025C7"/>
    <w:rsid w:val="00706D7A"/>
    <w:rsid w:val="00722F0D"/>
    <w:rsid w:val="0074420E"/>
    <w:rsid w:val="00783E26"/>
    <w:rsid w:val="007A1910"/>
    <w:rsid w:val="007C3BC7"/>
    <w:rsid w:val="007C3BCD"/>
    <w:rsid w:val="007D4ACF"/>
    <w:rsid w:val="007F0787"/>
    <w:rsid w:val="007F1FDB"/>
    <w:rsid w:val="00810B7B"/>
    <w:rsid w:val="0082358A"/>
    <w:rsid w:val="008235CD"/>
    <w:rsid w:val="008247DE"/>
    <w:rsid w:val="00840B10"/>
    <w:rsid w:val="008513CB"/>
    <w:rsid w:val="008A4A32"/>
    <w:rsid w:val="008A7F84"/>
    <w:rsid w:val="0091702E"/>
    <w:rsid w:val="00923B0C"/>
    <w:rsid w:val="0094021C"/>
    <w:rsid w:val="00952F86"/>
    <w:rsid w:val="00982B28"/>
    <w:rsid w:val="009D313F"/>
    <w:rsid w:val="00A34214"/>
    <w:rsid w:val="00A47A5A"/>
    <w:rsid w:val="00A6683B"/>
    <w:rsid w:val="00A97F94"/>
    <w:rsid w:val="00AA7EA2"/>
    <w:rsid w:val="00B02BF4"/>
    <w:rsid w:val="00B03099"/>
    <w:rsid w:val="00B05BC8"/>
    <w:rsid w:val="00B1143A"/>
    <w:rsid w:val="00B64B47"/>
    <w:rsid w:val="00C002DE"/>
    <w:rsid w:val="00C418E7"/>
    <w:rsid w:val="00C502CD"/>
    <w:rsid w:val="00C53BF8"/>
    <w:rsid w:val="00C66157"/>
    <w:rsid w:val="00C674FE"/>
    <w:rsid w:val="00C67501"/>
    <w:rsid w:val="00C75633"/>
    <w:rsid w:val="00CE2EE1"/>
    <w:rsid w:val="00CE3349"/>
    <w:rsid w:val="00CE36E5"/>
    <w:rsid w:val="00CF27F5"/>
    <w:rsid w:val="00CF3FFD"/>
    <w:rsid w:val="00D02121"/>
    <w:rsid w:val="00D10CCF"/>
    <w:rsid w:val="00D37F70"/>
    <w:rsid w:val="00D77D0F"/>
    <w:rsid w:val="00DA1CF0"/>
    <w:rsid w:val="00DC1E02"/>
    <w:rsid w:val="00DC24B4"/>
    <w:rsid w:val="00DC5FB0"/>
    <w:rsid w:val="00DF16DC"/>
    <w:rsid w:val="00E45211"/>
    <w:rsid w:val="00E473C5"/>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2E7B"/>
  <w15:chartTrackingRefBased/>
  <w15:docId w15:val="{754ADEF8-0E3A-4307-8BB1-C09617CB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5E1EE3"/>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sz w:val="26"/>
      <w:szCs w:val="26"/>
    </w:rPr>
  </w:style>
  <w:style w:type="paragraph" w:customStyle="1" w:styleId="AnnexNotitle">
    <w:name w:val="Annex_No &amp; title"/>
    <w:basedOn w:val="Annextitle"/>
    <w:qFormat/>
    <w:rsid w:val="00D02121"/>
  </w:style>
  <w:style w:type="paragraph" w:customStyle="1" w:styleId="QuestionTitle">
    <w:name w:val="Question_Title"/>
    <w:basedOn w:val="Normal"/>
    <w:rsid w:val="005E1EE3"/>
    <w:rPr>
      <w:bCs/>
    </w:rPr>
  </w:style>
  <w:style w:type="character" w:styleId="UnresolvedMention">
    <w:name w:val="Unresolved Mention"/>
    <w:basedOn w:val="DefaultParagraphFont"/>
    <w:uiPriority w:val="99"/>
    <w:semiHidden/>
    <w:unhideWhenUsed/>
    <w:rsid w:val="00325329"/>
    <w:rPr>
      <w:color w:val="605E5C"/>
      <w:shd w:val="clear" w:color="auto" w:fill="E1DFDD"/>
    </w:rPr>
  </w:style>
  <w:style w:type="paragraph" w:customStyle="1" w:styleId="Questiondate">
    <w:name w:val="Question date"/>
    <w:basedOn w:val="Normal"/>
    <w:rsid w:val="0032532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4/en" TargetMode="External"/><Relationship Id="rId13" Type="http://schemas.openxmlformats.org/officeDocument/2006/relationships/hyperlink" Target="https://www.itu.int/pub/R-QUE-SG05.2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R-QUE-SG05.2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QUE-SG05.2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pub/R-RES-R.66"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tu.int/pub/R-RES-R.66" TargetMode="External"/><Relationship Id="rId14" Type="http://schemas.openxmlformats.org/officeDocument/2006/relationships/hyperlink" Target="https://www.itu.int/pub/R-QUE-SG05.26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BC8CD1A1584BBC98640D007CB1E04E"/>
        <w:category>
          <w:name w:val="General"/>
          <w:gallery w:val="placeholder"/>
        </w:category>
        <w:types>
          <w:type w:val="bbPlcHdr"/>
        </w:types>
        <w:behaviors>
          <w:behavior w:val="content"/>
        </w:behaviors>
        <w:guid w:val="{4AECD8C1-1C7F-4EB0-B9EE-F854D6AC421B}"/>
      </w:docPartPr>
      <w:docPartBody>
        <w:p w:rsidR="00901DEF" w:rsidRDefault="00901DEF">
          <w:pPr>
            <w:pStyle w:val="85BC8CD1A1584BBC98640D007CB1E04E"/>
          </w:pPr>
          <w:r w:rsidRPr="002033DC">
            <w:rPr>
              <w:rStyle w:val="PlaceholderText"/>
            </w:rPr>
            <w:t>Click or tap here to enter text.</w:t>
          </w:r>
        </w:p>
      </w:docPartBody>
    </w:docPart>
    <w:docPart>
      <w:docPartPr>
        <w:name w:val="8328CE5E466C41F9AA216DC26699E710"/>
        <w:category>
          <w:name w:val="General"/>
          <w:gallery w:val="placeholder"/>
        </w:category>
        <w:types>
          <w:type w:val="bbPlcHdr"/>
        </w:types>
        <w:behaviors>
          <w:behavior w:val="content"/>
        </w:behaviors>
        <w:guid w:val="{E9486B7C-1B69-46E3-B55E-B7BF02CA2DAF}"/>
      </w:docPartPr>
      <w:docPartBody>
        <w:p w:rsidR="00901DEF" w:rsidRDefault="00901DEF">
          <w:pPr>
            <w:pStyle w:val="8328CE5E466C41F9AA216DC26699E710"/>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40175B"/>
    <w:rsid w:val="007F1FDB"/>
    <w:rsid w:val="00901DEF"/>
    <w:rsid w:val="00C418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BC8CD1A1584BBC98640D007CB1E04E">
    <w:name w:val="85BC8CD1A1584BBC98640D007CB1E04E"/>
  </w:style>
  <w:style w:type="paragraph" w:customStyle="1" w:styleId="8328CE5E466C41F9AA216DC26699E710">
    <w:name w:val="8328CE5E466C41F9AA216DC26699E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12</TotalTime>
  <Pages>3</Pages>
  <Words>757</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Editors</cp:lastModifiedBy>
  <cp:revision>6</cp:revision>
  <dcterms:created xsi:type="dcterms:W3CDTF">2026-02-16T12:40:00Z</dcterms:created>
  <dcterms:modified xsi:type="dcterms:W3CDTF">2026-02-17T10:13:00Z</dcterms:modified>
</cp:coreProperties>
</file>