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3258EE4E" w14:textId="77777777" w:rsidTr="00153E23">
        <w:tc>
          <w:tcPr>
            <w:tcW w:w="5000" w:type="pct"/>
            <w:gridSpan w:val="3"/>
          </w:tcPr>
          <w:p w14:paraId="43C867C1"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7A413346" w14:textId="77777777" w:rsidR="000F7BBE" w:rsidRPr="000F7BBE" w:rsidRDefault="000F7BBE" w:rsidP="000F7BBE">
            <w:pPr>
              <w:rPr>
                <w:b/>
                <w:bCs/>
                <w:rtl/>
                <w:lang w:bidi="ar-EG"/>
              </w:rPr>
            </w:pPr>
          </w:p>
        </w:tc>
      </w:tr>
      <w:tr w:rsidR="000F7BBE" w:rsidRPr="000F7BBE" w14:paraId="6D2FE132" w14:textId="77777777" w:rsidTr="00153E23">
        <w:tc>
          <w:tcPr>
            <w:tcW w:w="2707" w:type="pct"/>
            <w:gridSpan w:val="2"/>
          </w:tcPr>
          <w:p w14:paraId="570E6685" w14:textId="62D15A6F" w:rsidR="000F7BBE" w:rsidRPr="005220E2" w:rsidRDefault="000F7BBE" w:rsidP="005220E2">
            <w:pPr>
              <w:spacing w:before="80" w:line="300" w:lineRule="exact"/>
              <w:jc w:val="left"/>
              <w:rPr>
                <w:position w:val="2"/>
                <w:rtl/>
                <w:lang w:bidi="ar-SY"/>
              </w:rPr>
            </w:pPr>
            <w:r w:rsidRPr="005220E2">
              <w:rPr>
                <w:rFonts w:hint="cs"/>
                <w:position w:val="2"/>
                <w:rtl/>
                <w:lang w:bidi="ar-AE"/>
              </w:rPr>
              <w:t>الرسالة الإدارية المعممة</w:t>
            </w:r>
            <w:r w:rsidR="005220E2" w:rsidRPr="005220E2">
              <w:rPr>
                <w:position w:val="2"/>
                <w:rtl/>
                <w:lang w:bidi="ar-EG"/>
              </w:rPr>
              <w:br/>
            </w:r>
            <w:r w:rsidRPr="005220E2">
              <w:rPr>
                <w:b/>
                <w:bCs/>
                <w:position w:val="2"/>
                <w:lang w:val="en-GB" w:bidi="ar-EG"/>
              </w:rPr>
              <w:t>CACE</w:t>
            </w:r>
            <w:r w:rsidR="005220E2" w:rsidRPr="005220E2">
              <w:rPr>
                <w:b/>
                <w:bCs/>
                <w:position w:val="2"/>
                <w:lang w:bidi="ar-EG"/>
              </w:rPr>
              <w:t>/1169</w:t>
            </w:r>
          </w:p>
        </w:tc>
        <w:tc>
          <w:tcPr>
            <w:tcW w:w="2293" w:type="pct"/>
          </w:tcPr>
          <w:p w14:paraId="5E7FF03B" w14:textId="00D22BC3" w:rsidR="000F7BBE" w:rsidRPr="000F7BBE" w:rsidRDefault="005220E2" w:rsidP="00F16820">
            <w:pPr>
              <w:spacing w:before="80" w:after="60" w:line="300" w:lineRule="exact"/>
              <w:jc w:val="right"/>
              <w:rPr>
                <w:position w:val="2"/>
                <w:rtl/>
              </w:rPr>
            </w:pPr>
            <w:r>
              <w:rPr>
                <w:position w:val="2"/>
                <w:lang w:val="fr-FR" w:bidi="ar-EG"/>
              </w:rPr>
              <w:t>22</w:t>
            </w:r>
            <w:r>
              <w:rPr>
                <w:rFonts w:hint="cs"/>
                <w:position w:val="2"/>
                <w:rtl/>
                <w:lang w:val="fr-FR" w:bidi="ar-EG"/>
              </w:rPr>
              <w:t xml:space="preserve"> ديسمبر </w:t>
            </w:r>
            <w:r w:rsidR="00014A33">
              <w:rPr>
                <w:position w:val="2"/>
                <w:lang w:bidi="ar-EG"/>
              </w:rPr>
              <w:t>2025</w:t>
            </w:r>
          </w:p>
        </w:tc>
      </w:tr>
      <w:tr w:rsidR="000F7BBE" w:rsidRPr="000F7BBE" w14:paraId="6CB0B104" w14:textId="77777777" w:rsidTr="00153E23">
        <w:tc>
          <w:tcPr>
            <w:tcW w:w="5000" w:type="pct"/>
            <w:gridSpan w:val="3"/>
          </w:tcPr>
          <w:p w14:paraId="60DF2C3B" w14:textId="77777777" w:rsidR="000F7BBE" w:rsidRPr="005220E2" w:rsidRDefault="000F7BBE" w:rsidP="004111FB">
            <w:pPr>
              <w:spacing w:before="0" w:line="260" w:lineRule="exact"/>
              <w:rPr>
                <w:position w:val="2"/>
                <w:rtl/>
                <w:lang w:bidi="ar-SY"/>
              </w:rPr>
            </w:pPr>
          </w:p>
        </w:tc>
      </w:tr>
      <w:tr w:rsidR="000F7BBE" w:rsidRPr="000F7BBE" w14:paraId="4B73F55E" w14:textId="77777777" w:rsidTr="00153E23">
        <w:tc>
          <w:tcPr>
            <w:tcW w:w="5000" w:type="pct"/>
            <w:gridSpan w:val="3"/>
          </w:tcPr>
          <w:p w14:paraId="5183E1A2" w14:textId="77777777" w:rsidR="000F7BBE" w:rsidRPr="005220E2" w:rsidRDefault="000F7BBE" w:rsidP="004111FB">
            <w:pPr>
              <w:spacing w:before="0" w:line="260" w:lineRule="exact"/>
              <w:rPr>
                <w:position w:val="2"/>
                <w:rtl/>
                <w:lang w:bidi="ar-SY"/>
              </w:rPr>
            </w:pPr>
          </w:p>
        </w:tc>
      </w:tr>
      <w:tr w:rsidR="000F7BBE" w:rsidRPr="000F7BBE" w14:paraId="1972FF4C" w14:textId="77777777" w:rsidTr="00153E23">
        <w:tc>
          <w:tcPr>
            <w:tcW w:w="5000" w:type="pct"/>
            <w:gridSpan w:val="3"/>
          </w:tcPr>
          <w:p w14:paraId="3A98F81B" w14:textId="6DB72A8A" w:rsidR="000F7BBE" w:rsidRPr="005220E2" w:rsidRDefault="000F7BBE" w:rsidP="00F16820">
            <w:pPr>
              <w:spacing w:before="80" w:after="60" w:line="300" w:lineRule="exact"/>
              <w:jc w:val="left"/>
              <w:rPr>
                <w:b/>
                <w:bCs/>
                <w:position w:val="2"/>
                <w:lang w:bidi="ar-EG"/>
              </w:rPr>
            </w:pPr>
            <w:r w:rsidRPr="005220E2">
              <w:rPr>
                <w:b/>
                <w:bCs/>
                <w:position w:val="2"/>
                <w:rtl/>
              </w:rPr>
              <w:t>إلى إدارات الدول الأعضاء في الاتحاد</w:t>
            </w:r>
            <w:r w:rsidR="00B1143A" w:rsidRPr="005220E2">
              <w:rPr>
                <w:rFonts w:hint="cs"/>
                <w:b/>
                <w:bCs/>
                <w:position w:val="2"/>
                <w:rtl/>
              </w:rPr>
              <w:t xml:space="preserve"> الدولي للاتصالات</w:t>
            </w:r>
            <w:r w:rsidRPr="005220E2">
              <w:rPr>
                <w:b/>
                <w:bCs/>
                <w:position w:val="2"/>
                <w:rtl/>
              </w:rPr>
              <w:t xml:space="preserve"> وأعضاء قطاع الاتصالات الراديوية</w:t>
            </w:r>
            <w:r w:rsidRPr="005220E2">
              <w:rPr>
                <w:rFonts w:hint="cs"/>
                <w:b/>
                <w:bCs/>
                <w:position w:val="2"/>
                <w:rtl/>
              </w:rPr>
              <w:t xml:space="preserve"> و</w:t>
            </w:r>
            <w:r w:rsidRPr="005220E2">
              <w:rPr>
                <w:b/>
                <w:bCs/>
                <w:position w:val="2"/>
                <w:rtl/>
              </w:rPr>
              <w:t>المنتسبين إليه</w:t>
            </w:r>
            <w:r w:rsidRPr="005220E2">
              <w:rPr>
                <w:b/>
                <w:bCs/>
                <w:position w:val="2"/>
                <w:rtl/>
              </w:rPr>
              <w:br/>
            </w:r>
            <w:r w:rsidRPr="005220E2">
              <w:rPr>
                <w:b/>
                <w:bCs/>
                <w:position w:val="2"/>
                <w:rtl/>
                <w:lang w:bidi="ar-EG"/>
              </w:rPr>
              <w:t xml:space="preserve">المشاركين في أعمال لجنة الدراسات </w:t>
            </w:r>
            <w:r w:rsidR="005220E2" w:rsidRPr="005220E2">
              <w:rPr>
                <w:b/>
                <w:bCs/>
                <w:position w:val="2"/>
                <w:lang w:val="en-GB" w:bidi="ar-EG"/>
              </w:rPr>
              <w:t>4</w:t>
            </w:r>
            <w:r w:rsidRPr="005220E2">
              <w:rPr>
                <w:b/>
                <w:bCs/>
                <w:position w:val="2"/>
                <w:rtl/>
                <w:lang w:bidi="ar-EG"/>
              </w:rPr>
              <w:t xml:space="preserve"> للاتصالات الراديوية</w:t>
            </w:r>
            <w:r w:rsidRPr="005220E2">
              <w:rPr>
                <w:rFonts w:hint="cs"/>
                <w:b/>
                <w:bCs/>
                <w:position w:val="2"/>
                <w:rtl/>
                <w:lang w:bidi="ar-EG"/>
              </w:rPr>
              <w:t xml:space="preserve"> والهيئات الأكاديمية المنضمة إلى الاتحاد</w:t>
            </w:r>
          </w:p>
        </w:tc>
      </w:tr>
      <w:tr w:rsidR="000F7BBE" w:rsidRPr="000F7BBE" w14:paraId="2D485BCE" w14:textId="77777777" w:rsidTr="00153E23">
        <w:tc>
          <w:tcPr>
            <w:tcW w:w="5000" w:type="pct"/>
            <w:gridSpan w:val="3"/>
          </w:tcPr>
          <w:p w14:paraId="6BB8D821" w14:textId="77777777" w:rsidR="000F7BBE" w:rsidRPr="000F7BBE" w:rsidRDefault="000F7BBE" w:rsidP="004111FB">
            <w:pPr>
              <w:spacing w:before="0" w:line="260" w:lineRule="exact"/>
              <w:rPr>
                <w:position w:val="2"/>
                <w:rtl/>
                <w:lang w:bidi="ar-SY"/>
              </w:rPr>
            </w:pPr>
          </w:p>
        </w:tc>
      </w:tr>
      <w:tr w:rsidR="000F7BBE" w:rsidRPr="000F7BBE" w14:paraId="54D88F35" w14:textId="77777777" w:rsidTr="00153E23">
        <w:tc>
          <w:tcPr>
            <w:tcW w:w="5000" w:type="pct"/>
            <w:gridSpan w:val="3"/>
          </w:tcPr>
          <w:p w14:paraId="4BF6C461" w14:textId="77777777" w:rsidR="000F7BBE" w:rsidRPr="000F7BBE" w:rsidRDefault="000F7BBE" w:rsidP="004111FB">
            <w:pPr>
              <w:spacing w:before="0" w:line="260" w:lineRule="exact"/>
              <w:rPr>
                <w:position w:val="2"/>
                <w:rtl/>
                <w:lang w:bidi="ar-SY"/>
              </w:rPr>
            </w:pPr>
          </w:p>
        </w:tc>
      </w:tr>
      <w:tr w:rsidR="000F7BBE" w:rsidRPr="008E30E1" w14:paraId="4F9EE9B3" w14:textId="77777777" w:rsidTr="00153E23">
        <w:trPr>
          <w:trHeight w:val="452"/>
        </w:trPr>
        <w:tc>
          <w:tcPr>
            <w:tcW w:w="699" w:type="pct"/>
          </w:tcPr>
          <w:p w14:paraId="12FAD985"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39255B68" w14:textId="77777777" w:rsidR="005220E2" w:rsidRPr="005220E2" w:rsidRDefault="005220E2" w:rsidP="005220E2">
            <w:pPr>
              <w:tabs>
                <w:tab w:val="clear" w:pos="794"/>
                <w:tab w:val="left" w:pos="385"/>
              </w:tabs>
              <w:spacing w:before="80" w:after="60" w:line="300" w:lineRule="exact"/>
              <w:ind w:left="385" w:hanging="385"/>
              <w:rPr>
                <w:b/>
                <w:bCs/>
                <w:position w:val="2"/>
                <w:lang w:val="fr-CH" w:bidi="ar-EG"/>
              </w:rPr>
            </w:pPr>
            <w:r w:rsidRPr="005220E2">
              <w:rPr>
                <w:b/>
                <w:bCs/>
                <w:position w:val="2"/>
                <w:rtl/>
              </w:rPr>
              <w:t xml:space="preserve">لجنة الدراسات </w:t>
            </w:r>
            <w:r w:rsidRPr="005220E2">
              <w:rPr>
                <w:b/>
                <w:bCs/>
                <w:position w:val="2"/>
                <w:lang w:val="fr-CH" w:bidi="ar-EG"/>
              </w:rPr>
              <w:t>4</w:t>
            </w:r>
            <w:r w:rsidRPr="005220E2">
              <w:rPr>
                <w:b/>
                <w:bCs/>
                <w:position w:val="2"/>
                <w:rtl/>
              </w:rPr>
              <w:t xml:space="preserve"> للاتصالات الراديوية (الخدمات الساتلية)</w:t>
            </w:r>
          </w:p>
          <w:p w14:paraId="3C77810F" w14:textId="0E53E3AD" w:rsidR="000F7BBE" w:rsidRPr="008E30E1" w:rsidRDefault="005220E2" w:rsidP="005220E2">
            <w:pPr>
              <w:tabs>
                <w:tab w:val="clear" w:pos="794"/>
                <w:tab w:val="left" w:pos="385"/>
              </w:tabs>
              <w:spacing w:before="80" w:after="60" w:line="300" w:lineRule="exact"/>
              <w:ind w:left="385" w:hanging="385"/>
              <w:rPr>
                <w:b/>
                <w:bCs/>
                <w:position w:val="2"/>
                <w:lang w:val="fr-CH"/>
              </w:rPr>
            </w:pPr>
            <w:r w:rsidRPr="005220E2">
              <w:rPr>
                <w:b/>
                <w:bCs/>
                <w:position w:val="2"/>
                <w:lang w:val="fr-CH" w:bidi="ar-EG"/>
              </w:rPr>
              <w:t>–</w:t>
            </w:r>
            <w:r w:rsidRPr="005220E2">
              <w:rPr>
                <w:b/>
                <w:bCs/>
                <w:position w:val="2"/>
                <w:rtl/>
              </w:rPr>
              <w:tab/>
              <w:t>اقتراح اعتماد مشروع توصية جديدة لقطاع الاتصالات الراديوية</w:t>
            </w:r>
          </w:p>
        </w:tc>
      </w:tr>
      <w:tr w:rsidR="00FC09E8" w:rsidRPr="008E30E1" w14:paraId="619B38FB" w14:textId="77777777" w:rsidTr="00153E23">
        <w:trPr>
          <w:trHeight w:val="452"/>
        </w:trPr>
        <w:tc>
          <w:tcPr>
            <w:tcW w:w="699" w:type="pct"/>
          </w:tcPr>
          <w:p w14:paraId="1E785C49" w14:textId="77777777" w:rsidR="00FC09E8" w:rsidRPr="000F7BBE" w:rsidRDefault="00FC09E8" w:rsidP="000F7BBE">
            <w:pPr>
              <w:spacing w:before="80" w:after="60" w:line="300" w:lineRule="exact"/>
              <w:rPr>
                <w:position w:val="2"/>
                <w:rtl/>
              </w:rPr>
            </w:pPr>
          </w:p>
        </w:tc>
        <w:tc>
          <w:tcPr>
            <w:tcW w:w="4301" w:type="pct"/>
            <w:gridSpan w:val="2"/>
          </w:tcPr>
          <w:p w14:paraId="0A791159"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28BE5694" w14:textId="1AAC079F" w:rsidR="005220E2" w:rsidRPr="005220E2" w:rsidRDefault="005220E2" w:rsidP="00A33D77">
      <w:pPr>
        <w:rPr>
          <w:rtl/>
        </w:rPr>
      </w:pPr>
      <w:r w:rsidRPr="005220E2">
        <w:rPr>
          <w:rtl/>
        </w:rPr>
        <w:t xml:space="preserve">اعتمدت لجنة الدراسات </w:t>
      </w:r>
      <w:r w:rsidRPr="005220E2">
        <w:rPr>
          <w:lang w:val="fr-CH" w:bidi="ar-EG"/>
        </w:rPr>
        <w:t>4</w:t>
      </w:r>
      <w:r w:rsidRPr="005220E2">
        <w:rPr>
          <w:rtl/>
        </w:rPr>
        <w:t xml:space="preserve"> للاتصالات الراديوية في اجتماعها المنعقد في </w:t>
      </w:r>
      <w:r w:rsidRPr="005220E2">
        <w:rPr>
          <w:lang w:val="fr-CH" w:bidi="ar-EG"/>
        </w:rPr>
        <w:t>7</w:t>
      </w:r>
      <w:r w:rsidRPr="005220E2">
        <w:rPr>
          <w:rtl/>
        </w:rPr>
        <w:t xml:space="preserve"> نوفمبر </w:t>
      </w:r>
      <w:r w:rsidRPr="005220E2">
        <w:rPr>
          <w:lang w:val="fr-CH" w:bidi="ar-EG"/>
        </w:rPr>
        <w:t>2025</w:t>
      </w:r>
      <w:r w:rsidRPr="005220E2">
        <w:rPr>
          <w:rtl/>
        </w:rPr>
        <w:t xml:space="preserve"> نص مشروع توصية جديدة لقطاع الاتصالات الراديوية ووافقت على تطبيق الإجراء الوارد في القرار </w:t>
      </w:r>
      <w:hyperlink r:id="rId8" w:history="1">
        <w:r w:rsidR="00A33D77" w:rsidRPr="008E30E1">
          <w:rPr>
            <w:rStyle w:val="Hyperlink"/>
            <w:lang w:val="fr-CH" w:bidi="ar-EG"/>
          </w:rPr>
          <w:t>ITU-R 1-9</w:t>
        </w:r>
      </w:hyperlink>
      <w:r w:rsidRPr="005220E2">
        <w:rPr>
          <w:rtl/>
        </w:rPr>
        <w:t xml:space="preserve">  (انظر الفقرة </w:t>
      </w:r>
      <w:r w:rsidRPr="005220E2">
        <w:rPr>
          <w:lang w:val="fr-CH" w:bidi="ar-EG"/>
        </w:rPr>
        <w:t>3.2.6.A2</w:t>
      </w:r>
      <w:r w:rsidRPr="005220E2">
        <w:rPr>
          <w:rtl/>
        </w:rPr>
        <w:t>) بشأن الموافقة على التوصيات بالتشاور. وترد في ملحق هذه الرسالة عنوان مشروع التوصية وملخصها. ويرجى من أي دولة عضو تعترض على اعتماد مشروع توصية أن تخبر المدير ورئيس لجنة الدراسات بأسباب اعتراضها.</w:t>
      </w:r>
    </w:p>
    <w:p w14:paraId="290C46A8" w14:textId="135029E8" w:rsidR="005220E2" w:rsidRPr="005220E2" w:rsidRDefault="005220E2" w:rsidP="005220E2">
      <w:pPr>
        <w:rPr>
          <w:lang w:val="fr-CH" w:bidi="ar-EG"/>
        </w:rPr>
      </w:pPr>
      <w:r w:rsidRPr="005220E2">
        <w:rPr>
          <w:rtl/>
        </w:rPr>
        <w:t xml:space="preserve">وبالنظر إلى أحكام الفقرة </w:t>
      </w:r>
      <w:r w:rsidRPr="005220E2">
        <w:rPr>
          <w:lang w:val="fr-CH" w:bidi="ar-EG"/>
        </w:rPr>
        <w:t>3.2.6.A2</w:t>
      </w:r>
      <w:r w:rsidRPr="005220E2">
        <w:rPr>
          <w:rtl/>
        </w:rPr>
        <w:t xml:space="preserve"> من القرار</w:t>
      </w:r>
      <w:r w:rsidR="00A33D77">
        <w:rPr>
          <w:rFonts w:hint="cs"/>
          <w:rtl/>
          <w:lang w:val="fr-CH" w:bidi="ar-EG"/>
        </w:rPr>
        <w:t xml:space="preserve"> </w:t>
      </w:r>
      <w:r w:rsidRPr="005220E2">
        <w:rPr>
          <w:lang w:val="fr-CH" w:bidi="ar-EG"/>
        </w:rPr>
        <w:t>ITU-R 1-9</w:t>
      </w:r>
      <w:r w:rsidRPr="005220E2">
        <w:rPr>
          <w:rtl/>
        </w:rPr>
        <w:t>، يرجى من الدول الأعضاء إبلاغ الأمانة</w:t>
      </w:r>
      <w:r w:rsidRPr="005220E2">
        <w:rPr>
          <w:lang w:val="fr-CH" w:bidi="ar-EG"/>
        </w:rPr>
        <w:t xml:space="preserve"> (</w:t>
      </w:r>
      <w:hyperlink r:id="rId9" w:history="1">
        <w:r w:rsidRPr="005220E2">
          <w:rPr>
            <w:rStyle w:val="Hyperlink"/>
            <w:lang w:val="fr-CH" w:bidi="ar-EG"/>
          </w:rPr>
          <w:t>brsgd@itu.int</w:t>
        </w:r>
      </w:hyperlink>
      <w:r w:rsidRPr="005220E2">
        <w:rPr>
          <w:lang w:val="fr-CH" w:bidi="ar-EG"/>
        </w:rPr>
        <w:t xml:space="preserve">) </w:t>
      </w:r>
      <w:r w:rsidRPr="005220E2">
        <w:rPr>
          <w:rtl/>
        </w:rPr>
        <w:t xml:space="preserve">في موعد أقصاه </w:t>
      </w:r>
      <w:r w:rsidR="00A33D77" w:rsidRPr="00A33D77">
        <w:rPr>
          <w:rFonts w:hint="cs"/>
          <w:u w:val="single"/>
          <w:rtl/>
          <w:lang w:val="fr-CH" w:bidi="ar-EG"/>
        </w:rPr>
        <w:t>22</w:t>
      </w:r>
      <w:r w:rsidRPr="005220E2">
        <w:rPr>
          <w:u w:val="single"/>
          <w:rtl/>
        </w:rPr>
        <w:t xml:space="preserve"> فبراير </w:t>
      </w:r>
      <w:r w:rsidRPr="005220E2">
        <w:rPr>
          <w:u w:val="single"/>
          <w:lang w:val="fr-CH" w:bidi="ar-EG"/>
        </w:rPr>
        <w:t>2026</w:t>
      </w:r>
      <w:r w:rsidRPr="005220E2">
        <w:rPr>
          <w:rtl/>
        </w:rPr>
        <w:t xml:space="preserve"> بما إذا كانت توافق أم لا توافق على المقترح الوارد أعلاه</w:t>
      </w:r>
      <w:r w:rsidRPr="005220E2">
        <w:rPr>
          <w:lang w:val="fr-CH" w:bidi="ar-EG"/>
        </w:rPr>
        <w:t>.</w:t>
      </w:r>
    </w:p>
    <w:p w14:paraId="56FF5B2B" w14:textId="2C039F77" w:rsidR="005220E2" w:rsidRPr="005220E2" w:rsidRDefault="005220E2" w:rsidP="005220E2">
      <w:pPr>
        <w:rPr>
          <w:lang w:val="fr-CH" w:bidi="ar-EG"/>
        </w:rPr>
      </w:pPr>
      <w:r w:rsidRPr="005220E2">
        <w:rPr>
          <w:rtl/>
        </w:rPr>
        <w:t>وبعد الموعد النهائي المحدد أعلاه، ستعلن نتائج هذا التشاور في رسالة إدارية معممة وستنشر التوصية الموافق عليها في أقرب وقت ممكن</w:t>
      </w:r>
      <w:r w:rsidR="00A33D77">
        <w:rPr>
          <w:rFonts w:hint="cs"/>
          <w:rtl/>
        </w:rPr>
        <w:t xml:space="preserve"> </w:t>
      </w:r>
      <w:r w:rsidRPr="005220E2">
        <w:rPr>
          <w:rtl/>
        </w:rPr>
        <w:t xml:space="preserve">(انظر </w:t>
      </w:r>
      <w:hyperlink r:id="rId10" w:history="1">
        <w:r w:rsidRPr="005220E2">
          <w:rPr>
            <w:rStyle w:val="Hyperlink"/>
            <w:lang w:val="fr-CH" w:bidi="ar-EG"/>
          </w:rPr>
          <w:t>http://www.itu.int/pub/R-REC</w:t>
        </w:r>
      </w:hyperlink>
      <w:r w:rsidRPr="005220E2">
        <w:rPr>
          <w:rtl/>
        </w:rPr>
        <w:t xml:space="preserve">). </w:t>
      </w:r>
    </w:p>
    <w:p w14:paraId="1D596D0B" w14:textId="5CCC2C58" w:rsidR="005220E2" w:rsidRPr="005220E2" w:rsidRDefault="005220E2" w:rsidP="005220E2">
      <w:pPr>
        <w:rPr>
          <w:lang w:val="ar-SA" w:bidi="ar-EG"/>
        </w:rPr>
      </w:pPr>
      <w:bookmarkStart w:id="0" w:name="_Hlk116571750"/>
      <w:bookmarkEnd w:id="0"/>
      <w:r w:rsidRPr="005220E2">
        <w:rPr>
          <w:rtl/>
        </w:rPr>
        <w:t xml:space="preserve">ويرجى من أي منظمة عضو في الاتحاد تعلم بوجود براءة اختراع لديها أو لدى غيرها تغطي كلياً أو جزئياً عناصر مشروع التوصية المذكورة في هذه الرسالة أن تبلغ الأمانة بهذه المعلومات بأسرع ما يمكن. ويمكن الاطلاع على السياسة المشتركة للبراءات </w:t>
      </w:r>
      <w:r w:rsidRPr="005220E2">
        <w:rPr>
          <w:lang w:val="fr-CH" w:bidi="ar-EG"/>
        </w:rPr>
        <w:t>ITU</w:t>
      </w:r>
      <w:r w:rsidR="00A33D77">
        <w:rPr>
          <w:lang w:val="fr-CH" w:bidi="ar-EG"/>
        </w:rPr>
        <w:noBreakHyphen/>
      </w:r>
      <w:r w:rsidRPr="005220E2">
        <w:rPr>
          <w:lang w:val="fr-CH" w:bidi="ar-EG"/>
        </w:rPr>
        <w:t>T/ITU-R/ISO/IEC</w:t>
      </w:r>
      <w:r w:rsidRPr="005220E2">
        <w:rPr>
          <w:rtl/>
        </w:rPr>
        <w:t xml:space="preserve"> في الموقع الإلكتروني: </w:t>
      </w:r>
      <w:r>
        <w:fldChar w:fldCharType="begin"/>
      </w:r>
      <w:r w:rsidRPr="003001CA">
        <w:rPr>
          <w:lang w:val="fr-CH"/>
        </w:rPr>
        <w:instrText>HYPERLINK "https://www.itu.int/ar/ITU-T/ipr/Pages/policy.aspx"</w:instrText>
      </w:r>
      <w:r>
        <w:fldChar w:fldCharType="separate"/>
      </w:r>
      <w:r w:rsidRPr="008E30E1">
        <w:rPr>
          <w:rStyle w:val="Hyperlink"/>
          <w:lang w:val="fr-CH" w:bidi="ar-EG"/>
        </w:rPr>
        <w:t>https://www.itu.int/ar/ITU-T/ipr/Pages/policy.aspx</w:t>
      </w:r>
      <w:r>
        <w:fldChar w:fldCharType="end"/>
      </w:r>
      <w:r w:rsidRPr="005220E2">
        <w:rPr>
          <w:u w:val="single"/>
          <w:rtl/>
        </w:rPr>
        <w:t xml:space="preserve">. </w:t>
      </w:r>
      <w:r w:rsidRPr="005220E2">
        <w:rPr>
          <w:lang w:val="fr-CH" w:bidi="ar-EG"/>
        </w:rPr>
        <w:t xml:space="preserve"> </w:t>
      </w:r>
      <w:r>
        <w:fldChar w:fldCharType="begin"/>
      </w:r>
      <w:r w:rsidRPr="003001CA">
        <w:rPr>
          <w:lang w:val="fr-CH"/>
        </w:rPr>
        <w:instrText>HYPERLINK "http://www.itu.int/en/ITU-T/ipr/Pages/policy.aspx"</w:instrText>
      </w:r>
      <w:r>
        <w:fldChar w:fldCharType="separate"/>
      </w:r>
      <w:r>
        <w:fldChar w:fldCharType="end"/>
      </w:r>
    </w:p>
    <w:p w14:paraId="3D8F8061" w14:textId="77777777" w:rsidR="005220E2" w:rsidRPr="005220E2" w:rsidRDefault="005220E2" w:rsidP="00A33D77">
      <w:pPr>
        <w:spacing w:before="240"/>
        <w:rPr>
          <w:rtl/>
          <w:lang w:bidi="ar-EG"/>
        </w:rPr>
      </w:pPr>
      <w:r w:rsidRPr="005220E2">
        <w:rPr>
          <w:rFonts w:hint="cs"/>
          <w:rtl/>
          <w:lang w:bidi="ar-EG"/>
        </w:rPr>
        <w:t>وتفضلوا بقبول فائق التقدير والاحترام.</w:t>
      </w:r>
    </w:p>
    <w:p w14:paraId="453CD79D" w14:textId="77777777" w:rsidR="005220E2" w:rsidRPr="005220E2" w:rsidRDefault="005220E2" w:rsidP="008E30E1">
      <w:pPr>
        <w:spacing w:before="1200"/>
        <w:jc w:val="left"/>
        <w:rPr>
          <w:rtl/>
        </w:rPr>
      </w:pPr>
      <w:r w:rsidRPr="005220E2">
        <w:rPr>
          <w:rtl/>
        </w:rPr>
        <w:t xml:space="preserve">ماريو </w:t>
      </w:r>
      <w:proofErr w:type="spellStart"/>
      <w:r w:rsidRPr="005220E2">
        <w:rPr>
          <w:rtl/>
        </w:rPr>
        <w:t>مانيفيتش</w:t>
      </w:r>
      <w:proofErr w:type="spellEnd"/>
      <w:r w:rsidRPr="005220E2">
        <w:rPr>
          <w:rtl/>
        </w:rPr>
        <w:br/>
      </w:r>
      <w:r w:rsidRPr="005220E2">
        <w:rPr>
          <w:rFonts w:hint="cs"/>
          <w:rtl/>
        </w:rPr>
        <w:t>المدير</w:t>
      </w:r>
    </w:p>
    <w:p w14:paraId="00C7E232" w14:textId="2C9F6E99" w:rsidR="005220E2" w:rsidRPr="005220E2" w:rsidRDefault="005220E2" w:rsidP="008E30E1">
      <w:pPr>
        <w:spacing w:before="480"/>
        <w:rPr>
          <w:rtl/>
        </w:rPr>
      </w:pPr>
      <w:r w:rsidRPr="005220E2">
        <w:rPr>
          <w:b/>
          <w:bCs/>
          <w:rtl/>
        </w:rPr>
        <w:t>الملحق</w:t>
      </w:r>
      <w:r w:rsidR="00A33D77">
        <w:rPr>
          <w:rFonts w:hint="cs"/>
          <w:rtl/>
        </w:rPr>
        <w:t xml:space="preserve">: </w:t>
      </w:r>
      <w:r w:rsidRPr="005220E2">
        <w:rPr>
          <w:rtl/>
        </w:rPr>
        <w:t>عنوان مشروع التوصية وملخصها</w:t>
      </w:r>
    </w:p>
    <w:p w14:paraId="0F3D468C" w14:textId="1FCE067C" w:rsidR="005220E2" w:rsidRPr="005220E2" w:rsidRDefault="005220E2" w:rsidP="005220E2">
      <w:pPr>
        <w:rPr>
          <w:b/>
          <w:bCs/>
          <w:rtl/>
          <w:lang w:bidi="en-GB"/>
        </w:rPr>
      </w:pPr>
      <w:r w:rsidRPr="005220E2">
        <w:rPr>
          <w:b/>
          <w:bCs/>
          <w:rtl/>
        </w:rPr>
        <w:t>الوثيقة:</w:t>
      </w:r>
      <w:r w:rsidRPr="005220E2">
        <w:rPr>
          <w:b/>
          <w:bCs/>
          <w:rtl/>
        </w:rPr>
        <w:tab/>
      </w:r>
      <w:r w:rsidRPr="005220E2">
        <w:rPr>
          <w:lang w:val="en-GB" w:bidi="ar-EG"/>
        </w:rPr>
        <w:t>4/41(Rev.1)</w:t>
      </w:r>
      <w:r w:rsidRPr="005220E2">
        <w:rPr>
          <w:rtl/>
        </w:rPr>
        <w:t xml:space="preserve">. </w:t>
      </w:r>
    </w:p>
    <w:p w14:paraId="53F6E1D5" w14:textId="7B62A60A" w:rsidR="005220E2" w:rsidRDefault="005220E2" w:rsidP="00A33D77">
      <w:pPr>
        <w:rPr>
          <w:b/>
          <w:bCs/>
          <w:rtl/>
        </w:rPr>
      </w:pPr>
      <w:r w:rsidRPr="005220E2">
        <w:rPr>
          <w:rtl/>
        </w:rPr>
        <w:t xml:space="preserve">تتاح هذه الوثيقة في نسق إلكتروني في العنوان </w:t>
      </w:r>
      <w:proofErr w:type="gramStart"/>
      <w:r w:rsidRPr="005220E2">
        <w:rPr>
          <w:rtl/>
        </w:rPr>
        <w:t>التالي </w:t>
      </w:r>
      <w:r w:rsidRPr="003001CA">
        <w:rPr>
          <w:lang w:val="en-GB" w:bidi="ar-EG"/>
        </w:rPr>
        <w:t>:</w:t>
      </w:r>
      <w:proofErr w:type="gramEnd"/>
      <w:r w:rsidRPr="003001CA">
        <w:rPr>
          <w:lang w:val="en-GB" w:bidi="ar-EG"/>
        </w:rPr>
        <w:t xml:space="preserve"> </w:t>
      </w:r>
      <w:r w:rsidRPr="005220E2">
        <w:rPr>
          <w:rtl/>
        </w:rPr>
        <w:t xml:space="preserve"> </w:t>
      </w:r>
      <w:hyperlink r:id="rId11" w:history="1">
        <w:r w:rsidRPr="005220E2">
          <w:rPr>
            <w:rStyle w:val="Hyperlink"/>
            <w:lang w:val="en-GB" w:bidi="ar-EG"/>
          </w:rPr>
          <w:t>https://www.itu.int/md/R23-SG04-C/en</w:t>
        </w:r>
      </w:hyperlink>
      <w:hyperlink r:id="rId12" w:history="1"/>
      <w:r>
        <w:rPr>
          <w:b/>
          <w:bCs/>
          <w:rtl/>
        </w:rPr>
        <w:br w:type="page"/>
      </w:r>
    </w:p>
    <w:p w14:paraId="2F17C434" w14:textId="7CC60691" w:rsidR="005220E2" w:rsidRPr="005220E2" w:rsidRDefault="005220E2" w:rsidP="00A33D77">
      <w:pPr>
        <w:pStyle w:val="AnnexNo"/>
        <w:rPr>
          <w:rtl/>
        </w:rPr>
      </w:pPr>
      <w:r w:rsidRPr="005220E2">
        <w:rPr>
          <w:rtl/>
        </w:rPr>
        <w:lastRenderedPageBreak/>
        <w:t>الملحق</w:t>
      </w:r>
    </w:p>
    <w:p w14:paraId="405AF244" w14:textId="77777777" w:rsidR="005220E2" w:rsidRPr="005220E2" w:rsidRDefault="005220E2" w:rsidP="00A33D77">
      <w:pPr>
        <w:pStyle w:val="Annextitle"/>
        <w:rPr>
          <w:rtl/>
        </w:rPr>
      </w:pPr>
      <w:r w:rsidRPr="005220E2">
        <w:rPr>
          <w:rtl/>
        </w:rPr>
        <w:t>عنوان مشروع التوصية التي اعتمدتها لجنة الدراسات 4 للاتصالات الراديوية وملخصها</w:t>
      </w:r>
    </w:p>
    <w:p w14:paraId="16C698EA" w14:textId="2CB49D17" w:rsidR="005220E2" w:rsidRPr="005220E2" w:rsidRDefault="005220E2" w:rsidP="00A33D77">
      <w:pPr>
        <w:tabs>
          <w:tab w:val="right" w:pos="9639"/>
        </w:tabs>
        <w:rPr>
          <w:rtl/>
        </w:rPr>
      </w:pPr>
      <w:r w:rsidRPr="005220E2">
        <w:rPr>
          <w:u w:val="single"/>
          <w:rtl/>
        </w:rPr>
        <w:t xml:space="preserve">مشروع التوصية الجديدة </w:t>
      </w:r>
      <w:r w:rsidRPr="005220E2">
        <w:rPr>
          <w:u w:val="single"/>
          <w:lang w:val="en-GB" w:bidi="ar-EG"/>
        </w:rPr>
        <w:t xml:space="preserve">ITU-R </w:t>
      </w:r>
      <w:proofErr w:type="gramStart"/>
      <w:r w:rsidRPr="005220E2">
        <w:rPr>
          <w:u w:val="single"/>
          <w:lang w:val="en-GB" w:bidi="ar-EG"/>
        </w:rPr>
        <w:t>M.[</w:t>
      </w:r>
      <w:proofErr w:type="gramEnd"/>
      <w:r w:rsidRPr="005220E2">
        <w:rPr>
          <w:u w:val="single"/>
          <w:lang w:val="en-GB" w:bidi="ar-EG"/>
        </w:rPr>
        <w:t>IMT-2020-SAT.SPECS]</w:t>
      </w:r>
      <w:r w:rsidRPr="005220E2">
        <w:rPr>
          <w:rtl/>
        </w:rPr>
        <w:tab/>
        <w:t xml:space="preserve">الوثيقة </w:t>
      </w:r>
      <w:r w:rsidRPr="005220E2">
        <w:rPr>
          <w:lang w:val="en-GB" w:bidi="ar-EG"/>
        </w:rPr>
        <w:t>4/41(Rev.1)</w:t>
      </w:r>
    </w:p>
    <w:p w14:paraId="7C0FE332" w14:textId="77EF8AD9" w:rsidR="005220E2" w:rsidRPr="005220E2" w:rsidRDefault="005220E2" w:rsidP="000840E4">
      <w:pPr>
        <w:pStyle w:val="Rectitle"/>
        <w:spacing w:before="240" w:after="240"/>
        <w:rPr>
          <w:rtl/>
        </w:rPr>
      </w:pPr>
      <w:r w:rsidRPr="005220E2">
        <w:rPr>
          <w:rtl/>
        </w:rPr>
        <w:t xml:space="preserve">المواصفات التفصيلية للسطوح البينية الراديوية الساتلية </w:t>
      </w:r>
      <w:r w:rsidR="00A33D77">
        <w:rPr>
          <w:rtl/>
        </w:rPr>
        <w:br/>
      </w:r>
      <w:r w:rsidRPr="005220E2">
        <w:rPr>
          <w:rtl/>
        </w:rPr>
        <w:t>للاتصالات المتنقلة الدولية-2020</w:t>
      </w:r>
      <w:r w:rsidR="000840E4">
        <w:rPr>
          <w:rFonts w:hint="cs"/>
          <w:rtl/>
          <w:lang w:val="fr-CH" w:bidi="ar-EG"/>
        </w:rPr>
        <w:t xml:space="preserve"> </w:t>
      </w:r>
      <w:r w:rsidRPr="005220E2">
        <w:rPr>
          <w:lang w:val="fr-CH" w:bidi="ar-EG"/>
        </w:rPr>
        <w:t>(IMT-2020)</w:t>
      </w:r>
    </w:p>
    <w:p w14:paraId="7CE0A26D" w14:textId="7E0C22E5" w:rsidR="005220E2" w:rsidRPr="005220E2" w:rsidRDefault="005220E2" w:rsidP="005220E2">
      <w:pPr>
        <w:rPr>
          <w:rtl/>
        </w:rPr>
      </w:pPr>
      <w:r w:rsidRPr="005220E2">
        <w:rPr>
          <w:rtl/>
        </w:rPr>
        <w:t>تحدد هذه التوصية تكنولوجيات السطوح البينية الراديوية الساتلية للاتصالات المتنقلة الدولية-2020</w:t>
      </w:r>
      <w:r w:rsidRPr="005220E2">
        <w:rPr>
          <w:lang w:val="fr-CH" w:bidi="ar-EG"/>
        </w:rPr>
        <w:t xml:space="preserve"> (IMT-2020) </w:t>
      </w:r>
      <w:r w:rsidRPr="005220E2">
        <w:rPr>
          <w:rtl/>
        </w:rPr>
        <w:t>وتقدم المواصفات التفصيلية للسطوح البينية الراديوية</w:t>
      </w:r>
      <w:r w:rsidRPr="005220E2">
        <w:rPr>
          <w:lang w:val="fr-CH" w:bidi="ar-EG"/>
        </w:rPr>
        <w:t>.</w:t>
      </w:r>
    </w:p>
    <w:p w14:paraId="1AE5D120" w14:textId="34BE27DD" w:rsidR="00F16820" w:rsidRDefault="005220E2" w:rsidP="005220E2">
      <w:pPr>
        <w:rPr>
          <w:rtl/>
          <w:lang w:bidi="ar-EG"/>
        </w:rPr>
      </w:pPr>
      <w:r w:rsidRPr="005220E2">
        <w:rPr>
          <w:rtl/>
        </w:rPr>
        <w:t xml:space="preserve">‏وتفصِّل مواصفات السطح البيني الراديوي هذه ميزات ومعلمات المكون </w:t>
      </w:r>
      <w:proofErr w:type="spellStart"/>
      <w:r w:rsidRPr="005220E2">
        <w:rPr>
          <w:rtl/>
        </w:rPr>
        <w:t>الساتلي</w:t>
      </w:r>
      <w:proofErr w:type="spellEnd"/>
      <w:r w:rsidRPr="005220E2">
        <w:rPr>
          <w:rtl/>
        </w:rPr>
        <w:t xml:space="preserve"> للاتصالات المتنقلة الدولية-</w:t>
      </w:r>
      <w:r w:rsidRPr="005220E2">
        <w:rPr>
          <w:lang w:val="en-GB" w:bidi="ar-EG"/>
        </w:rPr>
        <w:t>2020</w:t>
      </w:r>
      <w:r w:rsidRPr="005220E2">
        <w:rPr>
          <w:rtl/>
        </w:rPr>
        <w:t xml:space="preserve"> (</w:t>
      </w:r>
      <w:r w:rsidRPr="005220E2">
        <w:rPr>
          <w:lang w:val="en-GB" w:bidi="ar-EG"/>
        </w:rPr>
        <w:t>IMT</w:t>
      </w:r>
      <w:r w:rsidR="000840E4">
        <w:rPr>
          <w:lang w:val="en-GB" w:bidi="ar-EG"/>
        </w:rPr>
        <w:noBreakHyphen/>
      </w:r>
      <w:r w:rsidRPr="005220E2">
        <w:rPr>
          <w:lang w:val="en-GB" w:bidi="ar-EG"/>
        </w:rPr>
        <w:t>2020</w:t>
      </w:r>
      <w:r w:rsidRPr="005220E2">
        <w:rPr>
          <w:rtl/>
        </w:rPr>
        <w:t>). وتشمل هذه التوصية القدرة على ضمان التوافق العالمي والتجوال الدولي لخدمات الاتصالات الساتلية المقدمة</w:t>
      </w:r>
      <w:r w:rsidRPr="005220E2">
        <w:rPr>
          <w:lang w:val="fr-CH" w:bidi="ar-EG"/>
        </w:rPr>
        <w:t>.</w:t>
      </w:r>
    </w:p>
    <w:p w14:paraId="1DAEC0D5" w14:textId="77777777" w:rsidR="00BA4006" w:rsidRDefault="00BA4006" w:rsidP="00BA4006">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BA4006" w:rsidSect="006C3242">
      <w:headerReference w:type="default" r:id="rId13"/>
      <w:headerReference w:type="firs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4F64" w14:textId="77777777" w:rsidR="005220E2" w:rsidRDefault="005220E2" w:rsidP="006C3242">
      <w:pPr>
        <w:spacing w:before="0" w:line="240" w:lineRule="auto"/>
      </w:pPr>
      <w:r>
        <w:separator/>
      </w:r>
    </w:p>
  </w:endnote>
  <w:endnote w:type="continuationSeparator" w:id="0">
    <w:p w14:paraId="78E0A7F5" w14:textId="77777777" w:rsidR="005220E2" w:rsidRDefault="005220E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4906"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745C" w14:textId="77777777" w:rsidR="005220E2" w:rsidRDefault="005220E2" w:rsidP="006C3242">
      <w:pPr>
        <w:spacing w:before="0" w:line="240" w:lineRule="auto"/>
      </w:pPr>
      <w:r>
        <w:separator/>
      </w:r>
    </w:p>
  </w:footnote>
  <w:footnote w:type="continuationSeparator" w:id="0">
    <w:p w14:paraId="64E46C71" w14:textId="77777777" w:rsidR="005220E2" w:rsidRDefault="005220E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D435"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4650" w14:textId="77777777" w:rsidR="004C39C6" w:rsidRDefault="00583181" w:rsidP="00583181">
    <w:pPr>
      <w:pStyle w:val="Header"/>
      <w:spacing w:before="120"/>
      <w:jc w:val="center"/>
    </w:pPr>
    <w:r>
      <w:rPr>
        <w:noProof/>
        <w:lang w:val="en-GB" w:eastAsia="en-GB"/>
      </w:rPr>
      <w:drawing>
        <wp:inline distT="0" distB="0" distL="0" distR="0" wp14:anchorId="291A8865" wp14:editId="79EF6128">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E2"/>
    <w:rsid w:val="00014A33"/>
    <w:rsid w:val="0006468A"/>
    <w:rsid w:val="000840E4"/>
    <w:rsid w:val="00090574"/>
    <w:rsid w:val="000C1C0E"/>
    <w:rsid w:val="000C548A"/>
    <w:rsid w:val="000F7BBE"/>
    <w:rsid w:val="00150DB9"/>
    <w:rsid w:val="001C0169"/>
    <w:rsid w:val="001D1D50"/>
    <w:rsid w:val="001D6745"/>
    <w:rsid w:val="001E446E"/>
    <w:rsid w:val="002042A6"/>
    <w:rsid w:val="002154EE"/>
    <w:rsid w:val="002276D2"/>
    <w:rsid w:val="0023283D"/>
    <w:rsid w:val="0026373E"/>
    <w:rsid w:val="00271C43"/>
    <w:rsid w:val="00290728"/>
    <w:rsid w:val="002978F4"/>
    <w:rsid w:val="002B028D"/>
    <w:rsid w:val="002E6541"/>
    <w:rsid w:val="003001CA"/>
    <w:rsid w:val="00334924"/>
    <w:rsid w:val="003409BC"/>
    <w:rsid w:val="00357185"/>
    <w:rsid w:val="003704CA"/>
    <w:rsid w:val="00383829"/>
    <w:rsid w:val="003B5733"/>
    <w:rsid w:val="003F4B29"/>
    <w:rsid w:val="004111FB"/>
    <w:rsid w:val="0042686F"/>
    <w:rsid w:val="004317D8"/>
    <w:rsid w:val="00434183"/>
    <w:rsid w:val="00443869"/>
    <w:rsid w:val="00447F32"/>
    <w:rsid w:val="004563AF"/>
    <w:rsid w:val="004C39C6"/>
    <w:rsid w:val="004E11DC"/>
    <w:rsid w:val="005220E2"/>
    <w:rsid w:val="00525DDD"/>
    <w:rsid w:val="005409AC"/>
    <w:rsid w:val="0055516A"/>
    <w:rsid w:val="00583181"/>
    <w:rsid w:val="0058491B"/>
    <w:rsid w:val="00592EA5"/>
    <w:rsid w:val="005A3170"/>
    <w:rsid w:val="00677396"/>
    <w:rsid w:val="0069200F"/>
    <w:rsid w:val="006A65CB"/>
    <w:rsid w:val="006C3242"/>
    <w:rsid w:val="006C7CC0"/>
    <w:rsid w:val="006E5F73"/>
    <w:rsid w:val="006F63F7"/>
    <w:rsid w:val="007025C7"/>
    <w:rsid w:val="00706D7A"/>
    <w:rsid w:val="00722F0D"/>
    <w:rsid w:val="0074420E"/>
    <w:rsid w:val="00783E26"/>
    <w:rsid w:val="007C3BC7"/>
    <w:rsid w:val="007C3BCD"/>
    <w:rsid w:val="007D4ACF"/>
    <w:rsid w:val="007F0787"/>
    <w:rsid w:val="00810B7B"/>
    <w:rsid w:val="00816EE9"/>
    <w:rsid w:val="0082358A"/>
    <w:rsid w:val="008235CD"/>
    <w:rsid w:val="008247DE"/>
    <w:rsid w:val="00840B10"/>
    <w:rsid w:val="008513CB"/>
    <w:rsid w:val="008A4A32"/>
    <w:rsid w:val="008A7F84"/>
    <w:rsid w:val="008E30E1"/>
    <w:rsid w:val="0091702E"/>
    <w:rsid w:val="00923B0C"/>
    <w:rsid w:val="0094021C"/>
    <w:rsid w:val="00952F86"/>
    <w:rsid w:val="00982B28"/>
    <w:rsid w:val="009D313F"/>
    <w:rsid w:val="00A33D77"/>
    <w:rsid w:val="00A47A5A"/>
    <w:rsid w:val="00A6683B"/>
    <w:rsid w:val="00A7177B"/>
    <w:rsid w:val="00A837DA"/>
    <w:rsid w:val="00A97F94"/>
    <w:rsid w:val="00AA7EA2"/>
    <w:rsid w:val="00B03099"/>
    <w:rsid w:val="00B05BC8"/>
    <w:rsid w:val="00B1143A"/>
    <w:rsid w:val="00B64B47"/>
    <w:rsid w:val="00B74B14"/>
    <w:rsid w:val="00BA4006"/>
    <w:rsid w:val="00C002DE"/>
    <w:rsid w:val="00C502CD"/>
    <w:rsid w:val="00C53BF8"/>
    <w:rsid w:val="00C66157"/>
    <w:rsid w:val="00C674FE"/>
    <w:rsid w:val="00C67501"/>
    <w:rsid w:val="00C75633"/>
    <w:rsid w:val="00CB0829"/>
    <w:rsid w:val="00CE2EE1"/>
    <w:rsid w:val="00CE3349"/>
    <w:rsid w:val="00CE36E5"/>
    <w:rsid w:val="00CF27F5"/>
    <w:rsid w:val="00CF3FFD"/>
    <w:rsid w:val="00D10CCF"/>
    <w:rsid w:val="00D77D0F"/>
    <w:rsid w:val="00DA1CF0"/>
    <w:rsid w:val="00DC1E02"/>
    <w:rsid w:val="00DC24B4"/>
    <w:rsid w:val="00DC5FB0"/>
    <w:rsid w:val="00DF16DC"/>
    <w:rsid w:val="00E45211"/>
    <w:rsid w:val="00E473C5"/>
    <w:rsid w:val="00E92863"/>
    <w:rsid w:val="00EA202B"/>
    <w:rsid w:val="00EB796D"/>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CBEE0"/>
  <w15:chartTrackingRefBased/>
  <w15:docId w15:val="{8E7C50D0-0B7E-4137-BD72-3776E1EE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522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SG05-C/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SG04-C/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pub/R-REC" TargetMode="Externa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321</Words>
  <Characters>2086</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Panoussopoulos, Sonia</cp:lastModifiedBy>
  <cp:revision>5</cp:revision>
  <dcterms:created xsi:type="dcterms:W3CDTF">2025-12-16T14:56:00Z</dcterms:created>
  <dcterms:modified xsi:type="dcterms:W3CDTF">2025-12-22T09:28:00Z</dcterms:modified>
</cp:coreProperties>
</file>