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3144B3" w14:paraId="0BBE3513" w14:textId="77777777" w:rsidTr="00153E23">
        <w:tc>
          <w:tcPr>
            <w:tcW w:w="5000" w:type="pct"/>
            <w:gridSpan w:val="3"/>
          </w:tcPr>
          <w:p w14:paraId="0FBC053B" w14:textId="77777777" w:rsidR="000F7BBE" w:rsidRPr="003144B3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3144B3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مكتب الاتصالات الراديوية </w:t>
            </w:r>
            <w:r w:rsidRPr="003144B3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B2168CC" w14:textId="77777777" w:rsidR="000F7BBE" w:rsidRPr="003144B3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3144B3" w14:paraId="60D01BB1" w14:textId="77777777" w:rsidTr="00153E23">
        <w:tc>
          <w:tcPr>
            <w:tcW w:w="2707" w:type="pct"/>
            <w:gridSpan w:val="2"/>
          </w:tcPr>
          <w:p w14:paraId="1B06E103" w14:textId="37E02BAC" w:rsidR="000F7BBE" w:rsidRPr="003144B3" w:rsidRDefault="000F7BBE" w:rsidP="006A441B">
            <w:pPr>
              <w:spacing w:before="80" w:line="300" w:lineRule="exact"/>
              <w:rPr>
                <w:position w:val="2"/>
                <w:lang w:bidi="ar-EG"/>
              </w:rPr>
            </w:pPr>
            <w:r w:rsidRPr="003144B3">
              <w:rPr>
                <w:position w:val="2"/>
                <w:rtl/>
                <w:lang w:bidi="ar-AE"/>
              </w:rPr>
              <w:t>الرسالة الإدارية المعممة</w:t>
            </w:r>
          </w:p>
          <w:p w14:paraId="71F2F206" w14:textId="64E9A3CD" w:rsidR="000F7BBE" w:rsidRPr="003144B3" w:rsidRDefault="000F7BBE" w:rsidP="006A441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3144B3">
              <w:rPr>
                <w:b/>
                <w:bCs/>
                <w:position w:val="2"/>
                <w:lang w:val="en-GB" w:bidi="ar-EG"/>
              </w:rPr>
              <w:t>CACE/</w:t>
            </w:r>
            <w:r w:rsidR="00D74FB2" w:rsidRPr="003144B3">
              <w:rPr>
                <w:b/>
                <w:bCs/>
                <w:position w:val="2"/>
                <w:lang w:val="en-GB" w:bidi="ar-EG"/>
              </w:rPr>
              <w:t>1167</w:t>
            </w:r>
          </w:p>
        </w:tc>
        <w:tc>
          <w:tcPr>
            <w:tcW w:w="2293" w:type="pct"/>
          </w:tcPr>
          <w:p w14:paraId="103BCA64" w14:textId="07033ABD" w:rsidR="000F7BBE" w:rsidRPr="003144B3" w:rsidRDefault="00493A98" w:rsidP="00F16820">
            <w:pPr>
              <w:spacing w:before="80" w:after="60" w:line="300" w:lineRule="exact"/>
              <w:jc w:val="right"/>
              <w:rPr>
                <w:position w:val="2"/>
              </w:rPr>
            </w:pPr>
            <w:r>
              <w:rPr>
                <w:position w:val="2"/>
                <w:rtl/>
                <w:lang w:val="fr-FR"/>
              </w:rPr>
              <w:t>17</w:t>
            </w:r>
            <w:r w:rsidR="00D74FB2" w:rsidRPr="003144B3">
              <w:rPr>
                <w:rFonts w:hint="cs"/>
                <w:position w:val="2"/>
                <w:rtl/>
                <w:lang w:val="fr-FR"/>
              </w:rPr>
              <w:t xml:space="preserve"> ديسمبر </w:t>
            </w:r>
            <w:r w:rsidR="00D74FB2" w:rsidRPr="003144B3">
              <w:rPr>
                <w:position w:val="2"/>
              </w:rPr>
              <w:t>2025</w:t>
            </w:r>
          </w:p>
        </w:tc>
      </w:tr>
      <w:tr w:rsidR="000F7BBE" w:rsidRPr="003144B3" w14:paraId="21583730" w14:textId="77777777" w:rsidTr="00153E23">
        <w:tc>
          <w:tcPr>
            <w:tcW w:w="5000" w:type="pct"/>
            <w:gridSpan w:val="3"/>
          </w:tcPr>
          <w:p w14:paraId="2AC34C70" w14:textId="77777777" w:rsidR="000F7BBE" w:rsidRPr="003144B3" w:rsidRDefault="000F7BBE" w:rsidP="000F7BBE">
            <w:pPr>
              <w:spacing w:before="80" w:after="6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3144B3" w14:paraId="3D0BC696" w14:textId="77777777" w:rsidTr="00153E23">
        <w:tc>
          <w:tcPr>
            <w:tcW w:w="5000" w:type="pct"/>
            <w:gridSpan w:val="3"/>
          </w:tcPr>
          <w:p w14:paraId="5049DF63" w14:textId="77777777" w:rsidR="000F7BBE" w:rsidRPr="003144B3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3144B3" w14:paraId="0D5539C1" w14:textId="77777777" w:rsidTr="00153E23">
        <w:tc>
          <w:tcPr>
            <w:tcW w:w="5000" w:type="pct"/>
            <w:gridSpan w:val="3"/>
          </w:tcPr>
          <w:p w14:paraId="07CE385F" w14:textId="72CAB994" w:rsidR="000F7BBE" w:rsidRPr="003144B3" w:rsidRDefault="00E071D0" w:rsidP="00E071D0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3144B3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 والمنتسبين إليه</w:t>
            </w:r>
            <w:r w:rsidRPr="003144B3">
              <w:rPr>
                <w:b/>
                <w:bCs/>
                <w:position w:val="2"/>
                <w:rtl/>
              </w:rPr>
              <w:br/>
            </w:r>
            <w:r w:rsidR="00A87C7D" w:rsidRPr="003144B3">
              <w:rPr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 </w:t>
            </w:r>
            <w:r w:rsidRPr="003144B3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D74FB2" w:rsidRPr="003144B3">
              <w:rPr>
                <w:b/>
                <w:bCs/>
                <w:position w:val="2"/>
                <w:lang w:val="en-GB"/>
              </w:rPr>
              <w:t>4</w:t>
            </w:r>
            <w:r w:rsidRPr="003144B3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3144B3" w14:paraId="1270444C" w14:textId="77777777" w:rsidTr="00153E23">
        <w:tc>
          <w:tcPr>
            <w:tcW w:w="5000" w:type="pct"/>
            <w:gridSpan w:val="3"/>
          </w:tcPr>
          <w:p w14:paraId="19955F28" w14:textId="77777777" w:rsidR="000F7BBE" w:rsidRPr="003144B3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3144B3" w14:paraId="1DAB0724" w14:textId="77777777" w:rsidTr="00153E23">
        <w:tc>
          <w:tcPr>
            <w:tcW w:w="5000" w:type="pct"/>
            <w:gridSpan w:val="3"/>
          </w:tcPr>
          <w:p w14:paraId="77F8C503" w14:textId="77777777" w:rsidR="000F7BBE" w:rsidRPr="003144B3" w:rsidRDefault="000F7BBE" w:rsidP="000F7BBE">
            <w:pPr>
              <w:spacing w:before="80" w:after="6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493A98" w14:paraId="7F4A3AA8" w14:textId="77777777" w:rsidTr="00153E23">
        <w:trPr>
          <w:trHeight w:val="452"/>
        </w:trPr>
        <w:tc>
          <w:tcPr>
            <w:tcW w:w="699" w:type="pct"/>
          </w:tcPr>
          <w:p w14:paraId="453DBE14" w14:textId="77777777" w:rsidR="000F7BBE" w:rsidRPr="003144B3" w:rsidRDefault="000F7BBE" w:rsidP="00F23E90">
            <w:pPr>
              <w:spacing w:before="40" w:after="40"/>
              <w:rPr>
                <w:position w:val="2"/>
                <w:lang w:val="fr-FR" w:bidi="ar-EG"/>
              </w:rPr>
            </w:pPr>
            <w:r w:rsidRPr="003144B3">
              <w:rPr>
                <w:position w:val="2"/>
                <w:rtl/>
              </w:rPr>
              <w:t>الموضوع</w:t>
            </w:r>
            <w:r w:rsidRPr="003144B3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7650216B" w14:textId="7D4E045F" w:rsidR="00E071D0" w:rsidRPr="00493A98" w:rsidRDefault="00E071D0" w:rsidP="00F23E90">
            <w:pPr>
              <w:spacing w:before="40" w:after="40"/>
              <w:rPr>
                <w:b/>
                <w:bCs/>
                <w:lang w:val="fr-FR"/>
              </w:rPr>
            </w:pPr>
            <w:r w:rsidRPr="003144B3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D74FB2" w:rsidRPr="00493A98">
              <w:rPr>
                <w:b/>
                <w:bCs/>
                <w:lang w:val="fr-FR" w:bidi="ar-SY"/>
              </w:rPr>
              <w:t>4</w:t>
            </w:r>
            <w:r w:rsidRPr="003144B3">
              <w:rPr>
                <w:b/>
                <w:bCs/>
                <w:rtl/>
                <w:lang w:bidi="ar-EG"/>
              </w:rPr>
              <w:t xml:space="preserve"> للاتصالات الراديوية</w:t>
            </w:r>
            <w:r w:rsidR="006E6131" w:rsidRPr="003144B3">
              <w:rPr>
                <w:b/>
                <w:bCs/>
                <w:rtl/>
                <w:lang w:bidi="ar-EG"/>
              </w:rPr>
              <w:t xml:space="preserve"> </w:t>
            </w:r>
            <w:r w:rsidR="00D74FB2" w:rsidRPr="003144B3">
              <w:rPr>
                <w:b/>
                <w:bCs/>
                <w:rtl/>
                <w:lang w:bidi="ar-EG"/>
              </w:rPr>
              <w:t>(الخدمات الساتلية)</w:t>
            </w:r>
          </w:p>
          <w:p w14:paraId="6CB1E279" w14:textId="584E7A18" w:rsidR="000F7BBE" w:rsidRPr="00493A98" w:rsidRDefault="00E071D0" w:rsidP="00F23E90">
            <w:pPr>
              <w:tabs>
                <w:tab w:val="clear" w:pos="794"/>
                <w:tab w:val="left" w:pos="385"/>
              </w:tabs>
              <w:spacing w:before="40" w:after="40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 w:rsidRPr="003144B3">
              <w:rPr>
                <w:b/>
                <w:bCs/>
                <w:rtl/>
                <w:lang w:bidi="ar-EG"/>
              </w:rPr>
              <w:t>-</w:t>
            </w:r>
            <w:r w:rsidRPr="003144B3">
              <w:rPr>
                <w:b/>
                <w:bCs/>
                <w:rtl/>
                <w:lang w:bidi="ar-EG"/>
              </w:rPr>
              <w:tab/>
            </w:r>
            <w:r w:rsidR="00D74FB2" w:rsidRPr="003144B3">
              <w:rPr>
                <w:rtl/>
              </w:rPr>
              <w:t xml:space="preserve"> </w:t>
            </w:r>
            <w:r w:rsidR="00D74FB2" w:rsidRPr="003144B3">
              <w:rPr>
                <w:b/>
                <w:bCs/>
                <w:spacing w:val="-4"/>
                <w:rtl/>
                <w:lang w:bidi="ar-EG"/>
              </w:rPr>
              <w:t>اقتراح الاعتماد بالمراسلة لمشروع مراجعة توصية لقطاع الاتصالات الراديوية</w:t>
            </w:r>
          </w:p>
        </w:tc>
      </w:tr>
    </w:tbl>
    <w:p w14:paraId="1B5F8613" w14:textId="3DF3B8B7" w:rsidR="00E071D0" w:rsidRPr="003144B3" w:rsidRDefault="00E071D0" w:rsidP="00D74FB2">
      <w:pPr>
        <w:spacing w:before="600"/>
        <w:rPr>
          <w:rtl/>
          <w:lang w:bidi="ar-EG"/>
        </w:rPr>
      </w:pPr>
      <w:r w:rsidRPr="003144B3">
        <w:rPr>
          <w:rtl/>
          <w:lang w:bidi="ar-EG"/>
        </w:rPr>
        <w:t>قررت لجنة الدراسات </w:t>
      </w:r>
      <w:r w:rsidR="00D74FB2" w:rsidRPr="00493A98">
        <w:rPr>
          <w:lang w:val="fr-FR" w:bidi="ar-EG"/>
        </w:rPr>
        <w:t>4</w:t>
      </w:r>
      <w:r w:rsidRPr="003144B3">
        <w:rPr>
          <w:rtl/>
          <w:lang w:bidi="ar-EG"/>
        </w:rPr>
        <w:t xml:space="preserve"> للاتصالات الراديوية في اجتماعها المنعقد </w:t>
      </w:r>
      <w:r w:rsidR="00BA52FE" w:rsidRPr="003144B3">
        <w:rPr>
          <w:rtl/>
          <w:lang w:bidi="ar-EG"/>
        </w:rPr>
        <w:t>في</w:t>
      </w:r>
      <w:r w:rsidRPr="003144B3">
        <w:rPr>
          <w:rtl/>
          <w:lang w:bidi="ar-EG"/>
        </w:rPr>
        <w:t xml:space="preserve"> </w:t>
      </w:r>
      <w:r w:rsidR="00D74FB2" w:rsidRPr="00493A98">
        <w:rPr>
          <w:lang w:val="fr-FR" w:bidi="ar-EG"/>
        </w:rPr>
        <w:t>7</w:t>
      </w:r>
      <w:r w:rsidRPr="003144B3">
        <w:rPr>
          <w:rtl/>
          <w:lang w:bidi="ar-EG"/>
        </w:rPr>
        <w:t xml:space="preserve"> </w:t>
      </w:r>
      <w:r w:rsidR="00D74FB2" w:rsidRPr="003144B3">
        <w:rPr>
          <w:rFonts w:hint="cs"/>
          <w:rtl/>
          <w:lang w:bidi="ar-EG"/>
        </w:rPr>
        <w:t>نوفمبر</w:t>
      </w:r>
      <w:r w:rsidRPr="003144B3">
        <w:rPr>
          <w:rtl/>
          <w:lang w:bidi="ar-EG"/>
        </w:rPr>
        <w:t> </w:t>
      </w:r>
      <w:r w:rsidR="00D74FB2" w:rsidRPr="00493A98">
        <w:rPr>
          <w:lang w:val="fr-FR" w:bidi="ar-EG"/>
        </w:rPr>
        <w:t>2025</w:t>
      </w:r>
      <w:r w:rsidRPr="003144B3">
        <w:rPr>
          <w:rtl/>
          <w:lang w:bidi="ar-EG"/>
        </w:rPr>
        <w:t xml:space="preserve"> أن تلتمس اعتماد </w:t>
      </w:r>
      <w:r w:rsidR="00D74FB2" w:rsidRPr="003144B3">
        <w:rPr>
          <w:rtl/>
          <w:lang w:bidi="ar-EG"/>
        </w:rPr>
        <w:t>مشروع مراجعة توصية لقطاع الاتصالات الراديوية</w:t>
      </w:r>
      <w:r w:rsidRPr="003144B3">
        <w:rPr>
          <w:rtl/>
          <w:lang w:bidi="ar-EG"/>
        </w:rPr>
        <w:t xml:space="preserve"> </w:t>
      </w:r>
      <w:r w:rsidR="00D74FB2" w:rsidRPr="003144B3">
        <w:rPr>
          <w:rFonts w:hint="cs"/>
          <w:rtl/>
          <w:lang w:bidi="ar-EG"/>
        </w:rPr>
        <w:t>وفقاً ل</w:t>
      </w:r>
      <w:r w:rsidRPr="003144B3">
        <w:rPr>
          <w:rtl/>
          <w:lang w:bidi="ar-EG"/>
        </w:rPr>
        <w:t>لفقرة </w:t>
      </w:r>
      <w:r w:rsidR="00D74FB2" w:rsidRPr="00493A98">
        <w:rPr>
          <w:lang w:val="fr-FR" w:bidi="ar-EG"/>
        </w:rPr>
        <w:t>3.2.</w:t>
      </w:r>
      <w:r w:rsidRPr="00493A98">
        <w:rPr>
          <w:lang w:val="fr-FR"/>
        </w:rPr>
        <w:t>2.6.A2</w:t>
      </w:r>
      <w:r w:rsidRPr="003144B3">
        <w:rPr>
          <w:rtl/>
          <w:lang w:bidi="ar-EG"/>
        </w:rPr>
        <w:t xml:space="preserve"> من القرار </w:t>
      </w:r>
      <w:r w:rsidRPr="00493A98">
        <w:rPr>
          <w:lang w:val="fr-FR"/>
        </w:rPr>
        <w:t>ITU</w:t>
      </w:r>
      <w:r w:rsidRPr="00493A98">
        <w:rPr>
          <w:lang w:val="fr-FR"/>
        </w:rPr>
        <w:noBreakHyphen/>
        <w:t>R 1</w:t>
      </w:r>
      <w:r w:rsidRPr="00493A98">
        <w:rPr>
          <w:lang w:val="fr-FR"/>
        </w:rPr>
        <w:noBreakHyphen/>
      </w:r>
      <w:r w:rsidR="00BA52FE" w:rsidRPr="00493A98">
        <w:rPr>
          <w:lang w:val="fr-FR"/>
        </w:rPr>
        <w:t>9</w:t>
      </w:r>
      <w:r w:rsidRPr="003144B3">
        <w:rPr>
          <w:rtl/>
          <w:lang w:bidi="ar-EG"/>
        </w:rPr>
        <w:t xml:space="preserve"> </w:t>
      </w:r>
      <w:r w:rsidR="00D74FB2" w:rsidRPr="003144B3">
        <w:rPr>
          <w:rtl/>
          <w:lang w:bidi="ar-EG"/>
        </w:rPr>
        <w:t>(اعتماد بالمراسلة من قبل لجنة الدراسات). ويرد عنوان وملخص مشروع التوصية في الملحق بهذه الرسالة.</w:t>
      </w:r>
    </w:p>
    <w:p w14:paraId="3AA75953" w14:textId="338EACAA" w:rsidR="00E071D0" w:rsidRPr="003144B3" w:rsidRDefault="00E071D0" w:rsidP="00E071D0">
      <w:pPr>
        <w:rPr>
          <w:spacing w:val="2"/>
          <w:rtl/>
          <w:lang w:bidi="ar-EG"/>
        </w:rPr>
      </w:pPr>
      <w:r w:rsidRPr="003144B3">
        <w:rPr>
          <w:spacing w:val="2"/>
          <w:rtl/>
          <w:lang w:bidi="ar-EG"/>
        </w:rPr>
        <w:t xml:space="preserve">وتمتد فترة النظر لمدة شهرين تنتهي في </w:t>
      </w:r>
      <w:r w:rsidR="00493A98" w:rsidRPr="00493A98">
        <w:rPr>
          <w:spacing w:val="2"/>
          <w:u w:val="single"/>
          <w:lang w:val="es-ES" w:bidi="ar-EG"/>
        </w:rPr>
        <w:t>17</w:t>
      </w:r>
      <w:r w:rsidRPr="003144B3">
        <w:rPr>
          <w:spacing w:val="2"/>
          <w:u w:val="single"/>
          <w:rtl/>
          <w:lang w:bidi="ar-EG"/>
        </w:rPr>
        <w:t xml:space="preserve"> </w:t>
      </w:r>
      <w:r w:rsidR="00D74FB2" w:rsidRPr="003144B3">
        <w:rPr>
          <w:rFonts w:hint="cs"/>
          <w:spacing w:val="2"/>
          <w:u w:val="single"/>
          <w:rtl/>
          <w:lang w:bidi="ar-EG"/>
        </w:rPr>
        <w:t>فبراير</w:t>
      </w:r>
      <w:r w:rsidRPr="003144B3">
        <w:rPr>
          <w:spacing w:val="2"/>
          <w:u w:val="single"/>
          <w:rtl/>
          <w:lang w:bidi="ar-EG"/>
        </w:rPr>
        <w:t xml:space="preserve"> </w:t>
      </w:r>
      <w:r w:rsidR="00D74FB2" w:rsidRPr="003144B3">
        <w:rPr>
          <w:spacing w:val="2"/>
          <w:u w:val="single"/>
        </w:rPr>
        <w:t>2026</w:t>
      </w:r>
      <w:r w:rsidRPr="003144B3">
        <w:rPr>
          <w:spacing w:val="2"/>
          <w:rtl/>
          <w:lang w:bidi="ar-EG"/>
        </w:rPr>
        <w:t>. وإذا لم ترد أي اعتراضات من الدول الأعضاء خلال هذه الفترة</w:t>
      </w:r>
      <w:r w:rsidR="00D74FB2" w:rsidRPr="003144B3">
        <w:rPr>
          <w:rFonts w:hint="cs"/>
          <w:spacing w:val="2"/>
          <w:rtl/>
          <w:lang w:bidi="ar-EG"/>
        </w:rPr>
        <w:t>،</w:t>
      </w:r>
      <w:r w:rsidRPr="003144B3">
        <w:rPr>
          <w:spacing w:val="2"/>
          <w:rtl/>
          <w:lang w:bidi="ar-EG"/>
        </w:rPr>
        <w:t xml:space="preserve"> </w:t>
      </w:r>
      <w:r w:rsidR="00D74FB2" w:rsidRPr="003144B3">
        <w:rPr>
          <w:spacing w:val="2"/>
          <w:rtl/>
          <w:lang w:bidi="ar-EG"/>
        </w:rPr>
        <w:t xml:space="preserve">عندئذٍ يشرع في إجراء الموافقة بالتشاور المنصوص عليه في الفقرة </w:t>
      </w:r>
      <w:r w:rsidR="00D74FB2" w:rsidRPr="003144B3">
        <w:rPr>
          <w:spacing w:val="2"/>
          <w:lang w:bidi="ar-EG"/>
        </w:rPr>
        <w:t>3.2.6.A2</w:t>
      </w:r>
      <w:r w:rsidR="00D74FB2" w:rsidRPr="003144B3">
        <w:rPr>
          <w:spacing w:val="2"/>
          <w:rtl/>
          <w:lang w:bidi="ar-EG"/>
        </w:rPr>
        <w:t xml:space="preserve"> من القرار </w:t>
      </w:r>
      <w:r w:rsidR="00D74FB2" w:rsidRPr="003144B3">
        <w:rPr>
          <w:spacing w:val="2"/>
          <w:lang w:bidi="ar-EG"/>
        </w:rPr>
        <w:t>ITU-R 1-9</w:t>
      </w:r>
      <w:r w:rsidR="00D74FB2" w:rsidRPr="003144B3">
        <w:rPr>
          <w:spacing w:val="2"/>
          <w:rtl/>
          <w:lang w:bidi="ar-EG"/>
        </w:rPr>
        <w:t>.</w:t>
      </w:r>
    </w:p>
    <w:p w14:paraId="411A9780" w14:textId="5EBED478" w:rsidR="00E071D0" w:rsidRPr="003144B3" w:rsidRDefault="00D74FB2" w:rsidP="00E071D0">
      <w:pPr>
        <w:rPr>
          <w:rtl/>
          <w:lang w:bidi="ar-EG"/>
        </w:rPr>
      </w:pPr>
      <w:r w:rsidRPr="003144B3">
        <w:rPr>
          <w:rtl/>
          <w:lang w:bidi="ar-EG"/>
        </w:rPr>
        <w:t>ويرجى من أي دولة عضو تبدي اعتراضاً على اعتماد مشروع التوصية أن تخبر المدير ورئيس لجنة الدراسات بأسباب اعتراضها.</w:t>
      </w:r>
    </w:p>
    <w:p w14:paraId="1173724A" w14:textId="44FE8BCA" w:rsidR="00E071D0" w:rsidRPr="003144B3" w:rsidRDefault="00E071D0" w:rsidP="0007768D">
      <w:pPr>
        <w:keepNext/>
        <w:keepLines/>
        <w:rPr>
          <w:spacing w:val="-4"/>
          <w:rtl/>
          <w:lang w:bidi="ar-EG"/>
        </w:rPr>
      </w:pPr>
      <w:r w:rsidRPr="003144B3">
        <w:rPr>
          <w:spacing w:val="-4"/>
          <w:rtl/>
          <w:lang w:bidi="ar-EG"/>
        </w:rPr>
        <w:t>ويرجى من أي منظمة عضو في الاتحاد تعلم بوجود براءة اختراع لديها أو لدى غيرها تغطي كلياً أو جزئياً عناصر</w:t>
      </w:r>
      <w:r w:rsidR="00FE1CF4" w:rsidRPr="003144B3">
        <w:rPr>
          <w:spacing w:val="-4"/>
          <w:rtl/>
          <w:lang w:bidi="ar-EG"/>
        </w:rPr>
        <w:t xml:space="preserve"> من مشروع التوصية</w:t>
      </w:r>
      <w:r w:rsidR="00D74FB2" w:rsidRPr="003144B3">
        <w:rPr>
          <w:rFonts w:hint="cs"/>
          <w:spacing w:val="-4"/>
          <w:rtl/>
          <w:lang w:bidi="ar-EG"/>
        </w:rPr>
        <w:t xml:space="preserve"> </w:t>
      </w:r>
      <w:r w:rsidRPr="003144B3">
        <w:rPr>
          <w:spacing w:val="-4"/>
          <w:rtl/>
          <w:lang w:bidi="ar-EG"/>
        </w:rPr>
        <w:t>المذكورة في هذه الرسالة أن تبلغ الأمانة بهذه المعلومات بأسرع ما يمكن. ويمكن الاطلاع على السياسة المشتركة للبراءات </w:t>
      </w:r>
      <w:r w:rsidRPr="003144B3">
        <w:rPr>
          <w:spacing w:val="-4"/>
        </w:rPr>
        <w:t>ITU</w:t>
      </w:r>
      <w:r w:rsidRPr="003144B3">
        <w:rPr>
          <w:spacing w:val="-4"/>
        </w:rPr>
        <w:noBreakHyphen/>
        <w:t>T/ITU</w:t>
      </w:r>
      <w:r w:rsidRPr="003144B3">
        <w:rPr>
          <w:spacing w:val="-4"/>
        </w:rPr>
        <w:noBreakHyphen/>
        <w:t>R/ISO/IEC</w:t>
      </w:r>
      <w:r w:rsidRPr="003144B3">
        <w:rPr>
          <w:spacing w:val="-4"/>
          <w:rtl/>
          <w:lang w:bidi="ar-EG"/>
        </w:rPr>
        <w:t xml:space="preserve"> في الموقع الإلكتروني: </w:t>
      </w:r>
      <w:hyperlink r:id="rId8" w:history="1">
        <w:r w:rsidR="00D74FB2" w:rsidRPr="003144B3">
          <w:rPr>
            <w:rStyle w:val="Hyperlink"/>
            <w:spacing w:val="-4"/>
            <w:lang w:bidi="ar-EG"/>
          </w:rPr>
          <w:t>http://www.itu.int/en/ITU-T/ipr/Pages/policy.aspx</w:t>
        </w:r>
      </w:hyperlink>
      <w:r w:rsidRPr="003144B3">
        <w:rPr>
          <w:spacing w:val="-4"/>
          <w:rtl/>
          <w:lang w:bidi="ar-EG"/>
        </w:rPr>
        <w:t>.</w:t>
      </w:r>
    </w:p>
    <w:p w14:paraId="4D2DDF41" w14:textId="77777777" w:rsidR="00E071D0" w:rsidRPr="003144B3" w:rsidRDefault="00E071D0" w:rsidP="00493A98">
      <w:pPr>
        <w:spacing w:before="1200"/>
        <w:jc w:val="left"/>
        <w:rPr>
          <w:rtl/>
        </w:rPr>
      </w:pPr>
      <w:r w:rsidRPr="003144B3">
        <w:rPr>
          <w:rtl/>
        </w:rPr>
        <w:t>ماريو مانيفيتش</w:t>
      </w:r>
      <w:r w:rsidRPr="003144B3">
        <w:rPr>
          <w:rtl/>
        </w:rPr>
        <w:br/>
        <w:t>المدير</w:t>
      </w:r>
    </w:p>
    <w:p w14:paraId="7F1844B3" w14:textId="33A57059" w:rsidR="00E071D0" w:rsidRPr="003144B3" w:rsidRDefault="00E071D0" w:rsidP="00493A98">
      <w:pPr>
        <w:spacing w:before="720"/>
        <w:jc w:val="left"/>
        <w:rPr>
          <w:rtl/>
          <w:lang w:bidi="ar-EG"/>
        </w:rPr>
      </w:pPr>
      <w:r w:rsidRPr="003144B3">
        <w:rPr>
          <w:b/>
          <w:bCs/>
          <w:rtl/>
          <w:lang w:bidi="ar-EG"/>
        </w:rPr>
        <w:t xml:space="preserve">الملحق </w:t>
      </w:r>
      <w:r w:rsidR="00D74FB2" w:rsidRPr="003144B3">
        <w:rPr>
          <w:rFonts w:hint="cs"/>
          <w:b/>
          <w:bCs/>
          <w:rtl/>
          <w:lang w:bidi="ar-EG"/>
        </w:rPr>
        <w:t>:</w:t>
      </w:r>
      <w:r w:rsidRPr="003144B3">
        <w:rPr>
          <w:rtl/>
          <w:lang w:bidi="ar-EG"/>
        </w:rPr>
        <w:tab/>
        <w:t>عنوان وملخص مشروع التوصية</w:t>
      </w:r>
    </w:p>
    <w:p w14:paraId="53CD00D6" w14:textId="77E90C52" w:rsidR="00E071D0" w:rsidRPr="003144B3" w:rsidRDefault="00D74FB2" w:rsidP="00493A98">
      <w:pPr>
        <w:spacing w:before="360"/>
        <w:jc w:val="left"/>
        <w:rPr>
          <w:rtl/>
          <w:lang w:val="en-GB"/>
        </w:rPr>
      </w:pPr>
      <w:r w:rsidRPr="003144B3">
        <w:rPr>
          <w:b/>
          <w:bCs/>
          <w:rtl/>
          <w:lang w:bidi="ar-EG"/>
        </w:rPr>
        <w:t>الوثيقة</w:t>
      </w:r>
      <w:r w:rsidR="00E071D0" w:rsidRPr="003144B3">
        <w:rPr>
          <w:b/>
          <w:bCs/>
          <w:rtl/>
          <w:lang w:bidi="ar-EG"/>
        </w:rPr>
        <w:t>:</w:t>
      </w:r>
      <w:r w:rsidR="00E071D0" w:rsidRPr="003144B3">
        <w:rPr>
          <w:rtl/>
          <w:lang w:bidi="ar-EG"/>
        </w:rPr>
        <w:tab/>
        <w:t xml:space="preserve">الوثيقة </w:t>
      </w:r>
      <w:r w:rsidRPr="003144B3">
        <w:rPr>
          <w:lang w:bidi="ar-EG"/>
        </w:rPr>
        <w:t>4/56</w:t>
      </w:r>
    </w:p>
    <w:p w14:paraId="48C5D1E2" w14:textId="50286942" w:rsidR="00F16820" w:rsidRPr="003144B3" w:rsidRDefault="00E071D0" w:rsidP="00D74FB2">
      <w:pPr>
        <w:jc w:val="left"/>
        <w:rPr>
          <w:rtl/>
          <w:lang w:bidi="ar-EG"/>
        </w:rPr>
      </w:pPr>
      <w:r w:rsidRPr="003144B3">
        <w:rPr>
          <w:rtl/>
        </w:rPr>
        <w:t>وتتاح هذه</w:t>
      </w:r>
      <w:r w:rsidR="00FE1CF4" w:rsidRPr="003144B3">
        <w:rPr>
          <w:rtl/>
        </w:rPr>
        <w:t xml:space="preserve"> الوثيقة</w:t>
      </w:r>
      <w:r w:rsidRPr="003144B3">
        <w:rPr>
          <w:rtl/>
        </w:rPr>
        <w:t xml:space="preserve">  في نسق إلكتروني في:</w:t>
      </w:r>
      <w:r w:rsidR="00D74FB2" w:rsidRPr="003144B3">
        <w:br/>
      </w:r>
      <w:hyperlink r:id="rId9" w:history="1">
        <w:r w:rsidR="00D74FB2" w:rsidRPr="003144B3">
          <w:rPr>
            <w:rStyle w:val="Hyperlink"/>
            <w:szCs w:val="24"/>
          </w:rPr>
          <w:t>https://www.itu.int/md/R23-SG04-C/en</w:t>
        </w:r>
      </w:hyperlink>
    </w:p>
    <w:p w14:paraId="2D9FAE43" w14:textId="77777777" w:rsidR="00FC09E8" w:rsidRPr="003144B3" w:rsidRDefault="00FC09E8">
      <w:pPr>
        <w:tabs>
          <w:tab w:val="clear" w:pos="794"/>
        </w:tabs>
        <w:bidi w:val="0"/>
        <w:spacing w:before="0" w:after="160" w:line="259" w:lineRule="auto"/>
        <w:jc w:val="left"/>
        <w:rPr>
          <w:rtl/>
        </w:rPr>
      </w:pPr>
      <w:r w:rsidRPr="003144B3">
        <w:rPr>
          <w:rtl/>
        </w:rPr>
        <w:br w:type="page"/>
      </w:r>
    </w:p>
    <w:p w14:paraId="7FB54283" w14:textId="0B392ED4" w:rsidR="00E071D0" w:rsidRPr="003144B3" w:rsidRDefault="00E071D0" w:rsidP="00B279C7">
      <w:pPr>
        <w:pStyle w:val="AnnexNoTitle"/>
        <w:rPr>
          <w:rtl/>
        </w:rPr>
      </w:pPr>
      <w:r w:rsidRPr="003144B3">
        <w:rPr>
          <w:rtl/>
        </w:rPr>
        <w:lastRenderedPageBreak/>
        <w:t>الملحـق</w:t>
      </w:r>
      <w:r w:rsidR="00741F38" w:rsidRPr="003144B3">
        <w:rPr>
          <w:rtl/>
          <w:lang w:val="en-GB"/>
        </w:rPr>
        <w:br/>
      </w:r>
      <w:r w:rsidR="00741F38" w:rsidRPr="003144B3">
        <w:rPr>
          <w:rtl/>
          <w:lang w:val="en-GB"/>
        </w:rPr>
        <w:br/>
      </w:r>
      <w:r w:rsidRPr="003144B3">
        <w:rPr>
          <w:rtl/>
        </w:rPr>
        <w:t xml:space="preserve">عنوان وملخص مشروع </w:t>
      </w:r>
      <w:r w:rsidR="00DC3384" w:rsidRPr="003144B3">
        <w:rPr>
          <w:rFonts w:hint="cs"/>
          <w:rtl/>
          <w:lang w:bidi="ar-SA"/>
        </w:rPr>
        <w:t>التوصية</w:t>
      </w:r>
    </w:p>
    <w:p w14:paraId="67C58F80" w14:textId="0D300491" w:rsidR="00E071D0" w:rsidRPr="003144B3" w:rsidRDefault="00E071D0" w:rsidP="00741F38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3144B3">
        <w:rPr>
          <w:u w:val="single"/>
          <w:rtl/>
        </w:rPr>
        <w:t xml:space="preserve">مشروع مراجعة التوصية </w:t>
      </w:r>
      <w:r w:rsidRPr="003144B3">
        <w:rPr>
          <w:u w:val="single"/>
        </w:rPr>
        <w:t>ITU</w:t>
      </w:r>
      <w:r w:rsidRPr="003144B3">
        <w:rPr>
          <w:u w:val="single"/>
        </w:rPr>
        <w:noBreakHyphen/>
      </w:r>
      <w:r w:rsidR="00741F38" w:rsidRPr="003144B3">
        <w:rPr>
          <w:u w:val="single"/>
        </w:rPr>
        <w:t>R </w:t>
      </w:r>
      <w:r w:rsidR="00DC3384" w:rsidRPr="003144B3">
        <w:rPr>
          <w:u w:val="single"/>
        </w:rPr>
        <w:t>R</w:t>
      </w:r>
      <w:r w:rsidR="00741F38" w:rsidRPr="003144B3">
        <w:rPr>
          <w:u w:val="single"/>
        </w:rPr>
        <w:t xml:space="preserve">. </w:t>
      </w:r>
      <w:r w:rsidR="00DC3384" w:rsidRPr="003144B3">
        <w:rPr>
          <w:u w:val="single"/>
        </w:rPr>
        <w:t>S</w:t>
      </w:r>
      <w:r w:rsidR="00741F38" w:rsidRPr="003144B3">
        <w:rPr>
          <w:u w:val="single"/>
        </w:rPr>
        <w:t>.</w:t>
      </w:r>
      <w:r w:rsidR="00DC3384" w:rsidRPr="003144B3">
        <w:rPr>
          <w:u w:val="single"/>
        </w:rPr>
        <w:t>1528</w:t>
      </w:r>
      <w:r w:rsidRPr="003144B3">
        <w:rPr>
          <w:rtl/>
          <w:lang w:bidi="ar-EG"/>
        </w:rPr>
        <w:tab/>
        <w:t xml:space="preserve">الوثيقة </w:t>
      </w:r>
      <w:r w:rsidR="00DC3384" w:rsidRPr="003144B3">
        <w:rPr>
          <w:lang w:bidi="ar-EG"/>
        </w:rPr>
        <w:t>4/56</w:t>
      </w:r>
    </w:p>
    <w:p w14:paraId="211F21B4" w14:textId="3B561257" w:rsidR="00E071D0" w:rsidRPr="003144B3" w:rsidRDefault="00922CA1" w:rsidP="003144B3">
      <w:pPr>
        <w:pStyle w:val="Rectitle"/>
        <w:rPr>
          <w:rtl/>
        </w:rPr>
      </w:pPr>
      <w:r w:rsidRPr="003144B3">
        <w:rPr>
          <w:rtl/>
          <w:lang w:bidi="ar-EG"/>
        </w:rPr>
        <w:t xml:space="preserve">مخططات إشعاع هوائي ساتلي لهوائيات ساتلية غير مستقرة بالنسبة إلى الأرض </w:t>
      </w:r>
      <w:r w:rsidR="00FB5362">
        <w:rPr>
          <w:rtl/>
          <w:lang w:bidi="ar-EG"/>
        </w:rPr>
        <w:br/>
      </w:r>
      <w:r w:rsidRPr="003144B3">
        <w:rPr>
          <w:rtl/>
          <w:lang w:bidi="ar-EG"/>
        </w:rPr>
        <w:t>تعمل في</w:t>
      </w:r>
      <w:r w:rsidRPr="003144B3">
        <w:rPr>
          <w:rFonts w:hint="cs"/>
          <w:rtl/>
        </w:rPr>
        <w:t> </w:t>
      </w:r>
      <w:r w:rsidRPr="003144B3">
        <w:rPr>
          <w:rtl/>
          <w:lang w:bidi="ar-EG"/>
        </w:rPr>
        <w:t xml:space="preserve">خدمة ثابتة ساتلية تحت </w:t>
      </w:r>
      <w:r w:rsidRPr="003144B3">
        <w:rPr>
          <w:lang w:bidi="ar-EG"/>
        </w:rPr>
        <w:t>GHz</w:t>
      </w:r>
      <w:r w:rsidRPr="003144B3">
        <w:t> </w:t>
      </w:r>
      <w:r w:rsidRPr="003144B3">
        <w:rPr>
          <w:lang w:bidi="ar-EG"/>
        </w:rPr>
        <w:t>30</w:t>
      </w:r>
    </w:p>
    <w:p w14:paraId="61ECFB88" w14:textId="6D829634" w:rsidR="00FC09E8" w:rsidRPr="003144B3" w:rsidRDefault="00922CA1" w:rsidP="003144B3">
      <w:pPr>
        <w:rPr>
          <w:lang w:bidi="ar-EG"/>
        </w:rPr>
      </w:pPr>
      <w:r w:rsidRPr="003144B3">
        <w:rPr>
          <w:rtl/>
          <w:lang w:bidi="ar-EG"/>
        </w:rPr>
        <w:t>وتصوب هذه المراج</w:t>
      </w:r>
      <w:r w:rsidR="003144B3">
        <w:rPr>
          <w:rFonts w:hint="cs"/>
          <w:rtl/>
          <w:lang w:bidi="ar-EG"/>
        </w:rPr>
        <w:t>َ</w:t>
      </w:r>
      <w:r w:rsidRPr="003144B3">
        <w:rPr>
          <w:rtl/>
          <w:lang w:bidi="ar-EG"/>
        </w:rPr>
        <w:t xml:space="preserve">عة أخطاء </w:t>
      </w:r>
      <w:r w:rsidRPr="00FB5362">
        <w:rPr>
          <w:rtl/>
          <w:lang w:bidi="ar-EG"/>
        </w:rPr>
        <w:t>رياضية</w:t>
      </w:r>
      <w:r w:rsidRPr="003144B3">
        <w:rPr>
          <w:rtl/>
          <w:lang w:bidi="ar-EG"/>
        </w:rPr>
        <w:t xml:space="preserve"> متعددة تسبب وصفاً غير متسق لقناع مخطط الهوائي.</w:t>
      </w:r>
    </w:p>
    <w:p w14:paraId="458094F2" w14:textId="6F88465D" w:rsidR="00922CA1" w:rsidRPr="00922CA1" w:rsidRDefault="00922CA1" w:rsidP="00922CA1">
      <w:pPr>
        <w:spacing w:before="600"/>
        <w:jc w:val="center"/>
        <w:rPr>
          <w:szCs w:val="24"/>
          <w:rtl/>
        </w:rPr>
      </w:pPr>
      <w:r w:rsidRPr="003144B3">
        <w:rPr>
          <w:rFonts w:hint="cs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922CA1" w:rsidRPr="00922CA1" w:rsidSect="006C3242">
      <w:headerReference w:type="default" r:id="rId10"/>
      <w:headerReference w:type="firs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A62B" w14:textId="77777777" w:rsidR="00842C35" w:rsidRDefault="00842C35" w:rsidP="006C3242">
      <w:pPr>
        <w:spacing w:before="0" w:line="240" w:lineRule="auto"/>
      </w:pPr>
      <w:r>
        <w:separator/>
      </w:r>
    </w:p>
  </w:endnote>
  <w:endnote w:type="continuationSeparator" w:id="0">
    <w:p w14:paraId="6D106B77" w14:textId="77777777" w:rsidR="00842C35" w:rsidRDefault="00842C3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A3DC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352E" w14:textId="77777777" w:rsidR="00842C35" w:rsidRDefault="00842C35" w:rsidP="006C3242">
      <w:pPr>
        <w:spacing w:before="0" w:line="240" w:lineRule="auto"/>
      </w:pPr>
      <w:r>
        <w:separator/>
      </w:r>
    </w:p>
  </w:footnote>
  <w:footnote w:type="continuationSeparator" w:id="0">
    <w:p w14:paraId="2D905171" w14:textId="77777777" w:rsidR="00842C35" w:rsidRDefault="00842C3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2128" w14:textId="2526959E" w:rsidR="00447F32" w:rsidRPr="00493A98" w:rsidRDefault="00493A98" w:rsidP="00493A9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5192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43BE767" wp14:editId="692947BC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3205110">
    <w:abstractNumId w:val="9"/>
  </w:num>
  <w:num w:numId="2" w16cid:durableId="730273239">
    <w:abstractNumId w:val="7"/>
  </w:num>
  <w:num w:numId="3" w16cid:durableId="102379999">
    <w:abstractNumId w:val="6"/>
  </w:num>
  <w:num w:numId="4" w16cid:durableId="706563422">
    <w:abstractNumId w:val="5"/>
  </w:num>
  <w:num w:numId="5" w16cid:durableId="1078788838">
    <w:abstractNumId w:val="4"/>
  </w:num>
  <w:num w:numId="6" w16cid:durableId="309989797">
    <w:abstractNumId w:val="8"/>
  </w:num>
  <w:num w:numId="7" w16cid:durableId="335305495">
    <w:abstractNumId w:val="3"/>
  </w:num>
  <w:num w:numId="8" w16cid:durableId="1950351378">
    <w:abstractNumId w:val="2"/>
  </w:num>
  <w:num w:numId="9" w16cid:durableId="1477718119">
    <w:abstractNumId w:val="1"/>
  </w:num>
  <w:num w:numId="10" w16cid:durableId="380522006">
    <w:abstractNumId w:val="0"/>
  </w:num>
  <w:num w:numId="11" w16cid:durableId="1129325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0"/>
    <w:rsid w:val="0006468A"/>
    <w:rsid w:val="0007768D"/>
    <w:rsid w:val="0008016E"/>
    <w:rsid w:val="00090574"/>
    <w:rsid w:val="000A123A"/>
    <w:rsid w:val="000B454D"/>
    <w:rsid w:val="000C1C0E"/>
    <w:rsid w:val="000C548A"/>
    <w:rsid w:val="000D03DD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7624E"/>
    <w:rsid w:val="00290728"/>
    <w:rsid w:val="002926AD"/>
    <w:rsid w:val="002978F4"/>
    <w:rsid w:val="002B028D"/>
    <w:rsid w:val="002E6541"/>
    <w:rsid w:val="002F5994"/>
    <w:rsid w:val="003144B3"/>
    <w:rsid w:val="00334924"/>
    <w:rsid w:val="0034051A"/>
    <w:rsid w:val="003409BC"/>
    <w:rsid w:val="00357185"/>
    <w:rsid w:val="00383829"/>
    <w:rsid w:val="003D0CFA"/>
    <w:rsid w:val="003F4B29"/>
    <w:rsid w:val="004052FE"/>
    <w:rsid w:val="0042686F"/>
    <w:rsid w:val="004317D8"/>
    <w:rsid w:val="00434183"/>
    <w:rsid w:val="00443869"/>
    <w:rsid w:val="004456CC"/>
    <w:rsid w:val="00447F32"/>
    <w:rsid w:val="00465815"/>
    <w:rsid w:val="0049144C"/>
    <w:rsid w:val="00493A98"/>
    <w:rsid w:val="004E11DC"/>
    <w:rsid w:val="00525DDD"/>
    <w:rsid w:val="005409AC"/>
    <w:rsid w:val="0055516A"/>
    <w:rsid w:val="0058491B"/>
    <w:rsid w:val="00592EA5"/>
    <w:rsid w:val="005A3170"/>
    <w:rsid w:val="0061632C"/>
    <w:rsid w:val="00677396"/>
    <w:rsid w:val="0069200F"/>
    <w:rsid w:val="006A3500"/>
    <w:rsid w:val="006A441B"/>
    <w:rsid w:val="006A65CB"/>
    <w:rsid w:val="006C3242"/>
    <w:rsid w:val="006C7CC0"/>
    <w:rsid w:val="006E5F73"/>
    <w:rsid w:val="006E6131"/>
    <w:rsid w:val="006F63F7"/>
    <w:rsid w:val="007025C7"/>
    <w:rsid w:val="00706D7A"/>
    <w:rsid w:val="00722F0D"/>
    <w:rsid w:val="00741F38"/>
    <w:rsid w:val="0074420E"/>
    <w:rsid w:val="00746981"/>
    <w:rsid w:val="00750709"/>
    <w:rsid w:val="00783E26"/>
    <w:rsid w:val="007A6CA4"/>
    <w:rsid w:val="007C3BC7"/>
    <w:rsid w:val="007C3BCD"/>
    <w:rsid w:val="007C55AB"/>
    <w:rsid w:val="007D4ACF"/>
    <w:rsid w:val="007F0787"/>
    <w:rsid w:val="00810B7B"/>
    <w:rsid w:val="0082358A"/>
    <w:rsid w:val="008235CD"/>
    <w:rsid w:val="008247DE"/>
    <w:rsid w:val="00840B10"/>
    <w:rsid w:val="008428CA"/>
    <w:rsid w:val="00842C35"/>
    <w:rsid w:val="008513CB"/>
    <w:rsid w:val="0086160E"/>
    <w:rsid w:val="0087306D"/>
    <w:rsid w:val="008A7F84"/>
    <w:rsid w:val="008C6D2C"/>
    <w:rsid w:val="008E38E3"/>
    <w:rsid w:val="0091702E"/>
    <w:rsid w:val="00922CA1"/>
    <w:rsid w:val="00923B0C"/>
    <w:rsid w:val="0094021C"/>
    <w:rsid w:val="00952F86"/>
    <w:rsid w:val="00957F96"/>
    <w:rsid w:val="00982B28"/>
    <w:rsid w:val="009D313F"/>
    <w:rsid w:val="00A47A5A"/>
    <w:rsid w:val="00A6683B"/>
    <w:rsid w:val="00A87C7D"/>
    <w:rsid w:val="00A97F94"/>
    <w:rsid w:val="00AA49C2"/>
    <w:rsid w:val="00AA7EA2"/>
    <w:rsid w:val="00AE3221"/>
    <w:rsid w:val="00B03099"/>
    <w:rsid w:val="00B05BC8"/>
    <w:rsid w:val="00B279C7"/>
    <w:rsid w:val="00B348B3"/>
    <w:rsid w:val="00B367E0"/>
    <w:rsid w:val="00B64B47"/>
    <w:rsid w:val="00BA52FE"/>
    <w:rsid w:val="00C002DE"/>
    <w:rsid w:val="00C20652"/>
    <w:rsid w:val="00C53BF8"/>
    <w:rsid w:val="00C66157"/>
    <w:rsid w:val="00C674FE"/>
    <w:rsid w:val="00C67501"/>
    <w:rsid w:val="00C75633"/>
    <w:rsid w:val="00CD2EC7"/>
    <w:rsid w:val="00CD3BFA"/>
    <w:rsid w:val="00CE2EE1"/>
    <w:rsid w:val="00CE3349"/>
    <w:rsid w:val="00CE36E5"/>
    <w:rsid w:val="00CF27F5"/>
    <w:rsid w:val="00CF3FFD"/>
    <w:rsid w:val="00D10CCF"/>
    <w:rsid w:val="00D74FB2"/>
    <w:rsid w:val="00D77D0F"/>
    <w:rsid w:val="00DA1CF0"/>
    <w:rsid w:val="00DC1E02"/>
    <w:rsid w:val="00DC24B4"/>
    <w:rsid w:val="00DC2EB2"/>
    <w:rsid w:val="00DC3384"/>
    <w:rsid w:val="00DC5FB0"/>
    <w:rsid w:val="00DF16DC"/>
    <w:rsid w:val="00E071D0"/>
    <w:rsid w:val="00E1458E"/>
    <w:rsid w:val="00E45211"/>
    <w:rsid w:val="00E473C5"/>
    <w:rsid w:val="00E61781"/>
    <w:rsid w:val="00E64AD3"/>
    <w:rsid w:val="00E92863"/>
    <w:rsid w:val="00EB796D"/>
    <w:rsid w:val="00F058DC"/>
    <w:rsid w:val="00F16820"/>
    <w:rsid w:val="00F23E90"/>
    <w:rsid w:val="00F24FC4"/>
    <w:rsid w:val="00F2676C"/>
    <w:rsid w:val="00F84366"/>
    <w:rsid w:val="00F85089"/>
    <w:rsid w:val="00F974C5"/>
    <w:rsid w:val="00FA56BA"/>
    <w:rsid w:val="00FA6F46"/>
    <w:rsid w:val="00FB5362"/>
    <w:rsid w:val="00FC09E8"/>
    <w:rsid w:val="00FC5CC9"/>
    <w:rsid w:val="00FD646E"/>
    <w:rsid w:val="00FE1CF4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4DA45"/>
  <w15:chartTrackingRefBased/>
  <w15:docId w15:val="{F777A180-55C0-4278-9EC9-AC2EE5E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3144B3"/>
    <w:pPr>
      <w:keepNext/>
      <w:keepLines/>
      <w:spacing w:before="240"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text">
    <w:name w:val="Table_text"/>
    <w:basedOn w:val="Normal"/>
    <w:link w:val="TabletextChar"/>
    <w:uiPriority w:val="99"/>
    <w:rsid w:val="00E071D0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E071D0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nnexNoTitle">
    <w:name w:val="Annex_No Title"/>
    <w:basedOn w:val="Annextitle"/>
    <w:qFormat/>
    <w:rsid w:val="00B279C7"/>
  </w:style>
  <w:style w:type="character" w:styleId="UnresolvedMention">
    <w:name w:val="Unresolved Mention"/>
    <w:basedOn w:val="DefaultParagraphFont"/>
    <w:uiPriority w:val="99"/>
    <w:semiHidden/>
    <w:unhideWhenUsed/>
    <w:rsid w:val="00A87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FB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4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4B3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B3"/>
    <w:rPr>
      <w:rFonts w:ascii="Dubai" w:hAnsi="Dubai" w:cs="Duba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362"/>
    <w:pPr>
      <w:spacing w:after="0" w:line="240" w:lineRule="auto"/>
    </w:pPr>
    <w:rPr>
      <w:rFonts w:ascii="Dubai" w:hAnsi="Dubai" w:cs="Dubai"/>
    </w:rPr>
  </w:style>
  <w:style w:type="character" w:styleId="PageNumber">
    <w:name w:val="page number"/>
    <w:basedOn w:val="DefaultParagraphFont"/>
    <w:rsid w:val="0049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ar/ITU-T/ipr/Pages/polic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4-C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2709-0D1F-4F3D-925C-B79ACC87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Editors</cp:lastModifiedBy>
  <cp:revision>4</cp:revision>
  <dcterms:created xsi:type="dcterms:W3CDTF">2025-12-15T13:00:00Z</dcterms:created>
  <dcterms:modified xsi:type="dcterms:W3CDTF">2025-12-15T13:28:00Z</dcterms:modified>
</cp:coreProperties>
</file>