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64E3859F" w:rsidR="00E53DCE" w:rsidRPr="001B3D4D" w:rsidRDefault="00A96D3A" w:rsidP="00357EB8">
            <w:pPr>
              <w:spacing w:before="0"/>
              <w:rPr>
                <w:lang w:val="es-ES"/>
              </w:rPr>
            </w:pPr>
            <w:r w:rsidRPr="001B3D4D">
              <w:rPr>
                <w:lang w:val="es-ES"/>
              </w:rPr>
              <w:t>Circular Administrativa</w:t>
            </w:r>
          </w:p>
          <w:p w14:paraId="69D58805" w14:textId="29C46AF7" w:rsidR="00E53DCE" w:rsidRPr="00357EB8" w:rsidRDefault="001B3D4D" w:rsidP="00357EB8">
            <w:pPr>
              <w:spacing w:before="0"/>
              <w:rPr>
                <w:b/>
                <w:bCs/>
                <w:lang w:val="es-ES"/>
              </w:rPr>
            </w:pPr>
            <w:r w:rsidRPr="00357EB8">
              <w:rPr>
                <w:b/>
                <w:bCs/>
                <w:lang w:val="es-ES"/>
              </w:rPr>
              <w:t>CACE/</w:t>
            </w:r>
            <w:r w:rsidR="00335BAB" w:rsidRPr="00335BAB">
              <w:rPr>
                <w:b/>
                <w:bCs/>
                <w:lang w:val="en-GB"/>
              </w:rPr>
              <w:t>1166</w:t>
            </w:r>
          </w:p>
        </w:tc>
        <w:tc>
          <w:tcPr>
            <w:tcW w:w="2835" w:type="dxa"/>
          </w:tcPr>
          <w:p w14:paraId="3FD01BE1" w14:textId="1312AD0F" w:rsidR="00E53DCE" w:rsidRPr="002B7EE0" w:rsidRDefault="00335BAB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lang w:val="es-ES_tradnl"/>
              </w:rPr>
              <w:t>18 de diciembre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357EB8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357EB8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335BAB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2E0EBD2C" w:rsidR="00CA4AEE" w:rsidRPr="00357EB8" w:rsidRDefault="00CA4AEE" w:rsidP="00357EB8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57EB8">
              <w:rPr>
                <w:b/>
                <w:bCs/>
                <w:lang w:val="es-ES_tradnl"/>
              </w:rPr>
              <w:t>A las Administraciones de los Estados Miembros de la</w:t>
            </w:r>
            <w:r w:rsidR="006F460A">
              <w:rPr>
                <w:b/>
                <w:bCs/>
                <w:lang w:val="es-ES_tradnl"/>
              </w:rPr>
              <w:t> </w:t>
            </w:r>
            <w:r w:rsidRPr="00357EB8">
              <w:rPr>
                <w:b/>
                <w:bCs/>
                <w:lang w:val="es-ES_tradnl"/>
              </w:rPr>
              <w:t>UIT, a los Miembros del Sector de Radiocomunicaciones, a los Asociados del UIT-R y a las Instituciones Académicas de la</w:t>
            </w:r>
            <w:r w:rsidR="006F460A">
              <w:rPr>
                <w:b/>
                <w:bCs/>
                <w:lang w:val="es-ES_tradnl"/>
              </w:rPr>
              <w:t> </w:t>
            </w:r>
            <w:r w:rsidRPr="00357EB8">
              <w:rPr>
                <w:b/>
                <w:bCs/>
                <w:lang w:val="es-ES_tradnl"/>
              </w:rPr>
              <w:t>UIT que participan en los trabajos de la Comisión de Estudio</w:t>
            </w:r>
            <w:r w:rsidR="006F460A">
              <w:rPr>
                <w:b/>
                <w:bCs/>
                <w:lang w:val="es-ES_tradnl"/>
              </w:rPr>
              <w:t> </w:t>
            </w:r>
            <w:r w:rsidR="00335BAB">
              <w:rPr>
                <w:b/>
                <w:bCs/>
                <w:lang w:val="es-ES_tradnl"/>
              </w:rPr>
              <w:t>4</w:t>
            </w:r>
            <w:r w:rsidRPr="00357EB8">
              <w:rPr>
                <w:b/>
                <w:bCs/>
                <w:lang w:val="es-ES_tradnl"/>
              </w:rPr>
              <w:t xml:space="preserve"> de Radiocomunicaciones</w:t>
            </w:r>
          </w:p>
        </w:tc>
      </w:tr>
      <w:tr w:rsidR="00CA4AEE" w:rsidRPr="00335BAB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CA4AEE" w:rsidRPr="00357EB8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335BAB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CA4AEE" w:rsidRPr="00357EB8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335BAB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CA4AEE" w:rsidRPr="0033029C" w:rsidRDefault="00CA4AEE" w:rsidP="00357EB8">
            <w:pPr>
              <w:spacing w:before="0"/>
            </w:pPr>
            <w:r>
              <w:t>Asunto</w:t>
            </w:r>
            <w:r w:rsidRPr="0033029C"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21005A51" w14:textId="5E581947" w:rsidR="00357EB8" w:rsidRPr="00F167FB" w:rsidRDefault="00357EB8" w:rsidP="00357EB8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167FB">
              <w:rPr>
                <w:b/>
                <w:bCs/>
                <w:lang w:val="es-ES"/>
              </w:rPr>
              <w:t>Comisión de Estudio</w:t>
            </w:r>
            <w:r w:rsidR="006F460A">
              <w:rPr>
                <w:b/>
                <w:bCs/>
                <w:lang w:val="es-ES"/>
              </w:rPr>
              <w:t> </w:t>
            </w:r>
            <w:r w:rsidR="00335BAB" w:rsidRPr="00335BAB">
              <w:rPr>
                <w:b/>
                <w:bCs/>
                <w:lang w:val="es-ES"/>
              </w:rPr>
              <w:t>4 de Radiocomunicaciones (Servicios por satélite)</w:t>
            </w:r>
          </w:p>
          <w:p w14:paraId="6B7C1470" w14:textId="3686D3D9" w:rsidR="00CA4AEE" w:rsidRPr="00357EB8" w:rsidRDefault="00CA4AEE" w:rsidP="00F84400">
            <w:pPr>
              <w:spacing w:before="120"/>
              <w:ind w:left="794" w:hanging="794"/>
              <w:jc w:val="left"/>
              <w:rPr>
                <w:b/>
                <w:bCs/>
                <w:lang w:val="es-ES"/>
              </w:rPr>
            </w:pPr>
            <w:r w:rsidRPr="00357EB8">
              <w:rPr>
                <w:b/>
                <w:bCs/>
                <w:lang w:val="es-ES"/>
              </w:rPr>
              <w:t>–</w:t>
            </w:r>
            <w:r w:rsidRPr="00357EB8">
              <w:rPr>
                <w:b/>
                <w:bCs/>
                <w:lang w:val="es-ES"/>
              </w:rPr>
              <w:tab/>
            </w:r>
            <w:r w:rsidRPr="006F460A">
              <w:rPr>
                <w:b/>
                <w:bCs/>
                <w:lang w:val="es-ES"/>
              </w:rPr>
              <w:t xml:space="preserve">Propuesta de adopción de </w:t>
            </w:r>
            <w:r w:rsidR="00335BAB" w:rsidRPr="006F460A">
              <w:rPr>
                <w:b/>
                <w:bCs/>
                <w:lang w:val="es-ES"/>
              </w:rPr>
              <w:t>4</w:t>
            </w:r>
            <w:r w:rsidR="006F460A">
              <w:rPr>
                <w:b/>
                <w:bCs/>
                <w:lang w:val="es-ES"/>
              </w:rPr>
              <w:t> </w:t>
            </w:r>
            <w:r w:rsidRPr="006F460A">
              <w:rPr>
                <w:b/>
                <w:bCs/>
                <w:lang w:val="es-ES"/>
              </w:rPr>
              <w:t>proyectos de Recomendación UIT-R revisada y su aprobación simultánea por correspondencia de conformidad con el § A2.6.2.4 de la Resolución UIT</w:t>
            </w:r>
            <w:r w:rsidRPr="006F460A">
              <w:rPr>
                <w:b/>
                <w:bCs/>
                <w:lang w:val="es-ES"/>
              </w:rPr>
              <w:noBreakHyphen/>
              <w:t>R 1</w:t>
            </w:r>
            <w:r w:rsidRPr="006F460A">
              <w:rPr>
                <w:b/>
                <w:bCs/>
                <w:lang w:val="es-ES"/>
              </w:rPr>
              <w:noBreakHyphen/>
              <w:t>9 (Procedimiento para la adopción y aprobación simultánea por correspondencia)</w:t>
            </w:r>
          </w:p>
          <w:p w14:paraId="3612960C" w14:textId="7AC0059B" w:rsidR="00CA4AEE" w:rsidRPr="00CA4AEE" w:rsidRDefault="00CA4AEE" w:rsidP="00F84400">
            <w:pPr>
              <w:spacing w:before="120"/>
              <w:jc w:val="left"/>
              <w:rPr>
                <w:szCs w:val="24"/>
                <w:lang w:val="es-ES"/>
              </w:rPr>
            </w:pPr>
            <w:r w:rsidRPr="00357EB8">
              <w:rPr>
                <w:b/>
                <w:bCs/>
                <w:lang w:val="es-ES_tradnl"/>
              </w:rPr>
              <w:t>–</w:t>
            </w:r>
            <w:r w:rsidRPr="00357EB8">
              <w:rPr>
                <w:b/>
                <w:bCs/>
                <w:lang w:val="es-ES_tradnl"/>
              </w:rPr>
              <w:tab/>
              <w:t xml:space="preserve">Propuesta de supresión de </w:t>
            </w:r>
            <w:r w:rsidR="00335BAB">
              <w:rPr>
                <w:b/>
                <w:bCs/>
                <w:lang w:val="es-ES_tradnl"/>
              </w:rPr>
              <w:t>1</w:t>
            </w:r>
            <w:r w:rsidR="006F460A">
              <w:rPr>
                <w:b/>
                <w:bCs/>
                <w:lang w:val="es-ES_tradnl"/>
              </w:rPr>
              <w:t> </w:t>
            </w:r>
            <w:r w:rsidRPr="00357EB8">
              <w:rPr>
                <w:b/>
                <w:bCs/>
                <w:lang w:val="es-ES_tradnl"/>
              </w:rPr>
              <w:t>Recomendación UIT-R</w:t>
            </w:r>
          </w:p>
        </w:tc>
      </w:tr>
      <w:tr w:rsidR="00CA4AEE" w:rsidRPr="00335BAB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CA4AEE" w:rsidRPr="00547C9F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CA4AEE" w:rsidRPr="00CA4AEE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CA4AEE" w:rsidRPr="00335BAB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CA4AEE" w:rsidRPr="00547C9F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CA4AEE" w:rsidRPr="00CA4AEE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1785D1C9" w14:textId="67BE6DAA" w:rsidR="00CA4AEE" w:rsidRDefault="00CA4AEE" w:rsidP="00603C2A">
      <w:pPr>
        <w:pStyle w:val="Normalaftertitle"/>
        <w:rPr>
          <w:lang w:val="es-ES_tradnl"/>
        </w:rPr>
      </w:pPr>
      <w:r w:rsidRPr="006F460A">
        <w:rPr>
          <w:lang w:val="es-ES_tradnl"/>
        </w:rPr>
        <w:t>En la reunión de la Comisión de Estudio</w:t>
      </w:r>
      <w:r w:rsidR="006F460A">
        <w:rPr>
          <w:lang w:val="es-ES_tradnl"/>
        </w:rPr>
        <w:t> </w:t>
      </w:r>
      <w:r w:rsidR="006F460A" w:rsidRPr="006F460A">
        <w:rPr>
          <w:lang w:val="es-ES_tradnl"/>
        </w:rPr>
        <w:t>4</w:t>
      </w:r>
      <w:r w:rsidRPr="006F460A">
        <w:rPr>
          <w:lang w:val="es-ES_tradnl"/>
        </w:rPr>
        <w:t xml:space="preserve"> de Radiocomunicaciones celebrada el </w:t>
      </w:r>
      <w:r w:rsidR="006F460A" w:rsidRPr="006F460A">
        <w:rPr>
          <w:lang w:val="es-ES_tradnl"/>
        </w:rPr>
        <w:t>7</w:t>
      </w:r>
      <w:r w:rsidRPr="006F460A">
        <w:rPr>
          <w:lang w:val="es-ES_tradnl"/>
        </w:rPr>
        <w:t xml:space="preserve"> de </w:t>
      </w:r>
      <w:r w:rsidR="006F460A" w:rsidRPr="006F460A">
        <w:rPr>
          <w:lang w:val="es-ES_tradnl"/>
        </w:rPr>
        <w:t>noviembre</w:t>
      </w:r>
      <w:r w:rsidRPr="006F460A">
        <w:rPr>
          <w:lang w:val="es-ES_tradnl"/>
        </w:rPr>
        <w:t xml:space="preserve"> de</w:t>
      </w:r>
      <w:r w:rsidR="006F460A">
        <w:rPr>
          <w:lang w:val="es-ES_tradnl"/>
        </w:rPr>
        <w:t> </w:t>
      </w:r>
      <w:r w:rsidRPr="006F460A">
        <w:rPr>
          <w:lang w:val="es-ES_tradnl"/>
        </w:rPr>
        <w:t>20</w:t>
      </w:r>
      <w:r w:rsidR="006F460A" w:rsidRPr="006F460A">
        <w:rPr>
          <w:lang w:val="es-ES_tradnl"/>
        </w:rPr>
        <w:t>25</w:t>
      </w:r>
      <w:r w:rsidRPr="006F460A">
        <w:rPr>
          <w:lang w:val="es-ES_tradnl"/>
        </w:rPr>
        <w:t xml:space="preserve">, la Comisión de Estudio decidió solicitar la adopción de </w:t>
      </w:r>
      <w:r w:rsidR="006F460A" w:rsidRPr="006F460A">
        <w:rPr>
          <w:lang w:val="es-ES_tradnl"/>
        </w:rPr>
        <w:t>4</w:t>
      </w:r>
      <w:r w:rsidR="00B43401">
        <w:rPr>
          <w:lang w:val="es-ES_tradnl"/>
        </w:rPr>
        <w:t> </w:t>
      </w:r>
      <w:r w:rsidRPr="006F460A">
        <w:rPr>
          <w:lang w:val="es-ES_tradnl"/>
        </w:rPr>
        <w:t>proyectos de Recomendación</w:t>
      </w:r>
      <w:r w:rsidR="00B43401">
        <w:rPr>
          <w:lang w:val="es-ES_tradnl"/>
        </w:rPr>
        <w:t> </w:t>
      </w:r>
      <w:r w:rsidRPr="006F460A">
        <w:rPr>
          <w:lang w:val="es-ES_tradnl"/>
        </w:rPr>
        <w:t>UIT</w:t>
      </w:r>
      <w:r w:rsidR="00B43401">
        <w:rPr>
          <w:lang w:val="es-ES_tradnl"/>
        </w:rPr>
        <w:noBreakHyphen/>
      </w:r>
      <w:r w:rsidRPr="006F460A">
        <w:rPr>
          <w:lang w:val="es-ES_tradnl"/>
        </w:rPr>
        <w:t>R revisada por correspondencia (§ A2.6.2 de la Resolución </w:t>
      </w:r>
      <w:hyperlink r:id="rId8" w:history="1">
        <w:r w:rsidRPr="006F460A">
          <w:rPr>
            <w:rStyle w:val="Hyperlink"/>
            <w:lang w:val="es-ES_tradnl"/>
          </w:rPr>
          <w:t>UIT</w:t>
        </w:r>
        <w:r w:rsidRPr="006F460A">
          <w:rPr>
            <w:rStyle w:val="Hyperlink"/>
            <w:lang w:val="es-ES_tradnl"/>
          </w:rPr>
          <w:noBreakHyphen/>
          <w:t>R 1</w:t>
        </w:r>
        <w:r w:rsidRPr="006F460A">
          <w:rPr>
            <w:rStyle w:val="Hyperlink"/>
            <w:lang w:val="es-ES_tradnl"/>
          </w:rPr>
          <w:noBreakHyphen/>
          <w:t>9</w:t>
        </w:r>
      </w:hyperlink>
      <w:r w:rsidRPr="006F460A">
        <w:rPr>
          <w:lang w:val="es-ES_tradnl"/>
        </w:rPr>
        <w:t>) y además decidió aplicar el procedimiento de adopción y aprobación simultáneas por correspondencia (PAAS</w:t>
      </w:r>
      <w:r w:rsidR="00F84400" w:rsidRPr="006F460A">
        <w:rPr>
          <w:lang w:val="es-ES_tradnl"/>
        </w:rPr>
        <w:t xml:space="preserve">, </w:t>
      </w:r>
      <w:r w:rsidRPr="006F460A">
        <w:rPr>
          <w:lang w:val="es-ES_tradnl"/>
        </w:rPr>
        <w:t>§ A2.6.2.4 de la Resolución UIT</w:t>
      </w:r>
      <w:r w:rsidRPr="006F460A">
        <w:rPr>
          <w:lang w:val="es-ES_tradnl"/>
        </w:rPr>
        <w:noBreakHyphen/>
        <w:t>R 1</w:t>
      </w:r>
      <w:r w:rsidR="00A34538" w:rsidRPr="006F460A">
        <w:rPr>
          <w:lang w:val="es-ES_tradnl"/>
        </w:rPr>
        <w:noBreakHyphen/>
        <w:t>9</w:t>
      </w:r>
      <w:r w:rsidRPr="006F460A">
        <w:rPr>
          <w:lang w:val="es-ES_tradnl"/>
        </w:rPr>
        <w:t xml:space="preserve">). Los títulos y </w:t>
      </w:r>
      <w:r w:rsidR="006F460A" w:rsidRPr="006F460A">
        <w:rPr>
          <w:lang w:val="es-ES_tradnl"/>
        </w:rPr>
        <w:t>resúmenes</w:t>
      </w:r>
      <w:r w:rsidRPr="006F460A">
        <w:rPr>
          <w:lang w:val="es-ES_tradnl"/>
        </w:rPr>
        <w:t xml:space="preserve"> de los proyectos de Recomendación aparecen en el Anexo</w:t>
      </w:r>
      <w:r w:rsidR="00AC710A" w:rsidRPr="006F460A">
        <w:rPr>
          <w:lang w:val="es-ES_tradnl"/>
        </w:rPr>
        <w:t> </w:t>
      </w:r>
      <w:r w:rsidRPr="006F460A">
        <w:rPr>
          <w:lang w:val="es-ES_tradnl"/>
        </w:rPr>
        <w:t>1. Todo Estado Miembro que plantee una objeción a la adopción de un proyecto de Recomendación debe informar al Director y a la Presidencia de la Comisión de Estudio de los motivos de dicha objeción.</w:t>
      </w:r>
    </w:p>
    <w:p w14:paraId="03CDBFE0" w14:textId="5BBDA012" w:rsidR="00CA4AEE" w:rsidRPr="006F460A" w:rsidRDefault="00CA4AEE" w:rsidP="00603C2A">
      <w:pPr>
        <w:rPr>
          <w:lang w:val="es-ES_tradnl"/>
        </w:rPr>
      </w:pPr>
      <w:r w:rsidRPr="006F460A">
        <w:rPr>
          <w:lang w:val="es-ES_tradnl"/>
        </w:rPr>
        <w:t>El periodo de consideración se extenderá durante 2</w:t>
      </w:r>
      <w:r w:rsidR="00B43401">
        <w:rPr>
          <w:lang w:val="es-ES_tradnl"/>
        </w:rPr>
        <w:t> </w:t>
      </w:r>
      <w:r w:rsidRPr="006F460A">
        <w:rPr>
          <w:lang w:val="es-ES_tradnl"/>
        </w:rPr>
        <w:t xml:space="preserve">meses finalizando el </w:t>
      </w:r>
      <w:r w:rsidR="006F460A" w:rsidRPr="006F460A">
        <w:rPr>
          <w:u w:val="single"/>
          <w:lang w:val="es-ES_tradnl"/>
        </w:rPr>
        <w:t>18</w:t>
      </w:r>
      <w:r w:rsidRPr="006F460A">
        <w:rPr>
          <w:u w:val="single"/>
          <w:lang w:val="es-ES_tradnl"/>
        </w:rPr>
        <w:t xml:space="preserve"> de </w:t>
      </w:r>
      <w:r w:rsidR="006F460A" w:rsidRPr="006F460A">
        <w:rPr>
          <w:u w:val="single"/>
          <w:lang w:val="es-ES_tradnl"/>
        </w:rPr>
        <w:t>febrero</w:t>
      </w:r>
      <w:r w:rsidRPr="006F460A">
        <w:rPr>
          <w:u w:val="single"/>
          <w:lang w:val="es-ES_tradnl"/>
        </w:rPr>
        <w:t xml:space="preserve"> de</w:t>
      </w:r>
      <w:r w:rsidR="00B43401">
        <w:rPr>
          <w:u w:val="single"/>
          <w:lang w:val="es-ES_tradnl"/>
        </w:rPr>
        <w:t> </w:t>
      </w:r>
      <w:r w:rsidRPr="006F460A">
        <w:rPr>
          <w:u w:val="single"/>
          <w:lang w:val="es-ES_tradnl"/>
        </w:rPr>
        <w:t>20</w:t>
      </w:r>
      <w:r w:rsidR="006F460A" w:rsidRPr="006F460A">
        <w:rPr>
          <w:u w:val="single"/>
          <w:lang w:val="es-ES_tradnl"/>
        </w:rPr>
        <w:t>26</w:t>
      </w:r>
      <w:r w:rsidRPr="006F460A">
        <w:rPr>
          <w:lang w:val="es-ES_tradnl"/>
        </w:rPr>
        <w:t>. Si durante este periodo no se reciben objeciones de los Estados Miembros, se considerarán adoptados los proyectos de Recomendación por la Comisión de Estudio</w:t>
      </w:r>
      <w:r w:rsidR="00B43401">
        <w:rPr>
          <w:lang w:val="es-ES_tradnl"/>
        </w:rPr>
        <w:t> </w:t>
      </w:r>
      <w:r w:rsidR="006F460A" w:rsidRPr="006F460A">
        <w:rPr>
          <w:lang w:val="es-ES_tradnl"/>
        </w:rPr>
        <w:t>4</w:t>
      </w:r>
      <w:r w:rsidRPr="006F460A">
        <w:rPr>
          <w:lang w:val="es-ES_tradnl"/>
        </w:rPr>
        <w:t>. Además, dado que se ha seguido el procedimiento de PAAS, los proyectos de Recomendación también se considerarán aprobados.</w:t>
      </w:r>
    </w:p>
    <w:p w14:paraId="07469C2A" w14:textId="25975665" w:rsidR="00CA4AEE" w:rsidRPr="006F460A" w:rsidRDefault="00CA4AEE" w:rsidP="00603C2A">
      <w:pPr>
        <w:rPr>
          <w:lang w:val="es-ES_tradnl"/>
        </w:rPr>
      </w:pPr>
      <w:r w:rsidRPr="006F460A">
        <w:rPr>
          <w:lang w:val="es-ES_tradnl"/>
        </w:rPr>
        <w:t>Además, la Comisión de Estudio propuso la supresión de la Recomendación que se enumera en el Anexo</w:t>
      </w:r>
      <w:r w:rsidR="00B43401">
        <w:rPr>
          <w:lang w:val="es-ES_tradnl"/>
        </w:rPr>
        <w:t> </w:t>
      </w:r>
      <w:r w:rsidRPr="006F460A">
        <w:rPr>
          <w:lang w:val="es-ES_tradnl"/>
        </w:rPr>
        <w:t>2. Todo Estado Miembro que objete la supresión de una Recomendación debe informar al Director y a la Presidencia de la Comisión de Estudio de los motivos de dicha objeción.</w:t>
      </w:r>
    </w:p>
    <w:p w14:paraId="3AE1BC0B" w14:textId="240CB9CD" w:rsidR="00CA4AEE" w:rsidRPr="006F460A" w:rsidRDefault="00CA4AEE" w:rsidP="00603C2A">
      <w:pPr>
        <w:rPr>
          <w:lang w:val="es-ES_tradnl"/>
        </w:rPr>
      </w:pPr>
      <w:r w:rsidRPr="006F460A">
        <w:rPr>
          <w:lang w:val="es-ES_tradnl"/>
        </w:rPr>
        <w:t>El periodo de consideración se extenderá durante 2</w:t>
      </w:r>
      <w:r w:rsidR="00B43401">
        <w:rPr>
          <w:lang w:val="es-ES_tradnl"/>
        </w:rPr>
        <w:t> </w:t>
      </w:r>
      <w:r w:rsidRPr="006F460A">
        <w:rPr>
          <w:lang w:val="es-ES_tradnl"/>
        </w:rPr>
        <w:t xml:space="preserve">meses finalizando el </w:t>
      </w:r>
      <w:r w:rsidR="006F460A" w:rsidRPr="006F460A">
        <w:rPr>
          <w:u w:val="single"/>
          <w:lang w:val="es-ES_tradnl"/>
        </w:rPr>
        <w:t>18</w:t>
      </w:r>
      <w:r w:rsidRPr="006F460A">
        <w:rPr>
          <w:u w:val="single"/>
          <w:lang w:val="es-ES_tradnl"/>
        </w:rPr>
        <w:t xml:space="preserve"> de </w:t>
      </w:r>
      <w:r w:rsidR="006F460A" w:rsidRPr="006F460A">
        <w:rPr>
          <w:u w:val="single"/>
          <w:lang w:val="es-ES_tradnl"/>
        </w:rPr>
        <w:t>febrero</w:t>
      </w:r>
      <w:r w:rsidRPr="006F460A">
        <w:rPr>
          <w:u w:val="single"/>
          <w:lang w:val="es-ES_tradnl"/>
        </w:rPr>
        <w:t xml:space="preserve"> de</w:t>
      </w:r>
      <w:r w:rsidR="00B43401">
        <w:rPr>
          <w:u w:val="single"/>
          <w:lang w:val="es-ES_tradnl"/>
        </w:rPr>
        <w:t> </w:t>
      </w:r>
      <w:r w:rsidRPr="006F460A">
        <w:rPr>
          <w:u w:val="single"/>
          <w:lang w:val="es-ES_tradnl"/>
        </w:rPr>
        <w:t>20</w:t>
      </w:r>
      <w:r w:rsidR="006F460A" w:rsidRPr="006F460A">
        <w:rPr>
          <w:u w:val="single"/>
          <w:lang w:val="es-ES_tradnl"/>
        </w:rPr>
        <w:t>26</w:t>
      </w:r>
      <w:r w:rsidRPr="006F460A">
        <w:rPr>
          <w:lang w:val="es-ES_tradnl"/>
        </w:rPr>
        <w:t>. Si durante este periodo no se reciben objeciones de los Estados Miembros a la propuesta de supresión, se considerará que la Recomendación queda suprimida.</w:t>
      </w:r>
    </w:p>
    <w:p w14:paraId="00F7C219" w14:textId="0EDEB107" w:rsidR="00CA4AEE" w:rsidRPr="00D00AD1" w:rsidRDefault="00CA4AEE" w:rsidP="00603C2A">
      <w:pPr>
        <w:rPr>
          <w:lang w:val="es-ES_tradnl"/>
        </w:rPr>
      </w:pPr>
      <w:r w:rsidRPr="006F460A">
        <w:rPr>
          <w:lang w:val="es-ES_tradnl"/>
        </w:rPr>
        <w:t>Tras la fecha límite mencionada, los resultados los procedimientos arriba citados se comunicarán mediante Circular Administrativa y se publicarán las Recomendaci</w:t>
      </w:r>
      <w:r w:rsidR="006F460A" w:rsidRPr="006F460A">
        <w:rPr>
          <w:lang w:val="es-ES_tradnl"/>
        </w:rPr>
        <w:t>o</w:t>
      </w:r>
      <w:r w:rsidRPr="006F460A">
        <w:rPr>
          <w:lang w:val="es-ES_tradnl"/>
        </w:rPr>
        <w:t xml:space="preserve">nes aprobadas tan pronto como sea posible (véase </w:t>
      </w:r>
      <w:hyperlink r:id="rId9" w:history="1">
        <w:r w:rsidR="00665FC6" w:rsidRPr="006F460A">
          <w:rPr>
            <w:color w:val="0000FF"/>
            <w:u w:val="single"/>
            <w:lang w:val="es-ES_tradnl"/>
          </w:rPr>
          <w:t>https://www.itu.int/pub/R-REC/es</w:t>
        </w:r>
      </w:hyperlink>
      <w:r w:rsidRPr="006F460A">
        <w:rPr>
          <w:lang w:val="es-ES_tradnl"/>
        </w:rPr>
        <w:t>).</w:t>
      </w:r>
    </w:p>
    <w:p w14:paraId="749A3284" w14:textId="77777777" w:rsidR="00F84400" w:rsidRDefault="00F844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3BDDF33A" w14:textId="05A6AB4F" w:rsidR="00CA4AEE" w:rsidRDefault="00CA4AEE" w:rsidP="00603C2A">
      <w:pPr>
        <w:rPr>
          <w:lang w:val="es-ES_tradnl"/>
        </w:rPr>
      </w:pPr>
      <w:r w:rsidRPr="006F460A">
        <w:rPr>
          <w:lang w:val="es-ES_tradnl"/>
        </w:rPr>
        <w:lastRenderedPageBreak/>
        <w:t>Se solicita a toda organización miembro de la</w:t>
      </w:r>
      <w:r w:rsidR="00B43401">
        <w:rPr>
          <w:lang w:val="es-ES_tradnl"/>
        </w:rPr>
        <w:t> </w:t>
      </w:r>
      <w:r w:rsidRPr="006F460A">
        <w:rPr>
          <w:lang w:val="es-ES_tradnl"/>
        </w:rPr>
        <w:t>UIT que tenga conocimiento de una patente, de su propiedad o de propiedad ajena, que cubra total o parcialmente elementos de los proyectos de Recomendación mencionados en esta carta, que comunique dicha información a la Secretaría tan pronto como sea posible. La Política común en materia de patentes para UIT</w:t>
      </w:r>
      <w:r w:rsidRPr="006F460A">
        <w:rPr>
          <w:lang w:val="es-ES_tradnl"/>
        </w:rPr>
        <w:noBreakHyphen/>
        <w:t>T/UIT</w:t>
      </w:r>
      <w:r w:rsidRPr="006F460A">
        <w:rPr>
          <w:lang w:val="es-ES_tradnl"/>
        </w:rPr>
        <w:noBreakHyphen/>
        <w:t xml:space="preserve">R/ISO/CEI puede consultarse en </w:t>
      </w:r>
      <w:hyperlink r:id="rId10" w:history="1">
        <w:r w:rsidR="00B43401">
          <w:rPr>
            <w:rStyle w:val="Hyperlink"/>
            <w:lang w:val="es-ES_tradnl"/>
          </w:rPr>
          <w:t>https://www.itu.int/es/ITU-T/ipr/Pages/policy.aspx</w:t>
        </w:r>
      </w:hyperlink>
      <w:r w:rsidRPr="006F460A">
        <w:rPr>
          <w:lang w:val="es-ES_tradnl"/>
        </w:rPr>
        <w:t>.</w:t>
      </w:r>
    </w:p>
    <w:p w14:paraId="4CC8D01D" w14:textId="3E533B3B" w:rsidR="00CA4AEE" w:rsidRPr="0062522E" w:rsidRDefault="00CA4AEE" w:rsidP="00547C9F">
      <w:pPr>
        <w:spacing w:before="1200"/>
        <w:jc w:val="left"/>
        <w:rPr>
          <w:lang w:val="es-ES_tradnl"/>
        </w:rPr>
      </w:pPr>
      <w:r>
        <w:rPr>
          <w:lang w:val="es-ES_tradnl"/>
        </w:rPr>
        <w:t>Mario Maniewicz</w:t>
      </w:r>
      <w:r w:rsidR="00603C2A">
        <w:rPr>
          <w:lang w:val="es-ES_tradnl"/>
        </w:rPr>
        <w:br/>
      </w:r>
      <w:r w:rsidRPr="0062522E">
        <w:rPr>
          <w:lang w:val="es-ES_tradnl"/>
        </w:rPr>
        <w:t>Director</w:t>
      </w:r>
    </w:p>
    <w:p w14:paraId="4EE4B7E2" w14:textId="5DD5E3C1" w:rsidR="00CA4AEE" w:rsidRPr="00D00AD1" w:rsidRDefault="00CA4AEE" w:rsidP="00111108">
      <w:pPr>
        <w:spacing w:before="2400"/>
        <w:ind w:left="1191" w:hanging="1191"/>
        <w:rPr>
          <w:lang w:val="es-ES_tradnl"/>
        </w:rPr>
      </w:pPr>
      <w:r w:rsidRPr="00335BAB">
        <w:rPr>
          <w:b/>
          <w:bCs/>
          <w:lang w:val="es-ES_tradnl"/>
        </w:rPr>
        <w:t>Anexo 1:</w:t>
      </w:r>
      <w:r w:rsidRPr="00335BAB">
        <w:rPr>
          <w:lang w:val="es-ES_tradnl"/>
        </w:rPr>
        <w:tab/>
        <w:t>Títulos y res</w:t>
      </w:r>
      <w:r w:rsidR="00335BAB" w:rsidRPr="00335BAB">
        <w:rPr>
          <w:lang w:val="es-ES_tradnl"/>
        </w:rPr>
        <w:t>ú</w:t>
      </w:r>
      <w:r w:rsidRPr="00335BAB">
        <w:rPr>
          <w:lang w:val="es-ES_tradnl"/>
        </w:rPr>
        <w:t>menes de los proyectos de Recomendación</w:t>
      </w:r>
    </w:p>
    <w:p w14:paraId="376F40A7" w14:textId="45D6D5D3" w:rsidR="00CA4AEE" w:rsidRDefault="00CA4AEE" w:rsidP="00CA4AEE">
      <w:pPr>
        <w:rPr>
          <w:lang w:val="es-ES_tradnl"/>
        </w:rPr>
      </w:pPr>
      <w:r w:rsidRPr="00D00AD1">
        <w:rPr>
          <w:b/>
          <w:bCs/>
          <w:lang w:val="es-ES_tradnl"/>
        </w:rPr>
        <w:t>Anexo 2:</w:t>
      </w:r>
      <w:r>
        <w:rPr>
          <w:lang w:val="es-ES_tradnl"/>
        </w:rPr>
        <w:tab/>
      </w:r>
      <w:r w:rsidRPr="00D00AD1">
        <w:rPr>
          <w:lang w:val="es-ES_tradnl"/>
        </w:rPr>
        <w:t>Recomendación cuya supresión se propone</w:t>
      </w:r>
    </w:p>
    <w:p w14:paraId="7FE42B16" w14:textId="49DE4C32" w:rsidR="00CA4AEE" w:rsidRPr="00335BAB" w:rsidRDefault="00CA4AEE" w:rsidP="00547C9F">
      <w:pPr>
        <w:spacing w:before="840"/>
        <w:rPr>
          <w:lang w:val="pt-BR"/>
        </w:rPr>
      </w:pPr>
      <w:r w:rsidRPr="00335BAB">
        <w:rPr>
          <w:b/>
          <w:bCs/>
          <w:lang w:val="pt-BR"/>
        </w:rPr>
        <w:t>Documentos:</w:t>
      </w:r>
      <w:r w:rsidRPr="00335BAB">
        <w:rPr>
          <w:lang w:val="pt-BR"/>
        </w:rPr>
        <w:tab/>
        <w:t xml:space="preserve">Documentos </w:t>
      </w:r>
      <w:r w:rsidR="00335BAB" w:rsidRPr="00335BAB">
        <w:rPr>
          <w:lang w:val="pt-BR"/>
        </w:rPr>
        <w:t>4/50, 4/51, 4/52, 4/55</w:t>
      </w:r>
      <w:r w:rsidR="00B43401">
        <w:rPr>
          <w:lang w:val="pt-BR"/>
        </w:rPr>
        <w:t xml:space="preserve"> y</w:t>
      </w:r>
      <w:r w:rsidR="00335BAB" w:rsidRPr="00335BAB">
        <w:rPr>
          <w:lang w:val="pt-BR"/>
        </w:rPr>
        <w:t xml:space="preserve"> 4/48</w:t>
      </w:r>
    </w:p>
    <w:p w14:paraId="6F55D769" w14:textId="56F98AB9" w:rsidR="00CA4AEE" w:rsidRPr="00D00AD1" w:rsidRDefault="00CA4AEE" w:rsidP="00357EB8">
      <w:pPr>
        <w:jc w:val="left"/>
        <w:rPr>
          <w:lang w:val="es-ES_tradnl"/>
        </w:rPr>
      </w:pPr>
      <w:r w:rsidRPr="00335BAB">
        <w:rPr>
          <w:lang w:val="es-ES_tradnl"/>
        </w:rPr>
        <w:t>Dichos documentos están disponibles en formato electrónico en la dirección:</w:t>
      </w:r>
      <w:r w:rsidRPr="00EF4CF9">
        <w:rPr>
          <w:lang w:val="es-ES"/>
        </w:rPr>
        <w:t xml:space="preserve"> </w:t>
      </w:r>
      <w:hyperlink r:id="rId11" w:history="1">
        <w:r w:rsidR="005657AC" w:rsidRPr="00EF2FBE">
          <w:rPr>
            <w:rStyle w:val="Hyperlink"/>
            <w:lang w:val="es-ES"/>
          </w:rPr>
          <w:t>https://www.itu.int/md/R23-SG04-C/en</w:t>
        </w:r>
      </w:hyperlink>
      <w:r w:rsidR="00335BAB">
        <w:rPr>
          <w:lang w:val="es-ES_tradnl"/>
        </w:rPr>
        <w:t>.</w:t>
      </w:r>
    </w:p>
    <w:p w14:paraId="4B35D10D" w14:textId="77777777" w:rsidR="00CA4AEE" w:rsidRDefault="00CA4AEE" w:rsidP="00357EB8">
      <w:pPr>
        <w:rPr>
          <w:rFonts w:ascii="Times New Roman" w:hAnsi="Times New Roman" w:cs="Times New Roman"/>
          <w:sz w:val="28"/>
          <w:szCs w:val="20"/>
          <w:lang w:val="es-ES_tradnl"/>
        </w:rPr>
      </w:pPr>
      <w:r w:rsidRPr="00EF4CF9">
        <w:rPr>
          <w:lang w:val="es-ES"/>
        </w:rPr>
        <w:br w:type="page"/>
      </w:r>
    </w:p>
    <w:p w14:paraId="6AA1CDF1" w14:textId="11D2A6CB" w:rsidR="00CA4AEE" w:rsidRPr="00547C9F" w:rsidRDefault="00335BAB" w:rsidP="00335BAB">
      <w:pPr>
        <w:pStyle w:val="AnnexNoTitle"/>
        <w:rPr>
          <w:lang w:val="es-ES"/>
        </w:rPr>
      </w:pPr>
      <w:r w:rsidRPr="00335BAB">
        <w:rPr>
          <w:lang w:val="es-ES"/>
        </w:rPr>
        <w:lastRenderedPageBreak/>
        <w:t>Anexo 1</w:t>
      </w:r>
      <w:r>
        <w:rPr>
          <w:lang w:val="es-ES"/>
        </w:rPr>
        <w:br/>
      </w:r>
      <w:r>
        <w:rPr>
          <w:lang w:val="es-ES"/>
        </w:rPr>
        <w:br/>
      </w:r>
      <w:r w:rsidRPr="00335BAB">
        <w:rPr>
          <w:lang w:val="es-ES"/>
        </w:rPr>
        <w:t>Títulos y resúmenes de los proyectos de Recomendación UIT-R</w:t>
      </w:r>
    </w:p>
    <w:p w14:paraId="620F1132" w14:textId="77C849A0" w:rsidR="00CA4AEE" w:rsidRPr="00547C9F" w:rsidRDefault="00335BAB" w:rsidP="00335BAB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right" w:pos="9639"/>
        </w:tabs>
        <w:rPr>
          <w:lang w:val="es-ES"/>
        </w:rPr>
      </w:pPr>
      <w:r w:rsidRPr="00335BAB">
        <w:rPr>
          <w:u w:val="single"/>
          <w:lang w:val="es-ES"/>
        </w:rPr>
        <w:t>Proyecto de revisión de la Recomendación UIT-R M.1787-5</w:t>
      </w:r>
      <w:r w:rsidR="00BE2478" w:rsidRPr="00357EB8">
        <w:rPr>
          <w:lang w:val="es-ES"/>
        </w:rPr>
        <w:tab/>
      </w:r>
      <w:r w:rsidRPr="00335BAB">
        <w:rPr>
          <w:lang w:val="es-ES"/>
        </w:rPr>
        <w:t>Doc.</w:t>
      </w:r>
      <w:r>
        <w:rPr>
          <w:lang w:val="es-ES"/>
        </w:rPr>
        <w:t> </w:t>
      </w:r>
      <w:r w:rsidRPr="00335BAB">
        <w:rPr>
          <w:lang w:val="es-ES"/>
        </w:rPr>
        <w:t>4/50</w:t>
      </w:r>
    </w:p>
    <w:p w14:paraId="77139290" w14:textId="5CC7C2CF" w:rsidR="00CA4AEE" w:rsidRPr="00357EB8" w:rsidRDefault="00335BAB" w:rsidP="00357EB8">
      <w:pPr>
        <w:pStyle w:val="Rectitle"/>
        <w:rPr>
          <w:lang w:val="es-ES"/>
        </w:rPr>
      </w:pPr>
      <w:r w:rsidRPr="00335BAB">
        <w:rPr>
          <w:lang w:val="es-ES"/>
        </w:rPr>
        <w:t>Descripción de sistemas y redes del servicio de radionavegación por satélite (espacio</w:t>
      </w:r>
      <w:r w:rsidR="00B43401">
        <w:rPr>
          <w:lang w:val="es-ES"/>
        </w:rPr>
        <w:noBreakHyphen/>
      </w:r>
      <w:r w:rsidRPr="00335BAB">
        <w:rPr>
          <w:lang w:val="es-ES"/>
        </w:rPr>
        <w:t>Tierra y espacio</w:t>
      </w:r>
      <w:r w:rsidR="00B43401">
        <w:rPr>
          <w:lang w:val="es-ES"/>
        </w:rPr>
        <w:noBreakHyphen/>
      </w:r>
      <w:r w:rsidRPr="00335BAB">
        <w:rPr>
          <w:lang w:val="es-ES"/>
        </w:rPr>
        <w:t>espacio) y características técnicas de estaciones espaciales transmisoras que funcionan en las bandas 1</w:t>
      </w:r>
      <w:r w:rsidR="00B43401">
        <w:rPr>
          <w:lang w:val="es-ES"/>
        </w:rPr>
        <w:t> </w:t>
      </w:r>
      <w:r w:rsidRPr="00335BAB">
        <w:rPr>
          <w:lang w:val="es-ES"/>
        </w:rPr>
        <w:t>164</w:t>
      </w:r>
      <w:r w:rsidR="00B43401">
        <w:rPr>
          <w:lang w:val="es-ES"/>
        </w:rPr>
        <w:noBreakHyphen/>
      </w:r>
      <w:r w:rsidRPr="00335BAB">
        <w:rPr>
          <w:lang w:val="es-ES"/>
        </w:rPr>
        <w:t>1</w:t>
      </w:r>
      <w:r w:rsidR="00B43401">
        <w:rPr>
          <w:lang w:val="es-ES"/>
        </w:rPr>
        <w:t> </w:t>
      </w:r>
      <w:r w:rsidRPr="00335BAB">
        <w:rPr>
          <w:lang w:val="es-ES"/>
        </w:rPr>
        <w:t>215</w:t>
      </w:r>
      <w:r w:rsidR="00B43401">
        <w:rPr>
          <w:lang w:val="es-ES"/>
        </w:rPr>
        <w:t> </w:t>
      </w:r>
      <w:r w:rsidRPr="00335BAB">
        <w:rPr>
          <w:lang w:val="es-ES"/>
        </w:rPr>
        <w:t>MHz, 1</w:t>
      </w:r>
      <w:r w:rsidR="00B43401">
        <w:rPr>
          <w:lang w:val="es-ES"/>
        </w:rPr>
        <w:t> </w:t>
      </w:r>
      <w:r w:rsidRPr="00335BAB">
        <w:rPr>
          <w:lang w:val="es-ES"/>
        </w:rPr>
        <w:t>215</w:t>
      </w:r>
      <w:r w:rsidR="00B43401">
        <w:rPr>
          <w:lang w:val="es-ES"/>
        </w:rPr>
        <w:noBreakHyphen/>
      </w:r>
      <w:r w:rsidRPr="00335BAB">
        <w:rPr>
          <w:lang w:val="es-ES"/>
        </w:rPr>
        <w:t>1</w:t>
      </w:r>
      <w:r w:rsidR="00B43401">
        <w:rPr>
          <w:lang w:val="es-ES"/>
        </w:rPr>
        <w:t> </w:t>
      </w:r>
      <w:r w:rsidRPr="00335BAB">
        <w:rPr>
          <w:lang w:val="es-ES"/>
        </w:rPr>
        <w:t>300</w:t>
      </w:r>
      <w:r w:rsidR="00B43401">
        <w:rPr>
          <w:lang w:val="es-ES"/>
        </w:rPr>
        <w:t> </w:t>
      </w:r>
      <w:r w:rsidRPr="00335BAB">
        <w:rPr>
          <w:lang w:val="es-ES"/>
        </w:rPr>
        <w:t>MHz y 1</w:t>
      </w:r>
      <w:r w:rsidR="00B43401">
        <w:rPr>
          <w:lang w:val="es-ES"/>
        </w:rPr>
        <w:t> </w:t>
      </w:r>
      <w:r w:rsidRPr="00335BAB">
        <w:rPr>
          <w:lang w:val="es-ES"/>
        </w:rPr>
        <w:t>559-1</w:t>
      </w:r>
      <w:r w:rsidR="00B43401">
        <w:rPr>
          <w:lang w:val="es-ES"/>
        </w:rPr>
        <w:t> </w:t>
      </w:r>
      <w:r w:rsidRPr="00335BAB">
        <w:rPr>
          <w:lang w:val="es-ES"/>
        </w:rPr>
        <w:t>610</w:t>
      </w:r>
      <w:r w:rsidR="00B43401">
        <w:rPr>
          <w:lang w:val="es-ES"/>
        </w:rPr>
        <w:t> </w:t>
      </w:r>
      <w:r w:rsidRPr="00335BAB">
        <w:rPr>
          <w:lang w:val="es-ES"/>
        </w:rPr>
        <w:t>MHz</w:t>
      </w:r>
    </w:p>
    <w:p w14:paraId="53B16F81" w14:textId="086113E5" w:rsidR="00335BAB" w:rsidRPr="00335BAB" w:rsidRDefault="00335BAB" w:rsidP="006F460A">
      <w:pPr>
        <w:rPr>
          <w:lang w:val="es-ES"/>
        </w:rPr>
      </w:pPr>
      <w:r w:rsidRPr="00335BAB">
        <w:rPr>
          <w:lang w:val="es-ES"/>
        </w:rPr>
        <w:t>Esta revisión de la Recomendación atañe al Anexo</w:t>
      </w:r>
      <w:r w:rsidR="00B43401">
        <w:rPr>
          <w:lang w:val="es-ES"/>
        </w:rPr>
        <w:t> </w:t>
      </w:r>
      <w:r w:rsidRPr="00335BAB">
        <w:rPr>
          <w:lang w:val="es-ES"/>
        </w:rPr>
        <w:t>4 (Descripción técnica y características de los sistemas de satélites cuasi cenitales (QZSS)) y al Anexo</w:t>
      </w:r>
      <w:r w:rsidR="00B43401">
        <w:rPr>
          <w:lang w:val="es-ES"/>
        </w:rPr>
        <w:t> </w:t>
      </w:r>
      <w:r w:rsidRPr="00335BAB">
        <w:rPr>
          <w:lang w:val="es-ES"/>
        </w:rPr>
        <w:t>11 (Descripción técnica y características del sistema de aumento por satélite de Corea (KASS)).</w:t>
      </w:r>
    </w:p>
    <w:p w14:paraId="590F95EF" w14:textId="30B0FF2A" w:rsidR="00335BAB" w:rsidRPr="00335BAB" w:rsidRDefault="00335BAB" w:rsidP="006F460A">
      <w:pPr>
        <w:rPr>
          <w:lang w:val="es-ES"/>
        </w:rPr>
      </w:pPr>
      <w:r w:rsidRPr="00335BAB">
        <w:rPr>
          <w:lang w:val="es-ES"/>
        </w:rPr>
        <w:t>Asimismo se añaden el nuevo Anexo</w:t>
      </w:r>
      <w:r w:rsidR="00B43401">
        <w:rPr>
          <w:lang w:val="es-ES"/>
        </w:rPr>
        <w:t> </w:t>
      </w:r>
      <w:r w:rsidRPr="00335BAB">
        <w:rPr>
          <w:lang w:val="es-ES"/>
        </w:rPr>
        <w:t>15 (Descripción técnica y características del sistema de estaciones espaciales transmisoras Xona PULSAR cuyo funcionamiento está previsto en las bandas de frecuencias 1</w:t>
      </w:r>
      <w:r w:rsidR="00B43401">
        <w:rPr>
          <w:lang w:val="es-ES"/>
        </w:rPr>
        <w:t> </w:t>
      </w:r>
      <w:r w:rsidRPr="00335BAB">
        <w:rPr>
          <w:lang w:val="es-ES"/>
        </w:rPr>
        <w:t>164</w:t>
      </w:r>
      <w:r w:rsidR="00B43401">
        <w:rPr>
          <w:lang w:val="es-ES"/>
        </w:rPr>
        <w:noBreakHyphen/>
      </w:r>
      <w:r w:rsidRPr="00335BAB">
        <w:rPr>
          <w:lang w:val="es-ES"/>
        </w:rPr>
        <w:t>1</w:t>
      </w:r>
      <w:r w:rsidR="00B43401">
        <w:rPr>
          <w:lang w:val="es-ES"/>
        </w:rPr>
        <w:t> </w:t>
      </w:r>
      <w:r w:rsidRPr="00335BAB">
        <w:rPr>
          <w:lang w:val="es-ES"/>
        </w:rPr>
        <w:t>215</w:t>
      </w:r>
      <w:r w:rsidR="00B43401">
        <w:rPr>
          <w:lang w:val="es-ES"/>
        </w:rPr>
        <w:t> </w:t>
      </w:r>
      <w:r w:rsidRPr="00335BAB">
        <w:rPr>
          <w:lang w:val="es-ES"/>
        </w:rPr>
        <w:t>MHz y 1 559</w:t>
      </w:r>
      <w:r w:rsidR="00B43401">
        <w:rPr>
          <w:lang w:val="es-ES"/>
        </w:rPr>
        <w:noBreakHyphen/>
      </w:r>
      <w:r w:rsidRPr="00335BAB">
        <w:rPr>
          <w:lang w:val="es-ES"/>
        </w:rPr>
        <w:t>1</w:t>
      </w:r>
      <w:r w:rsidR="00B43401">
        <w:rPr>
          <w:lang w:val="es-ES"/>
        </w:rPr>
        <w:t> </w:t>
      </w:r>
      <w:r w:rsidRPr="00335BAB">
        <w:rPr>
          <w:lang w:val="es-ES"/>
        </w:rPr>
        <w:t>610</w:t>
      </w:r>
      <w:r w:rsidR="00B43401">
        <w:rPr>
          <w:lang w:val="es-ES"/>
        </w:rPr>
        <w:t> </w:t>
      </w:r>
      <w:r w:rsidRPr="00335BAB">
        <w:rPr>
          <w:lang w:val="es-ES"/>
        </w:rPr>
        <w:t>MHz), el nuevo Anexo</w:t>
      </w:r>
      <w:r w:rsidR="00B43401">
        <w:rPr>
          <w:lang w:val="es-ES"/>
        </w:rPr>
        <w:t> </w:t>
      </w:r>
      <w:r w:rsidRPr="00335BAB">
        <w:rPr>
          <w:lang w:val="es-ES"/>
        </w:rPr>
        <w:t>16 (Descripción técnica y características del</w:t>
      </w:r>
      <w:r w:rsidR="00B43401">
        <w:rPr>
          <w:lang w:val="es-ES"/>
        </w:rPr>
        <w:t> </w:t>
      </w:r>
      <w:r w:rsidRPr="00335BAB">
        <w:rPr>
          <w:lang w:val="es-ES"/>
        </w:rPr>
        <w:t>KPS en el servicio de radionavegación por satélite para posicionamiento, navegación e información horaria en las bandas de frecuencias 1</w:t>
      </w:r>
      <w:r w:rsidR="00B43401">
        <w:rPr>
          <w:lang w:val="es-ES"/>
        </w:rPr>
        <w:t> </w:t>
      </w:r>
      <w:r w:rsidRPr="00335BAB">
        <w:rPr>
          <w:lang w:val="es-ES"/>
        </w:rPr>
        <w:t>164</w:t>
      </w:r>
      <w:r w:rsidR="00B43401">
        <w:rPr>
          <w:lang w:val="es-ES"/>
        </w:rPr>
        <w:noBreakHyphen/>
      </w:r>
      <w:r w:rsidRPr="00335BAB">
        <w:rPr>
          <w:lang w:val="es-ES"/>
        </w:rPr>
        <w:t>1</w:t>
      </w:r>
      <w:r w:rsidR="00B43401">
        <w:rPr>
          <w:lang w:val="es-ES"/>
        </w:rPr>
        <w:t> </w:t>
      </w:r>
      <w:r w:rsidRPr="00335BAB">
        <w:rPr>
          <w:lang w:val="es-ES"/>
        </w:rPr>
        <w:t>215</w:t>
      </w:r>
      <w:r w:rsidR="00B43401">
        <w:rPr>
          <w:lang w:val="es-ES"/>
        </w:rPr>
        <w:t> </w:t>
      </w:r>
      <w:r w:rsidRPr="00335BAB">
        <w:rPr>
          <w:lang w:val="es-ES"/>
        </w:rPr>
        <w:t>MHz, 1</w:t>
      </w:r>
      <w:r w:rsidR="00B43401">
        <w:rPr>
          <w:lang w:val="es-ES"/>
        </w:rPr>
        <w:t> </w:t>
      </w:r>
      <w:r w:rsidRPr="00335BAB">
        <w:rPr>
          <w:lang w:val="es-ES"/>
        </w:rPr>
        <w:t>215</w:t>
      </w:r>
      <w:r w:rsidR="00B43401">
        <w:rPr>
          <w:lang w:val="es-ES"/>
        </w:rPr>
        <w:noBreakHyphen/>
      </w:r>
      <w:r w:rsidRPr="00335BAB">
        <w:rPr>
          <w:lang w:val="es-ES"/>
        </w:rPr>
        <w:t>1 300 MHz y 1</w:t>
      </w:r>
      <w:r w:rsidR="006F460A">
        <w:rPr>
          <w:lang w:val="es-ES"/>
        </w:rPr>
        <w:t> </w:t>
      </w:r>
      <w:r w:rsidRPr="00335BAB">
        <w:rPr>
          <w:lang w:val="es-ES"/>
        </w:rPr>
        <w:t>559-1</w:t>
      </w:r>
      <w:r w:rsidR="006F460A">
        <w:rPr>
          <w:lang w:val="es-ES"/>
        </w:rPr>
        <w:t> </w:t>
      </w:r>
      <w:r w:rsidRPr="00335BAB">
        <w:rPr>
          <w:lang w:val="es-ES"/>
        </w:rPr>
        <w:t>610</w:t>
      </w:r>
      <w:r w:rsidR="006F460A">
        <w:rPr>
          <w:lang w:val="es-ES"/>
        </w:rPr>
        <w:t> </w:t>
      </w:r>
      <w:r w:rsidRPr="00335BAB">
        <w:rPr>
          <w:lang w:val="es-ES"/>
        </w:rPr>
        <w:t>MHz) y el nuevo Anexo</w:t>
      </w:r>
      <w:r w:rsidR="00B43401">
        <w:rPr>
          <w:lang w:val="es-ES"/>
        </w:rPr>
        <w:t> </w:t>
      </w:r>
      <w:r w:rsidRPr="00335BAB">
        <w:rPr>
          <w:lang w:val="es-ES"/>
        </w:rPr>
        <w:t>17 (Descripción técnica y características del sistema SATNET</w:t>
      </w:r>
      <w:r w:rsidR="00B43401">
        <w:rPr>
          <w:lang w:val="es-ES"/>
        </w:rPr>
        <w:t> </w:t>
      </w:r>
      <w:r w:rsidRPr="00335BAB">
        <w:rPr>
          <w:lang w:val="es-ES"/>
        </w:rPr>
        <w:t>LEO del SRNS).</w:t>
      </w:r>
    </w:p>
    <w:p w14:paraId="44EA91A1" w14:textId="34E69E15" w:rsidR="00CA4AEE" w:rsidRDefault="00335BAB" w:rsidP="006F460A">
      <w:pPr>
        <w:rPr>
          <w:lang w:val="es-ES"/>
        </w:rPr>
      </w:pPr>
      <w:r w:rsidRPr="00335BAB">
        <w:rPr>
          <w:lang w:val="es-ES"/>
        </w:rPr>
        <w:t>También se ha procedido a la revisión editorial de referencias a figuras y cuadros en cada anexo.</w:t>
      </w:r>
    </w:p>
    <w:p w14:paraId="7C071712" w14:textId="16F261CF" w:rsidR="00335BAB" w:rsidRPr="00335BAB" w:rsidRDefault="00335BAB" w:rsidP="00335BAB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right" w:pos="9639"/>
        </w:tabs>
        <w:rPr>
          <w:lang w:val="es-ES"/>
        </w:rPr>
      </w:pPr>
      <w:r w:rsidRPr="00335BAB">
        <w:rPr>
          <w:u w:val="single"/>
          <w:lang w:val="es-ES"/>
        </w:rPr>
        <w:t>Proyecto de revisión de la Recomendación UIT-R BO.789-2</w:t>
      </w:r>
      <w:r w:rsidRPr="00335BAB">
        <w:rPr>
          <w:lang w:val="es-ES"/>
        </w:rPr>
        <w:tab/>
        <w:t>Doc.</w:t>
      </w:r>
      <w:r w:rsidR="00B43401">
        <w:rPr>
          <w:lang w:val="es-ES"/>
        </w:rPr>
        <w:t> </w:t>
      </w:r>
      <w:r w:rsidRPr="00335BAB">
        <w:rPr>
          <w:lang w:val="es-ES"/>
        </w:rPr>
        <w:t>4/51</w:t>
      </w:r>
    </w:p>
    <w:p w14:paraId="370D172F" w14:textId="0CCF51DD" w:rsidR="00335BAB" w:rsidRPr="00335BAB" w:rsidRDefault="00335BAB" w:rsidP="00335BAB">
      <w:pPr>
        <w:pStyle w:val="Rectitle"/>
        <w:rPr>
          <w:lang w:val="es-ES"/>
        </w:rPr>
      </w:pPr>
      <w:r w:rsidRPr="00335BAB">
        <w:rPr>
          <w:lang w:val="es-ES"/>
        </w:rPr>
        <w:t xml:space="preserve">Necesidades del servicio de radiodifusión sonora digital para receptores </w:t>
      </w:r>
      <w:r w:rsidR="00B43401">
        <w:rPr>
          <w:lang w:val="es-ES"/>
        </w:rPr>
        <w:br/>
      </w:r>
      <w:r w:rsidRPr="00335BAB">
        <w:rPr>
          <w:lang w:val="es-ES"/>
        </w:rPr>
        <w:t xml:space="preserve">de vehículos, portátiles y fijos del servicio de radiodifusión (sonora) </w:t>
      </w:r>
      <w:r w:rsidR="00B43401">
        <w:rPr>
          <w:lang w:val="es-ES"/>
        </w:rPr>
        <w:br/>
      </w:r>
      <w:r w:rsidRPr="00335BAB">
        <w:rPr>
          <w:lang w:val="es-ES"/>
        </w:rPr>
        <w:t>por satélite en la gama de frecuencias 1</w:t>
      </w:r>
      <w:r w:rsidR="00B43401">
        <w:rPr>
          <w:lang w:val="es-ES"/>
        </w:rPr>
        <w:t> </w:t>
      </w:r>
      <w:r w:rsidRPr="00335BAB">
        <w:rPr>
          <w:lang w:val="es-ES"/>
        </w:rPr>
        <w:t>400</w:t>
      </w:r>
      <w:r w:rsidR="00B43401">
        <w:rPr>
          <w:lang w:val="es-ES"/>
        </w:rPr>
        <w:noBreakHyphen/>
      </w:r>
      <w:r w:rsidRPr="00335BAB">
        <w:rPr>
          <w:lang w:val="es-ES"/>
        </w:rPr>
        <w:t>2</w:t>
      </w:r>
      <w:r w:rsidR="00B43401">
        <w:rPr>
          <w:lang w:val="es-ES"/>
        </w:rPr>
        <w:t> </w:t>
      </w:r>
      <w:r w:rsidRPr="00335BAB">
        <w:rPr>
          <w:lang w:val="es-ES"/>
        </w:rPr>
        <w:t>700</w:t>
      </w:r>
      <w:r w:rsidR="00B43401">
        <w:rPr>
          <w:lang w:val="es-ES"/>
        </w:rPr>
        <w:t> </w:t>
      </w:r>
      <w:r w:rsidRPr="00335BAB">
        <w:rPr>
          <w:lang w:val="es-ES"/>
        </w:rPr>
        <w:t>MHz</w:t>
      </w:r>
    </w:p>
    <w:p w14:paraId="0C3F337B" w14:textId="49E78A49" w:rsidR="00335BAB" w:rsidRPr="00335BAB" w:rsidRDefault="00335BAB" w:rsidP="006F460A">
      <w:pPr>
        <w:rPr>
          <w:lang w:val="es-ES"/>
        </w:rPr>
      </w:pPr>
      <w:r w:rsidRPr="00335BAB">
        <w:rPr>
          <w:lang w:val="es-ES"/>
        </w:rPr>
        <w:t>Tras la actualización del Sistema Digital</w:t>
      </w:r>
      <w:r w:rsidR="00974E42">
        <w:rPr>
          <w:lang w:val="es-ES"/>
        </w:rPr>
        <w:t> </w:t>
      </w:r>
      <w:r w:rsidRPr="00335BAB">
        <w:rPr>
          <w:lang w:val="es-ES"/>
        </w:rPr>
        <w:t>A (Eureka-147</w:t>
      </w:r>
      <w:r w:rsidR="00B43401">
        <w:rPr>
          <w:lang w:val="es-ES"/>
        </w:rPr>
        <w:t> </w:t>
      </w:r>
      <w:r w:rsidRPr="00335BAB">
        <w:rPr>
          <w:lang w:val="es-ES"/>
        </w:rPr>
        <w:t>DAB), publicada en (ETSI</w:t>
      </w:r>
      <w:r w:rsidR="00B43401">
        <w:rPr>
          <w:lang w:val="es-ES"/>
        </w:rPr>
        <w:t> </w:t>
      </w:r>
      <w:r w:rsidRPr="00335BAB">
        <w:rPr>
          <w:lang w:val="es-ES"/>
        </w:rPr>
        <w:t>EN</w:t>
      </w:r>
      <w:r w:rsidR="00B43401">
        <w:rPr>
          <w:lang w:val="es-ES"/>
        </w:rPr>
        <w:t> </w:t>
      </w:r>
      <w:r w:rsidRPr="00335BAB">
        <w:rPr>
          <w:lang w:val="es-ES"/>
        </w:rPr>
        <w:t>300</w:t>
      </w:r>
      <w:r w:rsidR="00B43401">
        <w:rPr>
          <w:lang w:val="es-ES"/>
        </w:rPr>
        <w:t> </w:t>
      </w:r>
      <w:r w:rsidRPr="00335BAB">
        <w:rPr>
          <w:lang w:val="es-ES"/>
        </w:rPr>
        <w:t>401</w:t>
      </w:r>
      <w:r w:rsidR="00B43401">
        <w:rPr>
          <w:lang w:val="es-ES"/>
        </w:rPr>
        <w:t> </w:t>
      </w:r>
      <w:r w:rsidRPr="00335BAB">
        <w:rPr>
          <w:lang w:val="es-ES"/>
        </w:rPr>
        <w:t>V2.1.1 (2017-01)) y la supresión de los modos de transmisión</w:t>
      </w:r>
      <w:r w:rsidR="00B43401">
        <w:rPr>
          <w:lang w:val="es-ES"/>
        </w:rPr>
        <w:t> </w:t>
      </w:r>
      <w:r w:rsidRPr="00335BAB">
        <w:rPr>
          <w:lang w:val="es-ES"/>
        </w:rPr>
        <w:t>II, III y IV, sólo se conserva el modo</w:t>
      </w:r>
      <w:r w:rsidR="00B43401">
        <w:rPr>
          <w:lang w:val="es-ES"/>
        </w:rPr>
        <w:t> </w:t>
      </w:r>
      <w:r w:rsidRPr="00335BAB">
        <w:rPr>
          <w:lang w:val="es-ES"/>
        </w:rPr>
        <w:t>I designado para la radiodifusión terrenal en la banda de frecuencias 30</w:t>
      </w:r>
      <w:r w:rsidR="004546C1">
        <w:rPr>
          <w:lang w:val="es-ES"/>
        </w:rPr>
        <w:noBreakHyphen/>
      </w:r>
      <w:r w:rsidRPr="00335BAB">
        <w:rPr>
          <w:lang w:val="es-ES"/>
        </w:rPr>
        <w:t>300</w:t>
      </w:r>
      <w:r w:rsidR="004546C1">
        <w:rPr>
          <w:lang w:val="es-ES"/>
        </w:rPr>
        <w:t> </w:t>
      </w:r>
      <w:r w:rsidRPr="00335BAB">
        <w:rPr>
          <w:lang w:val="es-ES"/>
        </w:rPr>
        <w:t>MHz.</w:t>
      </w:r>
    </w:p>
    <w:p w14:paraId="6FA69B25" w14:textId="556F42AA" w:rsidR="00335BAB" w:rsidRPr="00335BAB" w:rsidRDefault="00335BAB" w:rsidP="006F460A">
      <w:pPr>
        <w:rPr>
          <w:bCs/>
          <w:lang w:val="es-ES"/>
        </w:rPr>
      </w:pPr>
      <w:r w:rsidRPr="00335BAB">
        <w:rPr>
          <w:lang w:val="es-ES"/>
        </w:rPr>
        <w:t>En esta revisión se suprimen las referencias al Sistema</w:t>
      </w:r>
      <w:r w:rsidR="004546C1">
        <w:rPr>
          <w:lang w:val="es-ES"/>
        </w:rPr>
        <w:t> </w:t>
      </w:r>
      <w:r w:rsidRPr="00335BAB">
        <w:rPr>
          <w:lang w:val="es-ES"/>
        </w:rPr>
        <w:t>A, pues ya no es pertinente para esta Recomendación.</w:t>
      </w:r>
    </w:p>
    <w:p w14:paraId="659AD3C0" w14:textId="4EE18163" w:rsidR="00335BAB" w:rsidRPr="00335BAB" w:rsidRDefault="00335BAB" w:rsidP="00335BAB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right" w:pos="9639"/>
        </w:tabs>
        <w:rPr>
          <w:lang w:val="es-ES"/>
        </w:rPr>
      </w:pPr>
      <w:r w:rsidRPr="00335BAB">
        <w:rPr>
          <w:u w:val="single"/>
          <w:lang w:val="es-ES"/>
        </w:rPr>
        <w:t>Proyecto de revisión de la Recomendación UIT-R BO.1130-4</w:t>
      </w:r>
      <w:r w:rsidRPr="00335BAB">
        <w:rPr>
          <w:lang w:val="es-ES"/>
        </w:rPr>
        <w:tab/>
        <w:t>Doc.</w:t>
      </w:r>
      <w:r w:rsidR="00B43401">
        <w:rPr>
          <w:lang w:val="es-ES"/>
        </w:rPr>
        <w:t> </w:t>
      </w:r>
      <w:r w:rsidRPr="00335BAB">
        <w:rPr>
          <w:lang w:val="es-ES"/>
        </w:rPr>
        <w:t>4/52</w:t>
      </w:r>
    </w:p>
    <w:p w14:paraId="7FBA4995" w14:textId="4E1C9881" w:rsidR="00335BAB" w:rsidRPr="00335BAB" w:rsidRDefault="00335BAB" w:rsidP="00335BAB">
      <w:pPr>
        <w:pStyle w:val="Rectitle"/>
        <w:rPr>
          <w:lang w:val="es-ES"/>
        </w:rPr>
      </w:pPr>
      <w:r w:rsidRPr="00335BAB">
        <w:rPr>
          <w:lang w:val="es-ES"/>
        </w:rPr>
        <w:t>Sistemas de radiodifusión digital por satélite para receptores instalados en vehículos, portátiles y fijos en las bandas atribuidas al servicio de radiodifusión (sonora) por satélite en la gama de frecuencias 1</w:t>
      </w:r>
      <w:r w:rsidR="00974E42">
        <w:rPr>
          <w:lang w:val="es-ES"/>
        </w:rPr>
        <w:t> </w:t>
      </w:r>
      <w:r w:rsidRPr="00335BAB">
        <w:rPr>
          <w:lang w:val="es-ES"/>
        </w:rPr>
        <w:t>400</w:t>
      </w:r>
      <w:r w:rsidR="00974E42">
        <w:rPr>
          <w:lang w:val="es-ES"/>
        </w:rPr>
        <w:noBreakHyphen/>
      </w:r>
      <w:r w:rsidRPr="00335BAB">
        <w:rPr>
          <w:lang w:val="es-ES"/>
        </w:rPr>
        <w:t>2</w:t>
      </w:r>
      <w:r w:rsidR="009158B6">
        <w:rPr>
          <w:lang w:val="es-ES"/>
        </w:rPr>
        <w:t> </w:t>
      </w:r>
      <w:r w:rsidRPr="00335BAB">
        <w:rPr>
          <w:lang w:val="es-ES"/>
        </w:rPr>
        <w:t>700</w:t>
      </w:r>
      <w:r w:rsidR="009158B6">
        <w:rPr>
          <w:lang w:val="es-ES"/>
        </w:rPr>
        <w:t> </w:t>
      </w:r>
      <w:r w:rsidRPr="00335BAB">
        <w:rPr>
          <w:lang w:val="es-ES"/>
        </w:rPr>
        <w:t>MHz</w:t>
      </w:r>
    </w:p>
    <w:p w14:paraId="28A5DB5B" w14:textId="03F335D5" w:rsidR="00335BAB" w:rsidRPr="00335BAB" w:rsidRDefault="00335BAB" w:rsidP="006F460A">
      <w:pPr>
        <w:rPr>
          <w:lang w:val="es-ES"/>
        </w:rPr>
      </w:pPr>
      <w:r w:rsidRPr="00335BAB">
        <w:rPr>
          <w:lang w:val="es-ES"/>
        </w:rPr>
        <w:t>Tras la actualización del Sistema Digital</w:t>
      </w:r>
      <w:r w:rsidR="00974E42">
        <w:rPr>
          <w:lang w:val="es-ES"/>
        </w:rPr>
        <w:t> </w:t>
      </w:r>
      <w:r w:rsidRPr="00335BAB">
        <w:rPr>
          <w:lang w:val="es-ES"/>
        </w:rPr>
        <w:t>A (Eureka-147</w:t>
      </w:r>
      <w:r w:rsidR="00974E42">
        <w:rPr>
          <w:lang w:val="es-ES"/>
        </w:rPr>
        <w:t> </w:t>
      </w:r>
      <w:r w:rsidRPr="00335BAB">
        <w:rPr>
          <w:lang w:val="es-ES"/>
        </w:rPr>
        <w:t>DAB), publicada en (ETSI</w:t>
      </w:r>
      <w:r w:rsidR="00974E42">
        <w:rPr>
          <w:lang w:val="es-ES"/>
        </w:rPr>
        <w:t> </w:t>
      </w:r>
      <w:r w:rsidRPr="00335BAB">
        <w:rPr>
          <w:lang w:val="es-ES"/>
        </w:rPr>
        <w:t>EN</w:t>
      </w:r>
      <w:r w:rsidR="00974E42">
        <w:rPr>
          <w:lang w:val="es-ES"/>
        </w:rPr>
        <w:t> </w:t>
      </w:r>
      <w:r w:rsidRPr="00335BAB">
        <w:rPr>
          <w:lang w:val="es-ES"/>
        </w:rPr>
        <w:t>300</w:t>
      </w:r>
      <w:r w:rsidR="00974E42">
        <w:rPr>
          <w:lang w:val="es-ES"/>
        </w:rPr>
        <w:t> </w:t>
      </w:r>
      <w:r w:rsidRPr="00335BAB">
        <w:rPr>
          <w:lang w:val="es-ES"/>
        </w:rPr>
        <w:t>401</w:t>
      </w:r>
      <w:r w:rsidR="00974E42">
        <w:rPr>
          <w:lang w:val="es-ES"/>
        </w:rPr>
        <w:t> </w:t>
      </w:r>
      <w:r w:rsidRPr="00335BAB">
        <w:rPr>
          <w:lang w:val="es-ES"/>
        </w:rPr>
        <w:t>V2.1.1 (2017-01)) y la supresión de los modos de transmisión</w:t>
      </w:r>
      <w:r w:rsidR="00974E42">
        <w:rPr>
          <w:lang w:val="es-ES"/>
        </w:rPr>
        <w:t> </w:t>
      </w:r>
      <w:r w:rsidRPr="00335BAB">
        <w:rPr>
          <w:lang w:val="es-ES"/>
        </w:rPr>
        <w:t>II, III y IV, sólo se conserva el modo</w:t>
      </w:r>
      <w:r w:rsidR="00974E42">
        <w:rPr>
          <w:lang w:val="es-ES"/>
        </w:rPr>
        <w:t> </w:t>
      </w:r>
      <w:r w:rsidRPr="00335BAB">
        <w:rPr>
          <w:lang w:val="es-ES"/>
        </w:rPr>
        <w:t>I designado para la radiodifusión terrenal en la banda de frecuencias 30</w:t>
      </w:r>
      <w:r w:rsidR="00974E42">
        <w:rPr>
          <w:lang w:val="es-ES"/>
        </w:rPr>
        <w:noBreakHyphen/>
      </w:r>
      <w:r w:rsidRPr="00335BAB">
        <w:rPr>
          <w:lang w:val="es-ES"/>
        </w:rPr>
        <w:t>300</w:t>
      </w:r>
      <w:r w:rsidR="00974E42">
        <w:rPr>
          <w:lang w:val="es-ES"/>
        </w:rPr>
        <w:t> </w:t>
      </w:r>
      <w:r w:rsidRPr="00335BAB">
        <w:rPr>
          <w:lang w:val="es-ES"/>
        </w:rPr>
        <w:t>MHz.</w:t>
      </w:r>
    </w:p>
    <w:p w14:paraId="7DDD0035" w14:textId="4C2C0EE5" w:rsidR="00335BAB" w:rsidRPr="00335BAB" w:rsidRDefault="00335BAB" w:rsidP="006F460A">
      <w:pPr>
        <w:rPr>
          <w:bCs/>
          <w:lang w:val="es-ES"/>
        </w:rPr>
      </w:pPr>
      <w:r w:rsidRPr="00335BAB">
        <w:rPr>
          <w:lang w:val="es-ES"/>
        </w:rPr>
        <w:t>En esta revisión se suprimen las referencias al Sistema</w:t>
      </w:r>
      <w:r w:rsidR="00974E42">
        <w:rPr>
          <w:lang w:val="es-ES"/>
        </w:rPr>
        <w:t> </w:t>
      </w:r>
      <w:r w:rsidRPr="00335BAB">
        <w:rPr>
          <w:lang w:val="es-ES"/>
        </w:rPr>
        <w:t>A, pues ya no es pertinente para esta Recomendación.</w:t>
      </w:r>
    </w:p>
    <w:p w14:paraId="225DDC67" w14:textId="3A460F18" w:rsidR="00335BAB" w:rsidRPr="00335BAB" w:rsidRDefault="00335BAB" w:rsidP="00335BAB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right" w:pos="9639"/>
        </w:tabs>
        <w:rPr>
          <w:lang w:val="es-ES"/>
        </w:rPr>
      </w:pPr>
      <w:r w:rsidRPr="00335BAB">
        <w:rPr>
          <w:u w:val="single"/>
          <w:lang w:val="es-ES"/>
        </w:rPr>
        <w:lastRenderedPageBreak/>
        <w:t>Proyecto de revisión de la Recomendación UIT-R BO.1504-0</w:t>
      </w:r>
      <w:r w:rsidRPr="00335BAB">
        <w:rPr>
          <w:lang w:val="es-ES"/>
        </w:rPr>
        <w:tab/>
        <w:t>Doc.</w:t>
      </w:r>
      <w:r w:rsidR="00B43401">
        <w:rPr>
          <w:lang w:val="es-ES"/>
        </w:rPr>
        <w:t> </w:t>
      </w:r>
      <w:r w:rsidRPr="00335BAB">
        <w:rPr>
          <w:lang w:val="es-ES"/>
        </w:rPr>
        <w:t>4/55</w:t>
      </w:r>
    </w:p>
    <w:p w14:paraId="05DD2BAC" w14:textId="2187CFC5" w:rsidR="00335BAB" w:rsidRPr="00335BAB" w:rsidRDefault="00335BAB" w:rsidP="00335BAB">
      <w:pPr>
        <w:pStyle w:val="Rectitle"/>
        <w:rPr>
          <w:lang w:val="es-ES"/>
        </w:rPr>
      </w:pPr>
      <w:r w:rsidRPr="00335BAB">
        <w:rPr>
          <w:lang w:val="es-ES"/>
        </w:rPr>
        <w:t xml:space="preserve">Utilización eficaz del espectro asignado al servicio </w:t>
      </w:r>
      <w:r w:rsidR="00974E42">
        <w:rPr>
          <w:lang w:val="es-ES"/>
        </w:rPr>
        <w:br/>
      </w:r>
      <w:r w:rsidRPr="00335BAB">
        <w:rPr>
          <w:lang w:val="es-ES"/>
        </w:rPr>
        <w:t>de radiodifusión por satélite (sonora)</w:t>
      </w:r>
    </w:p>
    <w:p w14:paraId="10E10735" w14:textId="5F00B7B6" w:rsidR="00335BAB" w:rsidRDefault="00335BAB" w:rsidP="006F460A">
      <w:pPr>
        <w:rPr>
          <w:lang w:val="es-ES"/>
        </w:rPr>
      </w:pPr>
      <w:r w:rsidRPr="00335BAB">
        <w:rPr>
          <w:lang w:val="es-ES"/>
        </w:rPr>
        <w:t>Tras la actualización del Sistema Digital</w:t>
      </w:r>
      <w:r w:rsidR="00974E42">
        <w:rPr>
          <w:lang w:val="es-ES"/>
        </w:rPr>
        <w:t> </w:t>
      </w:r>
      <w:r w:rsidRPr="00335BAB">
        <w:rPr>
          <w:lang w:val="es-ES"/>
        </w:rPr>
        <w:t>A (Eureka</w:t>
      </w:r>
      <w:r w:rsidR="00974E42">
        <w:rPr>
          <w:lang w:val="es-ES"/>
        </w:rPr>
        <w:noBreakHyphen/>
      </w:r>
      <w:r w:rsidRPr="00335BAB">
        <w:rPr>
          <w:lang w:val="es-ES"/>
        </w:rPr>
        <w:t>147</w:t>
      </w:r>
      <w:r w:rsidR="00974E42">
        <w:rPr>
          <w:lang w:val="es-ES"/>
        </w:rPr>
        <w:t> </w:t>
      </w:r>
      <w:r w:rsidRPr="00335BAB">
        <w:rPr>
          <w:lang w:val="es-ES"/>
        </w:rPr>
        <w:t>DAB), publicada en (ETSI</w:t>
      </w:r>
      <w:r w:rsidR="00974E42">
        <w:rPr>
          <w:lang w:val="es-ES"/>
        </w:rPr>
        <w:t> </w:t>
      </w:r>
      <w:r w:rsidRPr="00335BAB">
        <w:rPr>
          <w:lang w:val="es-ES"/>
        </w:rPr>
        <w:t>EN</w:t>
      </w:r>
      <w:r w:rsidR="00974E42">
        <w:rPr>
          <w:lang w:val="es-ES"/>
        </w:rPr>
        <w:t> </w:t>
      </w:r>
      <w:r w:rsidRPr="00335BAB">
        <w:rPr>
          <w:lang w:val="es-ES"/>
        </w:rPr>
        <w:t>300</w:t>
      </w:r>
      <w:r w:rsidR="00974E42">
        <w:rPr>
          <w:lang w:val="es-ES"/>
        </w:rPr>
        <w:t> </w:t>
      </w:r>
      <w:r w:rsidRPr="00335BAB">
        <w:rPr>
          <w:lang w:val="es-ES"/>
        </w:rPr>
        <w:t>401</w:t>
      </w:r>
      <w:r w:rsidR="00974E42">
        <w:rPr>
          <w:lang w:val="es-ES"/>
        </w:rPr>
        <w:t> </w:t>
      </w:r>
      <w:r w:rsidRPr="00335BAB">
        <w:rPr>
          <w:lang w:val="es-ES"/>
        </w:rPr>
        <w:t>V2.1.1 (2017-01)) y la supresión de los modos de transmisión</w:t>
      </w:r>
      <w:r w:rsidR="00974E42">
        <w:rPr>
          <w:lang w:val="es-ES"/>
        </w:rPr>
        <w:t> </w:t>
      </w:r>
      <w:r w:rsidRPr="00335BAB">
        <w:rPr>
          <w:lang w:val="es-ES"/>
        </w:rPr>
        <w:t>II, III y IV, sólo se conserva el modo</w:t>
      </w:r>
      <w:r w:rsidR="00974E42">
        <w:rPr>
          <w:lang w:val="es-ES"/>
        </w:rPr>
        <w:t> </w:t>
      </w:r>
      <w:r w:rsidRPr="00335BAB">
        <w:rPr>
          <w:lang w:val="es-ES"/>
        </w:rPr>
        <w:t>I designado para la radiodifusión terrenal en la banda de frecuencias 30</w:t>
      </w:r>
      <w:r w:rsidR="00974E42">
        <w:rPr>
          <w:lang w:val="es-ES"/>
        </w:rPr>
        <w:noBreakHyphen/>
      </w:r>
      <w:r w:rsidRPr="00335BAB">
        <w:rPr>
          <w:lang w:val="es-ES"/>
        </w:rPr>
        <w:t>300</w:t>
      </w:r>
      <w:r w:rsidR="00974E42">
        <w:rPr>
          <w:lang w:val="es-ES"/>
        </w:rPr>
        <w:t> </w:t>
      </w:r>
      <w:r w:rsidRPr="00335BAB">
        <w:rPr>
          <w:lang w:val="es-ES"/>
        </w:rPr>
        <w:t>MHz. En esta revisión se suprimen las referencias al Sistema</w:t>
      </w:r>
      <w:r w:rsidR="00974E42">
        <w:rPr>
          <w:lang w:val="es-ES"/>
        </w:rPr>
        <w:t> </w:t>
      </w:r>
      <w:r w:rsidRPr="00335BAB">
        <w:rPr>
          <w:lang w:val="es-ES"/>
        </w:rPr>
        <w:t xml:space="preserve">A, pues ya no es pertinente para esta Recomendación. Se han suprimido los </w:t>
      </w:r>
      <w:r w:rsidRPr="00335BAB">
        <w:rPr>
          <w:i/>
          <w:iCs/>
          <w:lang w:val="es-ES"/>
        </w:rPr>
        <w:t>invita a la</w:t>
      </w:r>
      <w:r w:rsidR="00974E42">
        <w:rPr>
          <w:i/>
          <w:iCs/>
          <w:lang w:val="es-ES"/>
        </w:rPr>
        <w:t> </w:t>
      </w:r>
      <w:r w:rsidRPr="00335BAB">
        <w:rPr>
          <w:i/>
          <w:iCs/>
          <w:lang w:val="es-ES"/>
        </w:rPr>
        <w:t xml:space="preserve">BR </w:t>
      </w:r>
      <w:r w:rsidRPr="00335BAB">
        <w:rPr>
          <w:lang w:val="es-ES"/>
        </w:rPr>
        <w:t>1 y 2 y se ha adaptado la terminología utilizada a la del Reglamento de Radiocomunicaciones.</w:t>
      </w:r>
    </w:p>
    <w:p w14:paraId="577A1097" w14:textId="00DB54E4" w:rsidR="00335BAB" w:rsidRDefault="00335BAB" w:rsidP="00335BAB">
      <w:pPr>
        <w:rPr>
          <w:lang w:val="es-ES"/>
        </w:rPr>
      </w:pPr>
      <w:r>
        <w:rPr>
          <w:lang w:val="es-ES"/>
        </w:rPr>
        <w:br w:type="page"/>
      </w:r>
    </w:p>
    <w:p w14:paraId="4B6830F1" w14:textId="01BF087E" w:rsidR="00CA4AEE" w:rsidRPr="00357EB8" w:rsidRDefault="00CA4AEE" w:rsidP="00357EB8">
      <w:pPr>
        <w:pStyle w:val="AnnexNoTitle"/>
        <w:rPr>
          <w:lang w:val="es-ES"/>
        </w:rPr>
      </w:pPr>
      <w:r w:rsidRPr="00357EB8">
        <w:rPr>
          <w:lang w:val="es-ES"/>
        </w:rPr>
        <w:lastRenderedPageBreak/>
        <w:t>Anexo 2</w:t>
      </w:r>
      <w:r w:rsidR="00357EB8" w:rsidRPr="00357EB8">
        <w:rPr>
          <w:lang w:val="es-ES"/>
        </w:rPr>
        <w:br/>
      </w:r>
      <w:r w:rsidR="00357EB8" w:rsidRPr="00357EB8">
        <w:rPr>
          <w:lang w:val="es-ES"/>
        </w:rPr>
        <w:br/>
      </w:r>
      <w:r w:rsidRPr="00357EB8">
        <w:rPr>
          <w:lang w:val="es-ES"/>
        </w:rPr>
        <w:t xml:space="preserve">Recomendación </w:t>
      </w:r>
      <w:r w:rsidR="0005691F">
        <w:rPr>
          <w:lang w:val="es-ES"/>
        </w:rPr>
        <w:t xml:space="preserve">UIT-R </w:t>
      </w:r>
      <w:r w:rsidRPr="00357EB8">
        <w:rPr>
          <w:lang w:val="es-ES"/>
        </w:rPr>
        <w:t>cuya supresión se propone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6107"/>
        <w:gridCol w:w="1837"/>
      </w:tblGrid>
      <w:tr w:rsidR="00CA4AEE" w:rsidRPr="00AF5EDB" w14:paraId="3330F43E" w14:textId="77777777" w:rsidTr="00974E42">
        <w:trPr>
          <w:cantSplit/>
          <w:tblHeader/>
          <w:jc w:val="center"/>
        </w:trPr>
        <w:tc>
          <w:tcPr>
            <w:tcW w:w="1693" w:type="dxa"/>
            <w:vAlign w:val="center"/>
            <w:hideMark/>
          </w:tcPr>
          <w:p w14:paraId="67E82A5A" w14:textId="77777777" w:rsidR="00CA4AEE" w:rsidRPr="00B57425" w:rsidRDefault="00CA4AEE" w:rsidP="00000725">
            <w:pPr>
              <w:pStyle w:val="Tablehead"/>
              <w:rPr>
                <w:rFonts w:asciiTheme="minorHAnsi" w:hAnsiTheme="minorHAnsi"/>
                <w:lang w:val="es-ES"/>
              </w:rPr>
            </w:pPr>
            <w:r w:rsidRPr="00475DD1">
              <w:rPr>
                <w:lang w:val="es-ES"/>
              </w:rPr>
              <w:t>Recomendación</w:t>
            </w:r>
            <w:r w:rsidRPr="00475DD1">
              <w:rPr>
                <w:lang w:val="es-ES"/>
              </w:rPr>
              <w:br/>
              <w:t>UIT-R</w:t>
            </w:r>
          </w:p>
        </w:tc>
        <w:tc>
          <w:tcPr>
            <w:tcW w:w="6101" w:type="dxa"/>
            <w:vAlign w:val="center"/>
            <w:hideMark/>
          </w:tcPr>
          <w:p w14:paraId="50ADA2F3" w14:textId="77777777" w:rsidR="00CA4AEE" w:rsidRPr="00B57425" w:rsidRDefault="00CA4AEE" w:rsidP="00000725">
            <w:pPr>
              <w:pStyle w:val="Tablehead"/>
              <w:rPr>
                <w:rFonts w:asciiTheme="minorHAnsi" w:hAnsiTheme="minorHAnsi"/>
                <w:lang w:val="es-ES"/>
              </w:rPr>
            </w:pPr>
            <w:r w:rsidRPr="00000725">
              <w:t>Título</w:t>
            </w:r>
          </w:p>
        </w:tc>
        <w:tc>
          <w:tcPr>
            <w:tcW w:w="1835" w:type="dxa"/>
            <w:vAlign w:val="center"/>
          </w:tcPr>
          <w:p w14:paraId="30511F77" w14:textId="77777777" w:rsidR="00CA4AEE" w:rsidRPr="00AF5EDB" w:rsidRDefault="00CA4AEE" w:rsidP="00000725">
            <w:pPr>
              <w:pStyle w:val="Tablehead"/>
              <w:rPr>
                <w:lang w:val="en-GB"/>
              </w:rPr>
            </w:pPr>
            <w:r w:rsidRPr="00000725">
              <w:t>Documento</w:t>
            </w:r>
          </w:p>
        </w:tc>
      </w:tr>
      <w:tr w:rsidR="00CA4AEE" w:rsidRPr="00AF5EDB" w14:paraId="582D52D6" w14:textId="77777777" w:rsidTr="00974E42">
        <w:trPr>
          <w:cantSplit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CA75" w14:textId="01118E21" w:rsidR="00CA4AEE" w:rsidRPr="00357EB8" w:rsidRDefault="00335BAB" w:rsidP="00357EB8">
            <w:pPr>
              <w:pStyle w:val="Tabletext"/>
              <w:jc w:val="center"/>
              <w:rPr>
                <w:highlight w:val="yellow"/>
              </w:rPr>
            </w:pPr>
            <w:r w:rsidRPr="00335BAB">
              <w:t>M.632-3</w:t>
            </w:r>
          </w:p>
        </w:tc>
        <w:tc>
          <w:tcPr>
            <w:tcW w:w="6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E5D7" w14:textId="49087D76" w:rsidR="00CA4AEE" w:rsidRPr="00335BAB" w:rsidRDefault="00335BAB" w:rsidP="00F60C8A">
            <w:pPr>
              <w:pStyle w:val="Tabletext"/>
              <w:rPr>
                <w:rFonts w:asciiTheme="minorHAnsi" w:hAnsiTheme="minorHAnsi"/>
                <w:highlight w:val="yellow"/>
                <w:lang w:val="es-ES"/>
              </w:rPr>
            </w:pPr>
            <w:r w:rsidRPr="00335BAB">
              <w:rPr>
                <w:lang w:val="es-ES"/>
              </w:rPr>
              <w:t>Características de transmisión de un sistema de radiobalizas de localización de siniestros por satélite (RLS por satélite) que funciona con satélites geoestacionarios en la banda de 1,6</w:t>
            </w:r>
            <w:r w:rsidR="00974E42">
              <w:rPr>
                <w:lang w:val="es-ES"/>
              </w:rPr>
              <w:t> </w:t>
            </w:r>
            <w:r w:rsidRPr="00335BAB">
              <w:rPr>
                <w:lang w:val="es-ES"/>
              </w:rPr>
              <w:t>GHz</w:t>
            </w:r>
          </w:p>
        </w:tc>
        <w:tc>
          <w:tcPr>
            <w:tcW w:w="1835" w:type="dxa"/>
          </w:tcPr>
          <w:p w14:paraId="4FBB1BFB" w14:textId="14C281C9" w:rsidR="00CA4AEE" w:rsidRPr="00357EB8" w:rsidRDefault="00335BAB" w:rsidP="00357EB8">
            <w:pPr>
              <w:pStyle w:val="Tabletext"/>
              <w:jc w:val="center"/>
            </w:pPr>
            <w:r w:rsidRPr="00335BAB">
              <w:t>4/48</w:t>
            </w:r>
          </w:p>
        </w:tc>
      </w:tr>
    </w:tbl>
    <w:p w14:paraId="43560D5A" w14:textId="77777777" w:rsidR="00357EB8" w:rsidRDefault="00357EB8" w:rsidP="00357EB8"/>
    <w:p w14:paraId="574B0365" w14:textId="77777777" w:rsidR="00357EB8" w:rsidRDefault="00357EB8">
      <w:pPr>
        <w:jc w:val="center"/>
      </w:pPr>
      <w:r>
        <w:t>______________</w:t>
      </w:r>
    </w:p>
    <w:sectPr w:rsidR="00357EB8" w:rsidSect="00547C9F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0B9C89CE" w:rsidR="005370F0" w:rsidRPr="00C30B75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21716E5A" w:rsidR="00E915AF" w:rsidRPr="00D239B4" w:rsidRDefault="00D97EF5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51320B7E" w:rsidR="00E915AF" w:rsidRPr="00357EB8" w:rsidRDefault="00357EB8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256A" w14:textId="47084310" w:rsidR="00547C9F" w:rsidRPr="001B3D4D" w:rsidRDefault="00547C9F" w:rsidP="00547C9F">
    <w:pPr>
      <w:pStyle w:val="Header"/>
      <w:spacing w:before="840"/>
      <w:jc w:val="center"/>
    </w:pPr>
    <w:r>
      <w:rPr>
        <w:noProof/>
      </w:rPr>
      <w:drawing>
        <wp:inline distT="0" distB="0" distL="0" distR="0" wp14:anchorId="16979F1C" wp14:editId="065D5EBE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C4D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82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8B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787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A4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63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E2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A3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00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EB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01461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604803">
    <w:abstractNumId w:val="15"/>
  </w:num>
  <w:num w:numId="3" w16cid:durableId="1372147769">
    <w:abstractNumId w:val="9"/>
  </w:num>
  <w:num w:numId="4" w16cid:durableId="1872067121">
    <w:abstractNumId w:val="7"/>
  </w:num>
  <w:num w:numId="5" w16cid:durableId="713846086">
    <w:abstractNumId w:val="6"/>
  </w:num>
  <w:num w:numId="6" w16cid:durableId="252707406">
    <w:abstractNumId w:val="5"/>
  </w:num>
  <w:num w:numId="7" w16cid:durableId="396560593">
    <w:abstractNumId w:val="4"/>
  </w:num>
  <w:num w:numId="8" w16cid:durableId="1510679194">
    <w:abstractNumId w:val="8"/>
  </w:num>
  <w:num w:numId="9" w16cid:durableId="132456077">
    <w:abstractNumId w:val="3"/>
  </w:num>
  <w:num w:numId="10" w16cid:durableId="1834102326">
    <w:abstractNumId w:val="2"/>
  </w:num>
  <w:num w:numId="11" w16cid:durableId="913053854">
    <w:abstractNumId w:val="1"/>
  </w:num>
  <w:num w:numId="12" w16cid:durableId="58662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0725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691F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1108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96F36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17EB1"/>
    <w:rsid w:val="003266ED"/>
    <w:rsid w:val="00326C68"/>
    <w:rsid w:val="0033029C"/>
    <w:rsid w:val="00335BAB"/>
    <w:rsid w:val="003362FB"/>
    <w:rsid w:val="003370B8"/>
    <w:rsid w:val="00345D38"/>
    <w:rsid w:val="00352097"/>
    <w:rsid w:val="00353E34"/>
    <w:rsid w:val="00357EB8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546C1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47C9F"/>
    <w:rsid w:val="00553364"/>
    <w:rsid w:val="00553DD7"/>
    <w:rsid w:val="005638CF"/>
    <w:rsid w:val="005657AC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3C2A"/>
    <w:rsid w:val="006047E5"/>
    <w:rsid w:val="0064371D"/>
    <w:rsid w:val="00650543"/>
    <w:rsid w:val="00650B2A"/>
    <w:rsid w:val="00651777"/>
    <w:rsid w:val="006550F8"/>
    <w:rsid w:val="00663677"/>
    <w:rsid w:val="00665FC6"/>
    <w:rsid w:val="006829F3"/>
    <w:rsid w:val="006A518B"/>
    <w:rsid w:val="006B0590"/>
    <w:rsid w:val="006B49DA"/>
    <w:rsid w:val="006C53F8"/>
    <w:rsid w:val="006C7CDE"/>
    <w:rsid w:val="006F460A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158B6"/>
    <w:rsid w:val="00925023"/>
    <w:rsid w:val="009277BC"/>
    <w:rsid w:val="00927D57"/>
    <w:rsid w:val="00931A51"/>
    <w:rsid w:val="00947185"/>
    <w:rsid w:val="00950DD3"/>
    <w:rsid w:val="009518B3"/>
    <w:rsid w:val="00963D9D"/>
    <w:rsid w:val="00974E42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538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C710A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43401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2478"/>
    <w:rsid w:val="00BE63DB"/>
    <w:rsid w:val="00BE6574"/>
    <w:rsid w:val="00BF577D"/>
    <w:rsid w:val="00C07319"/>
    <w:rsid w:val="00C16FD2"/>
    <w:rsid w:val="00C30B75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AEE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1FC2"/>
    <w:rsid w:val="00D63BFF"/>
    <w:rsid w:val="00D6790C"/>
    <w:rsid w:val="00D73277"/>
    <w:rsid w:val="00D76586"/>
    <w:rsid w:val="00D82657"/>
    <w:rsid w:val="00D87E20"/>
    <w:rsid w:val="00D97EF5"/>
    <w:rsid w:val="00DA4037"/>
    <w:rsid w:val="00DB57DF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100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596C"/>
    <w:rsid w:val="00F424BF"/>
    <w:rsid w:val="00F44FC3"/>
    <w:rsid w:val="00F46107"/>
    <w:rsid w:val="00F468C5"/>
    <w:rsid w:val="00F52F39"/>
    <w:rsid w:val="00F6184F"/>
    <w:rsid w:val="00F8310E"/>
    <w:rsid w:val="00F84400"/>
    <w:rsid w:val="00F914DD"/>
    <w:rsid w:val="00FA2358"/>
    <w:rsid w:val="00FA410F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57EB8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CA4AE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CA4AE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TabletextChar">
    <w:name w:val="Table_text Char"/>
    <w:link w:val="Tabletext"/>
    <w:uiPriority w:val="99"/>
    <w:locked/>
    <w:rsid w:val="00CA4AE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CA4AEE"/>
    <w:rPr>
      <w:b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603C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EB8"/>
    <w:rPr>
      <w:color w:val="808080"/>
    </w:rPr>
  </w:style>
  <w:style w:type="paragraph" w:customStyle="1" w:styleId="Summary">
    <w:name w:val="Summary"/>
    <w:basedOn w:val="Normal"/>
    <w:next w:val="Normal"/>
    <w:autoRedefine/>
    <w:rsid w:val="00335BAB"/>
    <w:pPr>
      <w:spacing w:before="240" w:line="240" w:lineRule="auto"/>
    </w:pPr>
    <w:rPr>
      <w:rFonts w:asciiTheme="minorHAnsi" w:hAnsiTheme="minorHAnsi" w:cstheme="minorHAnsi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7EB8"/>
    <w:rPr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/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4-C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s/ITU-T/ipr/Pages/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C/e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D8A8-9E67-426A-9E67-B07FC741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1071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7180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6</cp:revision>
  <cp:lastPrinted>2013-03-08T10:15:00Z</cp:lastPrinted>
  <dcterms:created xsi:type="dcterms:W3CDTF">2025-12-12T13:34:00Z</dcterms:created>
  <dcterms:modified xsi:type="dcterms:W3CDTF">2025-12-17T15:41:00Z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