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727"/>
      </w:tblGrid>
      <w:tr w:rsidR="00EA15B3" w:rsidRPr="005B76E6" w14:paraId="12D6788D" w14:textId="77777777" w:rsidTr="00165D31">
        <w:trPr>
          <w:jc w:val="center"/>
        </w:trPr>
        <w:tc>
          <w:tcPr>
            <w:tcW w:w="9781" w:type="dxa"/>
            <w:gridSpan w:val="3"/>
          </w:tcPr>
          <w:p w14:paraId="39412287" w14:textId="1B3CE3EA" w:rsidR="008E38B4" w:rsidRPr="005B76E6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5B76E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5B76E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5B76E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5B76E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5B76E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5B76E6" w14:paraId="1C4E49CF" w14:textId="77777777" w:rsidTr="00165D31">
        <w:trPr>
          <w:jc w:val="center"/>
        </w:trPr>
        <w:tc>
          <w:tcPr>
            <w:tcW w:w="7054" w:type="dxa"/>
            <w:gridSpan w:val="2"/>
          </w:tcPr>
          <w:p w14:paraId="48DB7517" w14:textId="77777777" w:rsidR="00C76D7F" w:rsidRPr="005B76E6" w:rsidRDefault="00456812" w:rsidP="00E3193E">
            <w:pPr>
              <w:spacing w:before="0"/>
            </w:pPr>
            <w:r w:rsidRPr="005B76E6">
              <w:t>Административный циркуляр</w:t>
            </w:r>
          </w:p>
          <w:p w14:paraId="2627D237" w14:textId="7568EB44" w:rsidR="00651777" w:rsidRPr="005B76E6" w:rsidRDefault="00E17344" w:rsidP="00E3193E">
            <w:pPr>
              <w:spacing w:before="0"/>
              <w:rPr>
                <w:b/>
                <w:bCs/>
              </w:rPr>
            </w:pPr>
            <w:r w:rsidRPr="005B76E6">
              <w:rPr>
                <w:b/>
                <w:bCs/>
              </w:rPr>
              <w:t>CA</w:t>
            </w:r>
            <w:r w:rsidR="004A7970" w:rsidRPr="005B76E6">
              <w:rPr>
                <w:b/>
                <w:bCs/>
              </w:rPr>
              <w:t>CE</w:t>
            </w:r>
            <w:r w:rsidR="003836D4" w:rsidRPr="005B76E6">
              <w:rPr>
                <w:b/>
                <w:bCs/>
              </w:rPr>
              <w:t>/</w:t>
            </w:r>
            <w:r w:rsidR="00A5696C" w:rsidRPr="005B76E6">
              <w:rPr>
                <w:b/>
                <w:bCs/>
              </w:rPr>
              <w:t>1166</w:t>
            </w:r>
          </w:p>
        </w:tc>
        <w:tc>
          <w:tcPr>
            <w:tcW w:w="2727" w:type="dxa"/>
          </w:tcPr>
          <w:p w14:paraId="60B8602B" w14:textId="30E9F4E8" w:rsidR="00651777" w:rsidRPr="005B76E6" w:rsidRDefault="00A5696C" w:rsidP="00E3193E">
            <w:pPr>
              <w:spacing w:before="0"/>
              <w:jc w:val="right"/>
            </w:pPr>
            <w:r w:rsidRPr="005B76E6">
              <w:rPr>
                <w:rFonts w:cs="Arial"/>
                <w:szCs w:val="24"/>
              </w:rPr>
              <w:t>18 декабря 2025 года</w:t>
            </w:r>
          </w:p>
        </w:tc>
      </w:tr>
      <w:tr w:rsidR="0037309C" w:rsidRPr="005B76E6" w14:paraId="75BA503D" w14:textId="77777777" w:rsidTr="00165D31">
        <w:trPr>
          <w:jc w:val="center"/>
        </w:trPr>
        <w:tc>
          <w:tcPr>
            <w:tcW w:w="9781" w:type="dxa"/>
            <w:gridSpan w:val="3"/>
          </w:tcPr>
          <w:p w14:paraId="02724B2B" w14:textId="77777777" w:rsidR="0037309C" w:rsidRPr="005B76E6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5B76E6" w14:paraId="65D7137A" w14:textId="77777777" w:rsidTr="00165D31">
        <w:trPr>
          <w:jc w:val="center"/>
        </w:trPr>
        <w:tc>
          <w:tcPr>
            <w:tcW w:w="9781" w:type="dxa"/>
            <w:gridSpan w:val="3"/>
          </w:tcPr>
          <w:p w14:paraId="07A52708" w14:textId="77777777" w:rsidR="0037309C" w:rsidRPr="005B76E6" w:rsidRDefault="0037309C" w:rsidP="00E3193E">
            <w:pPr>
              <w:spacing w:before="0"/>
            </w:pPr>
          </w:p>
        </w:tc>
      </w:tr>
      <w:tr w:rsidR="0037309C" w:rsidRPr="005B76E6" w14:paraId="055821C3" w14:textId="77777777" w:rsidTr="00165D31">
        <w:trPr>
          <w:jc w:val="center"/>
        </w:trPr>
        <w:tc>
          <w:tcPr>
            <w:tcW w:w="9781" w:type="dxa"/>
            <w:gridSpan w:val="3"/>
          </w:tcPr>
          <w:p w14:paraId="07132AA8" w14:textId="3A2AAAFC" w:rsidR="00D21694" w:rsidRPr="005B76E6" w:rsidRDefault="00456812" w:rsidP="00491B8F">
            <w:pPr>
              <w:spacing w:before="0"/>
              <w:rPr>
                <w:b/>
                <w:bCs/>
              </w:rPr>
            </w:pPr>
            <w:r w:rsidRPr="005B76E6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165D31" w:rsidRPr="005B76E6">
              <w:rPr>
                <w:b/>
                <w:bCs/>
              </w:rPr>
              <w:t xml:space="preserve"> и Академическим организациям – Членам МСЭ</w:t>
            </w:r>
            <w:r w:rsidRPr="005B76E6">
              <w:rPr>
                <w:b/>
                <w:bCs/>
              </w:rPr>
              <w:t xml:space="preserve">, участвующим в работе </w:t>
            </w:r>
            <w:r w:rsidR="00A5696C" w:rsidRPr="005B76E6">
              <w:rPr>
                <w:b/>
                <w:bCs/>
              </w:rPr>
              <w:t>4</w:t>
            </w:r>
            <w:r w:rsidR="00165D31" w:rsidRPr="005B76E6">
              <w:rPr>
                <w:b/>
                <w:bCs/>
              </w:rPr>
              <w:noBreakHyphen/>
            </w:r>
            <w:r w:rsidRPr="005B76E6">
              <w:rPr>
                <w:b/>
                <w:bCs/>
              </w:rPr>
              <w:t>й</w:t>
            </w:r>
            <w:r w:rsidR="00165D31" w:rsidRPr="005B76E6">
              <w:rPr>
                <w:b/>
                <w:bCs/>
              </w:rPr>
              <w:t> </w:t>
            </w:r>
            <w:r w:rsidRPr="005B76E6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37309C" w:rsidRPr="005B76E6" w14:paraId="13BF7C0A" w14:textId="77777777" w:rsidTr="00165D31">
        <w:trPr>
          <w:jc w:val="center"/>
        </w:trPr>
        <w:tc>
          <w:tcPr>
            <w:tcW w:w="9781" w:type="dxa"/>
            <w:gridSpan w:val="3"/>
          </w:tcPr>
          <w:p w14:paraId="2113E832" w14:textId="77777777" w:rsidR="0037309C" w:rsidRPr="005B76E6" w:rsidRDefault="0037309C" w:rsidP="00E3193E">
            <w:pPr>
              <w:spacing w:before="0"/>
            </w:pPr>
          </w:p>
        </w:tc>
      </w:tr>
      <w:tr w:rsidR="0037309C" w:rsidRPr="005B76E6" w14:paraId="72225F23" w14:textId="77777777" w:rsidTr="00165D31">
        <w:trPr>
          <w:jc w:val="center"/>
        </w:trPr>
        <w:tc>
          <w:tcPr>
            <w:tcW w:w="9781" w:type="dxa"/>
            <w:gridSpan w:val="3"/>
          </w:tcPr>
          <w:p w14:paraId="3406561D" w14:textId="77777777" w:rsidR="0037309C" w:rsidRPr="005B76E6" w:rsidRDefault="0037309C" w:rsidP="00E3193E">
            <w:pPr>
              <w:spacing w:before="0"/>
            </w:pPr>
          </w:p>
        </w:tc>
      </w:tr>
      <w:tr w:rsidR="00B4054B" w:rsidRPr="005B76E6" w14:paraId="07246167" w14:textId="77777777" w:rsidTr="00165D31">
        <w:trPr>
          <w:jc w:val="center"/>
        </w:trPr>
        <w:tc>
          <w:tcPr>
            <w:tcW w:w="1526" w:type="dxa"/>
          </w:tcPr>
          <w:p w14:paraId="2BA8C24B" w14:textId="77777777" w:rsidR="00B4054B" w:rsidRPr="005B76E6" w:rsidRDefault="00456812" w:rsidP="00165D31">
            <w:pPr>
              <w:spacing w:before="0"/>
            </w:pPr>
            <w:r w:rsidRPr="005B76E6">
              <w:t>Предмет</w:t>
            </w:r>
            <w:r w:rsidR="00B4054B" w:rsidRPr="005B76E6">
              <w:t>:</w:t>
            </w:r>
          </w:p>
        </w:tc>
        <w:tc>
          <w:tcPr>
            <w:tcW w:w="8255" w:type="dxa"/>
            <w:gridSpan w:val="2"/>
            <w:vMerge w:val="restart"/>
          </w:tcPr>
          <w:p w14:paraId="04328566" w14:textId="0DAA58FF" w:rsidR="00C9704C" w:rsidRPr="005B76E6" w:rsidRDefault="00A5696C" w:rsidP="00165D31">
            <w:pPr>
              <w:tabs>
                <w:tab w:val="left" w:pos="493"/>
              </w:tabs>
              <w:spacing w:before="0"/>
              <w:rPr>
                <w:b/>
                <w:bCs/>
              </w:rPr>
            </w:pPr>
            <w:r w:rsidRPr="005B76E6">
              <w:rPr>
                <w:b/>
                <w:bCs/>
              </w:rPr>
              <w:t>4</w:t>
            </w:r>
            <w:r w:rsidR="004114DD" w:rsidRPr="005B76E6">
              <w:rPr>
                <w:b/>
                <w:bCs/>
              </w:rPr>
              <w:t>-я Исследовательская комиссия по радиосвязи</w:t>
            </w:r>
            <w:r w:rsidR="004114DD" w:rsidRPr="005B76E6">
              <w:rPr>
                <w:b/>
              </w:rPr>
              <w:t xml:space="preserve"> </w:t>
            </w:r>
            <w:r w:rsidR="004114DD" w:rsidRPr="005B76E6">
              <w:rPr>
                <w:b/>
                <w:bCs/>
              </w:rPr>
              <w:t>(</w:t>
            </w:r>
            <w:r w:rsidR="00DD0E20" w:rsidRPr="005B76E6">
              <w:rPr>
                <w:b/>
                <w:bCs/>
              </w:rPr>
              <w:t>Спутниковые службы</w:t>
            </w:r>
            <w:r w:rsidR="004114DD" w:rsidRPr="005B76E6">
              <w:rPr>
                <w:b/>
                <w:bCs/>
              </w:rPr>
              <w:t>)</w:t>
            </w:r>
          </w:p>
          <w:p w14:paraId="21345ED7" w14:textId="436F7580" w:rsidR="00C9704C" w:rsidRPr="005B76E6" w:rsidRDefault="00C9704C" w:rsidP="00491B8F">
            <w:pPr>
              <w:tabs>
                <w:tab w:val="left" w:pos="493"/>
              </w:tabs>
              <w:ind w:left="493" w:hanging="493"/>
              <w:rPr>
                <w:b/>
                <w:bCs/>
              </w:rPr>
            </w:pPr>
            <w:r w:rsidRPr="005B76E6">
              <w:rPr>
                <w:b/>
                <w:bCs/>
              </w:rPr>
              <w:t>–</w:t>
            </w:r>
            <w:r w:rsidRPr="005B76E6">
              <w:rPr>
                <w:b/>
                <w:bCs/>
              </w:rPr>
              <w:tab/>
              <w:t xml:space="preserve">Предлагаемое одобрение проектов </w:t>
            </w:r>
            <w:r w:rsidR="00A5696C" w:rsidRPr="005B76E6">
              <w:rPr>
                <w:b/>
                <w:bCs/>
              </w:rPr>
              <w:t>четырех</w:t>
            </w:r>
            <w:r w:rsidR="0071614B" w:rsidRPr="005B76E6">
              <w:rPr>
                <w:b/>
                <w:bCs/>
              </w:rPr>
              <w:t> </w:t>
            </w:r>
            <w:r w:rsidRPr="005B76E6">
              <w:rPr>
                <w:b/>
                <w:bCs/>
              </w:rPr>
              <w:t xml:space="preserve">пересмотренных Рекомендаций </w:t>
            </w:r>
            <w:r w:rsidR="004E11C2" w:rsidRPr="005B76E6">
              <w:rPr>
                <w:b/>
                <w:bCs/>
              </w:rPr>
              <w:t xml:space="preserve">МСЭ-R </w:t>
            </w:r>
            <w:r w:rsidRPr="005B76E6">
              <w:rPr>
                <w:b/>
                <w:bCs/>
              </w:rPr>
              <w:t>и их одновременное утверждение по переписке в соответствии с п.</w:t>
            </w:r>
            <w:r w:rsidR="003F1BEB" w:rsidRPr="005B76E6">
              <w:rPr>
                <w:b/>
                <w:bCs/>
              </w:rPr>
              <w:t> </w:t>
            </w:r>
            <w:r w:rsidRPr="005B76E6">
              <w:rPr>
                <w:b/>
                <w:bCs/>
              </w:rPr>
              <w:t>A2.6.2.4 Резолюции МСЭ-R</w:t>
            </w:r>
            <w:r w:rsidR="003F1BEB" w:rsidRPr="005B76E6">
              <w:rPr>
                <w:b/>
                <w:bCs/>
              </w:rPr>
              <w:t> </w:t>
            </w:r>
            <w:r w:rsidRPr="005B76E6">
              <w:rPr>
                <w:b/>
                <w:bCs/>
              </w:rPr>
              <w:t>1-</w:t>
            </w:r>
            <w:r w:rsidR="00165D31" w:rsidRPr="005B76E6">
              <w:rPr>
                <w:b/>
                <w:bCs/>
              </w:rPr>
              <w:t>9</w:t>
            </w:r>
            <w:r w:rsidRPr="005B76E6">
              <w:rPr>
                <w:b/>
                <w:bCs/>
              </w:rPr>
              <w:t xml:space="preserve"> (Процедура одновременного одобрения и утверждения по переписке)</w:t>
            </w:r>
          </w:p>
          <w:p w14:paraId="71272E33" w14:textId="16FC71DC" w:rsidR="004A7970" w:rsidRPr="005B76E6" w:rsidRDefault="00A15E72" w:rsidP="00A15E72">
            <w:pPr>
              <w:tabs>
                <w:tab w:val="left" w:pos="493"/>
                <w:tab w:val="left" w:pos="1418"/>
              </w:tabs>
              <w:rPr>
                <w:szCs w:val="22"/>
              </w:rPr>
            </w:pPr>
            <w:r w:rsidRPr="005B76E6">
              <w:rPr>
                <w:b/>
                <w:bCs/>
                <w:szCs w:val="22"/>
              </w:rPr>
              <w:t>−</w:t>
            </w:r>
            <w:r w:rsidRPr="005B76E6">
              <w:rPr>
                <w:b/>
                <w:bCs/>
                <w:szCs w:val="22"/>
              </w:rPr>
              <w:tab/>
            </w:r>
            <w:r w:rsidR="00C9704C" w:rsidRPr="005B76E6">
              <w:rPr>
                <w:b/>
                <w:bCs/>
                <w:szCs w:val="22"/>
              </w:rPr>
              <w:t xml:space="preserve">Предлагаемое исключение </w:t>
            </w:r>
            <w:r w:rsidR="001A40AC" w:rsidRPr="005B76E6">
              <w:rPr>
                <w:b/>
                <w:bCs/>
                <w:szCs w:val="22"/>
              </w:rPr>
              <w:t xml:space="preserve">одной </w:t>
            </w:r>
            <w:r w:rsidR="00C9704C" w:rsidRPr="005B76E6">
              <w:rPr>
                <w:b/>
                <w:bCs/>
                <w:szCs w:val="22"/>
              </w:rPr>
              <w:t>Рекомендаци</w:t>
            </w:r>
            <w:r w:rsidR="001A40AC" w:rsidRPr="005B76E6">
              <w:rPr>
                <w:b/>
                <w:bCs/>
                <w:szCs w:val="22"/>
              </w:rPr>
              <w:t>и</w:t>
            </w:r>
            <w:r w:rsidR="00C9704C" w:rsidRPr="005B76E6">
              <w:rPr>
                <w:b/>
                <w:bCs/>
                <w:szCs w:val="22"/>
              </w:rPr>
              <w:t xml:space="preserve"> МСЭ-R</w:t>
            </w:r>
          </w:p>
        </w:tc>
      </w:tr>
      <w:tr w:rsidR="00B4054B" w:rsidRPr="005B76E6" w14:paraId="126DFB4D" w14:textId="77777777" w:rsidTr="00165D31">
        <w:trPr>
          <w:jc w:val="center"/>
        </w:trPr>
        <w:tc>
          <w:tcPr>
            <w:tcW w:w="1526" w:type="dxa"/>
          </w:tcPr>
          <w:p w14:paraId="19B95E19" w14:textId="77777777" w:rsidR="00B4054B" w:rsidRPr="005B76E6" w:rsidRDefault="00B4054B" w:rsidP="00E3193E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775BA8F7" w14:textId="77777777" w:rsidR="00B4054B" w:rsidRPr="005B76E6" w:rsidRDefault="00B4054B" w:rsidP="00E3193E">
            <w:pPr>
              <w:spacing w:before="0"/>
              <w:rPr>
                <w:b/>
                <w:bCs/>
              </w:rPr>
            </w:pPr>
          </w:p>
        </w:tc>
      </w:tr>
      <w:tr w:rsidR="00B4054B" w:rsidRPr="005B76E6" w14:paraId="47BC0C25" w14:textId="77777777" w:rsidTr="00165D31">
        <w:trPr>
          <w:jc w:val="center"/>
        </w:trPr>
        <w:tc>
          <w:tcPr>
            <w:tcW w:w="1526" w:type="dxa"/>
          </w:tcPr>
          <w:p w14:paraId="204E7E49" w14:textId="77777777" w:rsidR="00B4054B" w:rsidRPr="005B76E6" w:rsidRDefault="00B4054B" w:rsidP="00E3193E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7E4F6AAB" w14:textId="77777777" w:rsidR="00B4054B" w:rsidRPr="005B76E6" w:rsidRDefault="00B4054B" w:rsidP="00E3193E">
            <w:pPr>
              <w:spacing w:before="0"/>
              <w:rPr>
                <w:b/>
                <w:bCs/>
              </w:rPr>
            </w:pPr>
          </w:p>
        </w:tc>
      </w:tr>
      <w:tr w:rsidR="00C51E92" w:rsidRPr="005B76E6" w14:paraId="47683747" w14:textId="77777777" w:rsidTr="00165D31">
        <w:trPr>
          <w:jc w:val="center"/>
        </w:trPr>
        <w:tc>
          <w:tcPr>
            <w:tcW w:w="9781" w:type="dxa"/>
            <w:gridSpan w:val="3"/>
          </w:tcPr>
          <w:p w14:paraId="142AC22F" w14:textId="77777777" w:rsidR="00C51E92" w:rsidRPr="005B76E6" w:rsidRDefault="00C51E92" w:rsidP="00E3193E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</w:tr>
    </w:tbl>
    <w:p w14:paraId="278A2AE9" w14:textId="74979D95" w:rsidR="00705F1D" w:rsidRPr="005B76E6" w:rsidRDefault="00705F1D" w:rsidP="00A52A28">
      <w:pPr>
        <w:spacing w:before="480"/>
        <w:jc w:val="both"/>
        <w:rPr>
          <w:rFonts w:cstheme="majorBidi"/>
        </w:rPr>
      </w:pPr>
      <w:r w:rsidRPr="005B76E6">
        <w:t xml:space="preserve">На собрании </w:t>
      </w:r>
      <w:r w:rsidR="001A40AC" w:rsidRPr="005B76E6">
        <w:t>4</w:t>
      </w:r>
      <w:r w:rsidRPr="005B76E6">
        <w:t xml:space="preserve">-й Исследовательской комиссии по радиосвязи, состоявшемся </w:t>
      </w:r>
      <w:bookmarkStart w:id="0" w:name="_Hlk157673351"/>
      <w:r w:rsidR="001A40AC" w:rsidRPr="005B76E6">
        <w:t xml:space="preserve">7 ноября </w:t>
      </w:r>
      <w:bookmarkEnd w:id="0"/>
      <w:r w:rsidRPr="005B76E6">
        <w:t>20</w:t>
      </w:r>
      <w:r w:rsidR="001A40AC" w:rsidRPr="005B76E6">
        <w:t>25</w:t>
      </w:r>
      <w:r w:rsidRPr="005B76E6">
        <w:t xml:space="preserve"> года, Исследовательская комиссия </w:t>
      </w:r>
      <w:r w:rsidR="0071614B" w:rsidRPr="005B76E6">
        <w:t xml:space="preserve">приняла </w:t>
      </w:r>
      <w:r w:rsidRPr="005B76E6">
        <w:t>реш</w:t>
      </w:r>
      <w:r w:rsidR="0071614B" w:rsidRPr="005B76E6">
        <w:t>ение</w:t>
      </w:r>
      <w:r w:rsidRPr="005B76E6">
        <w:t xml:space="preserve"> добиваться одобрения проектов </w:t>
      </w:r>
      <w:r w:rsidR="001A40AC" w:rsidRPr="005B76E6">
        <w:t>4</w:t>
      </w:r>
      <w:r w:rsidR="00A52A28" w:rsidRPr="005B76E6">
        <w:t> </w:t>
      </w:r>
      <w:r w:rsidR="00C87CE6" w:rsidRPr="005B76E6">
        <w:t>пересмотренн</w:t>
      </w:r>
      <w:r w:rsidR="001A40AC" w:rsidRPr="005B76E6">
        <w:t>ы</w:t>
      </w:r>
      <w:r w:rsidR="00C87CE6" w:rsidRPr="005B76E6">
        <w:t xml:space="preserve">х </w:t>
      </w:r>
      <w:r w:rsidRPr="005B76E6">
        <w:t xml:space="preserve">Рекомендаций </w:t>
      </w:r>
      <w:r w:rsidR="00753802" w:rsidRPr="005B76E6">
        <w:t xml:space="preserve">МСЭ-R </w:t>
      </w:r>
      <w:r w:rsidRPr="005B76E6">
        <w:t>по переписке (п. </w:t>
      </w:r>
      <w:r w:rsidRPr="005B76E6">
        <w:rPr>
          <w:bCs/>
        </w:rPr>
        <w:t xml:space="preserve">A2.6.2 </w:t>
      </w:r>
      <w:r w:rsidRPr="005B76E6">
        <w:t>Резолюции</w:t>
      </w:r>
      <w:r w:rsidR="002A233F" w:rsidRPr="005B76E6">
        <w:t xml:space="preserve"> </w:t>
      </w:r>
      <w:hyperlink r:id="rId8" w:history="1">
        <w:r w:rsidR="002A233F" w:rsidRPr="005B76E6">
          <w:rPr>
            <w:rStyle w:val="Lienhypertexte"/>
          </w:rPr>
          <w:t>МСЭ</w:t>
        </w:r>
        <w:r w:rsidR="002A233F" w:rsidRPr="005B76E6">
          <w:rPr>
            <w:rStyle w:val="Lienhypertexte"/>
          </w:rPr>
          <w:noBreakHyphen/>
          <w:t>R 1-9</w:t>
        </w:r>
      </w:hyperlink>
      <w:r w:rsidRPr="005B76E6">
        <w:t xml:space="preserve">), а также </w:t>
      </w:r>
      <w:r w:rsidR="00C87CE6" w:rsidRPr="005B76E6">
        <w:t xml:space="preserve">приняла </w:t>
      </w:r>
      <w:r w:rsidRPr="005B76E6">
        <w:t>реш</w:t>
      </w:r>
      <w:r w:rsidR="00C87CE6" w:rsidRPr="005B76E6">
        <w:t>ение</w:t>
      </w:r>
      <w:r w:rsidRPr="005B76E6">
        <w:t xml:space="preserve"> применить процедуру одновременного одобрения и утверждения по переписке (PSAA) (п. </w:t>
      </w:r>
      <w:r w:rsidRPr="005B76E6">
        <w:rPr>
          <w:bCs/>
        </w:rPr>
        <w:t xml:space="preserve">A2.6.2.4 </w:t>
      </w:r>
      <w:r w:rsidRPr="005B76E6">
        <w:t>Резолюции</w:t>
      </w:r>
      <w:r w:rsidR="002A233F" w:rsidRPr="005B76E6">
        <w:t xml:space="preserve"> МСЭ</w:t>
      </w:r>
      <w:r w:rsidR="002A233F" w:rsidRPr="005B76E6">
        <w:noBreakHyphen/>
        <w:t>R 1-9</w:t>
      </w:r>
      <w:r w:rsidRPr="005B76E6">
        <w:t xml:space="preserve">). Названия и </w:t>
      </w:r>
      <w:r w:rsidR="0071614B" w:rsidRPr="005B76E6">
        <w:t>резюме</w:t>
      </w:r>
      <w:r w:rsidRPr="005B76E6">
        <w:t xml:space="preserve"> проектов Рекомендаций </w:t>
      </w:r>
      <w:r w:rsidR="0071614B" w:rsidRPr="005B76E6">
        <w:t>приведен</w:t>
      </w:r>
      <w:r w:rsidR="00535AD6" w:rsidRPr="005B76E6">
        <w:t>ы</w:t>
      </w:r>
      <w:r w:rsidRPr="005B76E6">
        <w:t xml:space="preserve"> в Приложении 1. Всем </w:t>
      </w:r>
      <w:r w:rsidRPr="005B76E6">
        <w:rPr>
          <w:rFonts w:cstheme="majorBidi"/>
          <w:color w:val="000000"/>
        </w:rPr>
        <w:t>Государствам</w:t>
      </w:r>
      <w:r w:rsidR="00E3193E" w:rsidRPr="005B76E6">
        <w:rPr>
          <w:rFonts w:cstheme="majorBidi"/>
          <w:color w:val="000000"/>
        </w:rPr>
        <w:t>-</w:t>
      </w:r>
      <w:r w:rsidRPr="005B76E6">
        <w:rPr>
          <w:rFonts w:cstheme="majorBidi"/>
          <w:color w:val="000000"/>
        </w:rPr>
        <w:t xml:space="preserve">Членам, возражающим против одобрения какого-либо проекта Рекомендации, предлагается сообщить Директору и </w:t>
      </w:r>
      <w:r w:rsidR="00C87CE6" w:rsidRPr="005B76E6">
        <w:rPr>
          <w:rFonts w:cstheme="majorBidi"/>
          <w:color w:val="000000"/>
        </w:rPr>
        <w:t>п</w:t>
      </w:r>
      <w:r w:rsidR="00421D3C" w:rsidRPr="005B76E6">
        <w:rPr>
          <w:rFonts w:cstheme="majorBidi"/>
          <w:color w:val="000000"/>
        </w:rPr>
        <w:t xml:space="preserve">редседателю </w:t>
      </w:r>
      <w:r w:rsidRPr="005B76E6">
        <w:rPr>
          <w:rFonts w:cstheme="majorBidi"/>
          <w:color w:val="000000"/>
        </w:rPr>
        <w:t>Исследовательской комиссии причин</w:t>
      </w:r>
      <w:r w:rsidR="00D64CAB" w:rsidRPr="005B76E6">
        <w:rPr>
          <w:rFonts w:cstheme="majorBidi"/>
          <w:color w:val="000000"/>
        </w:rPr>
        <w:t>ы</w:t>
      </w:r>
      <w:r w:rsidRPr="005B76E6">
        <w:rPr>
          <w:rFonts w:cstheme="majorBidi"/>
          <w:color w:val="000000"/>
        </w:rPr>
        <w:t xml:space="preserve"> такого несогласия</w:t>
      </w:r>
      <w:r w:rsidRPr="005B76E6">
        <w:rPr>
          <w:rFonts w:cstheme="majorBidi"/>
        </w:rPr>
        <w:t>.</w:t>
      </w:r>
    </w:p>
    <w:p w14:paraId="7A9CE79C" w14:textId="55FE024A" w:rsidR="0091635D" w:rsidRPr="005B76E6" w:rsidRDefault="0091635D" w:rsidP="0091635D">
      <w:pPr>
        <w:jc w:val="both"/>
      </w:pPr>
      <w:r w:rsidRPr="005B76E6">
        <w:t xml:space="preserve">Период рассмотрения продлится два месяца и завершится </w:t>
      </w:r>
      <w:r w:rsidR="001A40AC" w:rsidRPr="005B76E6">
        <w:rPr>
          <w:u w:val="single"/>
        </w:rPr>
        <w:t>18</w:t>
      </w:r>
      <w:r w:rsidRPr="005B76E6">
        <w:rPr>
          <w:u w:val="single"/>
        </w:rPr>
        <w:t xml:space="preserve"> </w:t>
      </w:r>
      <w:r w:rsidR="001A40AC" w:rsidRPr="005B76E6">
        <w:rPr>
          <w:u w:val="single"/>
        </w:rPr>
        <w:t xml:space="preserve">февраля </w:t>
      </w:r>
      <w:r w:rsidRPr="005B76E6">
        <w:rPr>
          <w:u w:val="single"/>
        </w:rPr>
        <w:t>20</w:t>
      </w:r>
      <w:r w:rsidR="001A40AC" w:rsidRPr="005B76E6">
        <w:rPr>
          <w:u w:val="single"/>
        </w:rPr>
        <w:t>26</w:t>
      </w:r>
      <w:r w:rsidRPr="005B76E6">
        <w:rPr>
          <w:u w:val="single"/>
        </w:rPr>
        <w:t> года</w:t>
      </w:r>
      <w:r w:rsidRPr="005B76E6">
        <w:t xml:space="preserve">. Если в течение этого периода от Государств-Членов не поступит возражений, проекты Рекомендаций будут считаться одобренными </w:t>
      </w:r>
      <w:r w:rsidR="001A40AC" w:rsidRPr="005B76E6">
        <w:t>4</w:t>
      </w:r>
      <w:r w:rsidRPr="005B76E6">
        <w:t>-й Исследовательской комиссией. Кроме того, в силу применения процедуры PSAA эти проекты Рекомендаций также будут считаться утвержденными.</w:t>
      </w:r>
    </w:p>
    <w:p w14:paraId="706E4A00" w14:textId="33DDF001" w:rsidR="00705F1D" w:rsidRPr="005B76E6" w:rsidRDefault="00B81E71" w:rsidP="0091635D">
      <w:pPr>
        <w:jc w:val="both"/>
        <w:rPr>
          <w:rFonts w:cstheme="majorBidi"/>
        </w:rPr>
      </w:pPr>
      <w:r w:rsidRPr="005B76E6">
        <w:t>Кроме того,</w:t>
      </w:r>
      <w:r w:rsidR="0091635D" w:rsidRPr="005B76E6">
        <w:t xml:space="preserve"> </w:t>
      </w:r>
      <w:r w:rsidR="00705F1D" w:rsidRPr="005B76E6">
        <w:t>Исследовательская комиссия предложила исключ</w:t>
      </w:r>
      <w:r w:rsidR="00607733" w:rsidRPr="005B76E6">
        <w:t>ить</w:t>
      </w:r>
      <w:r w:rsidR="00705F1D" w:rsidRPr="005B76E6">
        <w:t xml:space="preserve"> </w:t>
      </w:r>
      <w:r w:rsidR="001A40AC" w:rsidRPr="005B76E6">
        <w:t xml:space="preserve">одну </w:t>
      </w:r>
      <w:r w:rsidR="00705F1D" w:rsidRPr="005B76E6">
        <w:t>Рекомендацию, указанную в Приложении</w:t>
      </w:r>
      <w:r w:rsidR="00FE2FCC" w:rsidRPr="005B76E6">
        <w:t> </w:t>
      </w:r>
      <w:r w:rsidR="00705F1D" w:rsidRPr="005B76E6">
        <w:t xml:space="preserve">2. Всем </w:t>
      </w:r>
      <w:r w:rsidR="00705F1D" w:rsidRPr="005B76E6">
        <w:rPr>
          <w:rFonts w:cstheme="majorBidi"/>
          <w:color w:val="000000"/>
        </w:rPr>
        <w:t>Государствам</w:t>
      </w:r>
      <w:r w:rsidR="00E3193E" w:rsidRPr="005B76E6">
        <w:rPr>
          <w:rFonts w:cstheme="majorBidi"/>
          <w:color w:val="000000"/>
        </w:rPr>
        <w:t>-</w:t>
      </w:r>
      <w:r w:rsidR="00705F1D" w:rsidRPr="005B76E6">
        <w:rPr>
          <w:rFonts w:cstheme="majorBidi"/>
          <w:color w:val="000000"/>
        </w:rPr>
        <w:t>Членам, возражающим против исключения како</w:t>
      </w:r>
      <w:r w:rsidR="008750C7" w:rsidRPr="005B76E6">
        <w:rPr>
          <w:rFonts w:cstheme="majorBidi"/>
          <w:color w:val="000000"/>
        </w:rPr>
        <w:t>й</w:t>
      </w:r>
      <w:r w:rsidR="00705F1D" w:rsidRPr="005B76E6">
        <w:rPr>
          <w:rFonts w:cstheme="majorBidi"/>
          <w:color w:val="000000"/>
        </w:rPr>
        <w:t xml:space="preserve">-либо Рекомендации, предлагается сообщить Директору и </w:t>
      </w:r>
      <w:r w:rsidR="00C87CE6" w:rsidRPr="005B76E6">
        <w:rPr>
          <w:rFonts w:cstheme="majorBidi"/>
          <w:color w:val="000000"/>
        </w:rPr>
        <w:t>п</w:t>
      </w:r>
      <w:r w:rsidR="00421D3C" w:rsidRPr="005B76E6">
        <w:rPr>
          <w:rFonts w:cstheme="majorBidi"/>
          <w:color w:val="000000"/>
        </w:rPr>
        <w:t xml:space="preserve">редседателю </w:t>
      </w:r>
      <w:r w:rsidR="00705F1D" w:rsidRPr="005B76E6">
        <w:rPr>
          <w:rFonts w:cstheme="majorBidi"/>
          <w:color w:val="000000"/>
        </w:rPr>
        <w:t>Исследовательской комиссии причин</w:t>
      </w:r>
      <w:r w:rsidR="00D64CAB" w:rsidRPr="005B76E6">
        <w:rPr>
          <w:rFonts w:cstheme="majorBidi"/>
          <w:color w:val="000000"/>
        </w:rPr>
        <w:t>ы</w:t>
      </w:r>
      <w:r w:rsidR="00705F1D" w:rsidRPr="005B76E6">
        <w:rPr>
          <w:rFonts w:cstheme="majorBidi"/>
          <w:color w:val="000000"/>
        </w:rPr>
        <w:t xml:space="preserve"> такого несогласия</w:t>
      </w:r>
      <w:r w:rsidR="00705F1D" w:rsidRPr="005B76E6">
        <w:rPr>
          <w:rFonts w:cstheme="majorBidi"/>
        </w:rPr>
        <w:t>.</w:t>
      </w:r>
    </w:p>
    <w:p w14:paraId="5219C56E" w14:textId="1D07FC79" w:rsidR="0091635D" w:rsidRPr="005B76E6" w:rsidRDefault="0091635D" w:rsidP="00A15E72">
      <w:pPr>
        <w:jc w:val="both"/>
      </w:pPr>
      <w:r w:rsidRPr="005B76E6">
        <w:t xml:space="preserve">Период рассмотрения продлится два месяца и завершится </w:t>
      </w:r>
      <w:r w:rsidR="001A40AC" w:rsidRPr="005B76E6">
        <w:rPr>
          <w:u w:val="single"/>
        </w:rPr>
        <w:t>18 февраля 2026 года</w:t>
      </w:r>
      <w:r w:rsidRPr="005B76E6">
        <w:t>. Если в течение этого периода от Государств-Членов не поступит возражений против предлагаемого исключения, данная Рекомендация будет считаться исключенной.</w:t>
      </w:r>
    </w:p>
    <w:p w14:paraId="41B7E84C" w14:textId="289252B6" w:rsidR="004114DD" w:rsidRPr="005B76E6" w:rsidRDefault="00705F1D" w:rsidP="003A5B2F">
      <w:pPr>
        <w:jc w:val="both"/>
      </w:pPr>
      <w:r w:rsidRPr="005B76E6">
        <w:t xml:space="preserve">По истечении вышеуказанного предельного срока результаты </w:t>
      </w:r>
      <w:r w:rsidR="003A5B2F" w:rsidRPr="005B76E6">
        <w:t xml:space="preserve">упомянутых </w:t>
      </w:r>
      <w:r w:rsidR="008A0702" w:rsidRPr="005B76E6">
        <w:t xml:space="preserve">выше </w:t>
      </w:r>
      <w:r w:rsidRPr="005B76E6">
        <w:t xml:space="preserve">процедур будут объявлены в Административном циркуляре, а утвержденные Рекомендации будут в кратчайшие сроки опубликованы (см. </w:t>
      </w:r>
      <w:hyperlink r:id="rId9" w:history="1">
        <w:r w:rsidRPr="005B76E6">
          <w:rPr>
            <w:color w:val="0000FF"/>
            <w:u w:val="single"/>
          </w:rPr>
          <w:t>http://www.itu.int/pub/R-REC</w:t>
        </w:r>
      </w:hyperlink>
      <w:r w:rsidR="001F52C4" w:rsidRPr="005B76E6">
        <w:t>).</w:t>
      </w:r>
    </w:p>
    <w:p w14:paraId="63856183" w14:textId="0EFAC000" w:rsidR="00A52A28" w:rsidRPr="005B76E6" w:rsidRDefault="00A52A2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B76E6">
        <w:br w:type="page"/>
      </w:r>
    </w:p>
    <w:p w14:paraId="4757958F" w14:textId="0ABD99C0" w:rsidR="00705F1D" w:rsidRPr="005B76E6" w:rsidRDefault="00705F1D" w:rsidP="00E3193E">
      <w:pPr>
        <w:jc w:val="both"/>
        <w:rPr>
          <w:rFonts w:cstheme="majorBidi"/>
        </w:rPr>
      </w:pPr>
      <w:r w:rsidRPr="005B76E6">
        <w:rPr>
          <w:rFonts w:cstheme="majorBidi"/>
          <w:color w:val="000000"/>
        </w:rPr>
        <w:lastRenderedPageBreak/>
        <w:t>Всем организациям, являющимся членами МСЭ и осведомленным о патент</w:t>
      </w:r>
      <w:r w:rsidR="004C61E6" w:rsidRPr="005B76E6">
        <w:rPr>
          <w:rFonts w:cstheme="majorBidi"/>
          <w:color w:val="000000"/>
        </w:rPr>
        <w:t>ах</w:t>
      </w:r>
      <w:r w:rsidRPr="005B76E6">
        <w:rPr>
          <w:rFonts w:cstheme="majorBidi"/>
          <w:color w:val="000000"/>
        </w:rPr>
        <w:t xml:space="preserve">, которые принадлежат им либо другим сторонам и которые могут полностью или частично охватывать элементы проектов Рекомендаций, упомянутых в настоящем письме, предлагается сообщить эту информацию в Секретариат, по возможности, незамедлительно. Информация </w:t>
      </w:r>
      <w:r w:rsidR="00E3193E" w:rsidRPr="005B76E6">
        <w:rPr>
          <w:rFonts w:cstheme="majorBidi"/>
          <w:color w:val="000000"/>
        </w:rPr>
        <w:t>об общей патентной политике МСЭ</w:t>
      </w:r>
      <w:r w:rsidR="00E3193E" w:rsidRPr="005B76E6">
        <w:rPr>
          <w:rFonts w:cstheme="majorBidi"/>
          <w:color w:val="000000"/>
        </w:rPr>
        <w:noBreakHyphen/>
      </w:r>
      <w:r w:rsidRPr="005B76E6">
        <w:rPr>
          <w:rFonts w:cstheme="majorBidi"/>
          <w:color w:val="000000"/>
        </w:rPr>
        <w:t xml:space="preserve">T/МСЭ-R/ИСО/МЭК </w:t>
      </w:r>
      <w:r w:rsidR="004C61E6" w:rsidRPr="005B76E6">
        <w:rPr>
          <w:rFonts w:cstheme="majorBidi"/>
          <w:color w:val="000000"/>
        </w:rPr>
        <w:t>доступна</w:t>
      </w:r>
      <w:r w:rsidRPr="005B76E6">
        <w:rPr>
          <w:rFonts w:cstheme="majorBidi"/>
          <w:color w:val="000000"/>
        </w:rPr>
        <w:t xml:space="preserve"> по адресу</w:t>
      </w:r>
      <w:r w:rsidRPr="005B76E6">
        <w:rPr>
          <w:rFonts w:cstheme="majorBidi"/>
        </w:rPr>
        <w:t xml:space="preserve">: </w:t>
      </w:r>
      <w:hyperlink r:id="rId10" w:history="1">
        <w:r w:rsidR="00165D31" w:rsidRPr="005B76E6">
          <w:rPr>
            <w:rStyle w:val="Lienhypertexte"/>
            <w:szCs w:val="24"/>
          </w:rPr>
          <w:t>http://www.itu.int/en/ITU-T/ipr/Pages/policy.aspx</w:t>
        </w:r>
      </w:hyperlink>
      <w:r w:rsidRPr="005B76E6">
        <w:rPr>
          <w:rFonts w:cstheme="majorBidi"/>
        </w:rPr>
        <w:t>.</w:t>
      </w:r>
    </w:p>
    <w:p w14:paraId="061162A6" w14:textId="4F04F887" w:rsidR="00705F1D" w:rsidRPr="005B76E6" w:rsidRDefault="00FF483B" w:rsidP="005B76E6">
      <w:pPr>
        <w:tabs>
          <w:tab w:val="center" w:pos="7371"/>
        </w:tabs>
        <w:overflowPunct/>
        <w:autoSpaceDE/>
        <w:autoSpaceDN/>
        <w:adjustRightInd/>
        <w:spacing w:before="1200"/>
        <w:textAlignment w:val="auto"/>
        <w:rPr>
          <w:sz w:val="24"/>
          <w:szCs w:val="24"/>
        </w:rPr>
      </w:pPr>
      <w:r w:rsidRPr="005B76E6">
        <w:t>Марио Маневич</w:t>
      </w:r>
    </w:p>
    <w:p w14:paraId="640229A8" w14:textId="77777777" w:rsidR="00705F1D" w:rsidRPr="005B76E6" w:rsidRDefault="00705F1D" w:rsidP="00E3193E">
      <w:pPr>
        <w:tabs>
          <w:tab w:val="center" w:pos="7371"/>
        </w:tabs>
        <w:overflowPunct/>
        <w:autoSpaceDE/>
        <w:autoSpaceDN/>
        <w:adjustRightInd/>
        <w:spacing w:before="0"/>
        <w:textAlignment w:val="auto"/>
        <w:rPr>
          <w:sz w:val="24"/>
          <w:szCs w:val="24"/>
        </w:rPr>
      </w:pPr>
      <w:r w:rsidRPr="005B76E6">
        <w:t>Директор</w:t>
      </w:r>
    </w:p>
    <w:p w14:paraId="42050A71" w14:textId="6C56E8CB" w:rsidR="00705F1D" w:rsidRPr="005B76E6" w:rsidRDefault="00705F1D" w:rsidP="005B76E6">
      <w:pPr>
        <w:keepNext/>
        <w:keepLines/>
        <w:widowControl w:val="0"/>
        <w:tabs>
          <w:tab w:val="clear" w:pos="1871"/>
          <w:tab w:val="left" w:pos="1701"/>
        </w:tabs>
        <w:spacing w:before="2400"/>
      </w:pPr>
      <w:r w:rsidRPr="005B76E6">
        <w:rPr>
          <w:b/>
          <w:bCs/>
        </w:rPr>
        <w:t>Приложение 1</w:t>
      </w:r>
      <w:r w:rsidRPr="005B76E6">
        <w:t>:</w:t>
      </w:r>
      <w:r w:rsidR="00E3193E" w:rsidRPr="005B76E6">
        <w:tab/>
      </w:r>
      <w:r w:rsidRPr="005B76E6">
        <w:t xml:space="preserve">Названия и </w:t>
      </w:r>
      <w:r w:rsidR="008750C7" w:rsidRPr="005B76E6">
        <w:t>резюме</w:t>
      </w:r>
      <w:r w:rsidRPr="005B76E6">
        <w:t xml:space="preserve"> проектов Рекомендаций</w:t>
      </w:r>
    </w:p>
    <w:p w14:paraId="566E66EB" w14:textId="1E200B29" w:rsidR="00705F1D" w:rsidRPr="005B76E6" w:rsidRDefault="00705F1D" w:rsidP="00A52A28">
      <w:pPr>
        <w:tabs>
          <w:tab w:val="clear" w:pos="1871"/>
          <w:tab w:val="left" w:pos="1701"/>
        </w:tabs>
        <w:ind w:left="1191" w:hanging="1191"/>
      </w:pPr>
      <w:r w:rsidRPr="005B76E6">
        <w:rPr>
          <w:b/>
          <w:bCs/>
        </w:rPr>
        <w:t>Приложение 2</w:t>
      </w:r>
      <w:r w:rsidRPr="005B76E6">
        <w:t xml:space="preserve">: </w:t>
      </w:r>
      <w:r w:rsidR="00E3193E" w:rsidRPr="005B76E6">
        <w:tab/>
      </w:r>
      <w:r w:rsidRPr="005B76E6">
        <w:t xml:space="preserve">Рекомендация, предлагаемая </w:t>
      </w:r>
      <w:r w:rsidR="00FF483B" w:rsidRPr="005B76E6">
        <w:t>к</w:t>
      </w:r>
      <w:r w:rsidRPr="005B76E6">
        <w:t xml:space="preserve"> исключени</w:t>
      </w:r>
      <w:r w:rsidR="00FF483B" w:rsidRPr="005B76E6">
        <w:t>ю</w:t>
      </w:r>
    </w:p>
    <w:p w14:paraId="646F255A" w14:textId="0D535CC6" w:rsidR="00705F1D" w:rsidRPr="005B76E6" w:rsidRDefault="00705F1D" w:rsidP="00E3193E">
      <w:pPr>
        <w:tabs>
          <w:tab w:val="left" w:pos="1701"/>
        </w:tabs>
        <w:spacing w:before="360"/>
      </w:pPr>
      <w:r w:rsidRPr="005B76E6">
        <w:rPr>
          <w:b/>
          <w:bCs/>
        </w:rPr>
        <w:t>Документы</w:t>
      </w:r>
      <w:r w:rsidRPr="005B76E6">
        <w:t>:</w:t>
      </w:r>
      <w:r w:rsidRPr="005B76E6">
        <w:tab/>
        <w:t>Документ</w:t>
      </w:r>
      <w:r w:rsidR="001C733F" w:rsidRPr="005B76E6">
        <w:t>ы</w:t>
      </w:r>
      <w:r w:rsidRPr="005B76E6">
        <w:t xml:space="preserve"> </w:t>
      </w:r>
      <w:r w:rsidR="001A40AC" w:rsidRPr="005B76E6">
        <w:rPr>
          <w:szCs w:val="24"/>
        </w:rPr>
        <w:t>4/50, 4/51, 4/52, 4/55 и 4/48</w:t>
      </w:r>
      <w:r w:rsidR="00165D31" w:rsidRPr="005B76E6">
        <w:t>.</w:t>
      </w:r>
    </w:p>
    <w:p w14:paraId="16F8E1B0" w14:textId="70A9CE73" w:rsidR="00705F1D" w:rsidRPr="005B76E6" w:rsidRDefault="00FF483B" w:rsidP="00E3193E">
      <w:r w:rsidRPr="005B76E6">
        <w:rPr>
          <w:szCs w:val="22"/>
        </w:rPr>
        <w:t xml:space="preserve">Эти документы </w:t>
      </w:r>
      <w:r w:rsidR="00A15E72" w:rsidRPr="005B76E6">
        <w:rPr>
          <w:szCs w:val="22"/>
        </w:rPr>
        <w:t>доступн</w:t>
      </w:r>
      <w:r w:rsidRPr="005B76E6">
        <w:rPr>
          <w:szCs w:val="22"/>
        </w:rPr>
        <w:t>ы в электронном формате по адресу</w:t>
      </w:r>
      <w:r w:rsidR="00705F1D" w:rsidRPr="005B76E6">
        <w:t>:</w:t>
      </w:r>
      <w:r w:rsidR="001F52C4" w:rsidRPr="005B76E6">
        <w:t xml:space="preserve"> </w:t>
      </w:r>
      <w:hyperlink r:id="rId11" w:history="1">
        <w:r w:rsidR="001A40AC" w:rsidRPr="005B76E6">
          <w:rPr>
            <w:rStyle w:val="Lienhypertexte"/>
            <w:szCs w:val="24"/>
          </w:rPr>
          <w:t>https://www.itu.int/md/R23-SG04-C/en</w:t>
        </w:r>
      </w:hyperlink>
      <w:r w:rsidR="00A15E72" w:rsidRPr="005B76E6">
        <w:rPr>
          <w:color w:val="000000" w:themeColor="text1"/>
        </w:rPr>
        <w:t>.</w:t>
      </w:r>
    </w:p>
    <w:p w14:paraId="7BC5D843" w14:textId="7E0C67EF" w:rsidR="00E3193E" w:rsidRPr="005B76E6" w:rsidRDefault="00E3193E" w:rsidP="00165D31">
      <w:pPr>
        <w:jc w:val="both"/>
        <w:rPr>
          <w:rFonts w:cstheme="majorBidi"/>
          <w:color w:val="000000"/>
        </w:rPr>
      </w:pPr>
      <w:bookmarkStart w:id="1" w:name="ddistribution"/>
      <w:bookmarkEnd w:id="1"/>
      <w:r w:rsidRPr="005B76E6">
        <w:rPr>
          <w:rFonts w:cstheme="majorBidi"/>
          <w:color w:val="000000"/>
        </w:rPr>
        <w:br w:type="page"/>
      </w:r>
    </w:p>
    <w:p w14:paraId="70068948" w14:textId="698F9FBA" w:rsidR="00705F1D" w:rsidRPr="005B76E6" w:rsidRDefault="00705F1D" w:rsidP="00E3193E">
      <w:pPr>
        <w:pStyle w:val="AnnexNo"/>
      </w:pPr>
      <w:r w:rsidRPr="005B76E6">
        <w:lastRenderedPageBreak/>
        <w:t>П</w:t>
      </w:r>
      <w:r w:rsidR="008750C7" w:rsidRPr="005B76E6">
        <w:t xml:space="preserve">риложение </w:t>
      </w:r>
      <w:r w:rsidRPr="005B76E6">
        <w:t>1</w:t>
      </w:r>
    </w:p>
    <w:p w14:paraId="45CD949A" w14:textId="13A42D43" w:rsidR="00705F1D" w:rsidRPr="005B76E6" w:rsidRDefault="00705F1D" w:rsidP="00E3193E">
      <w:pPr>
        <w:pStyle w:val="Annextitle"/>
      </w:pPr>
      <w:r w:rsidRPr="005B76E6">
        <w:t xml:space="preserve">Названия и </w:t>
      </w:r>
      <w:r w:rsidR="008750C7" w:rsidRPr="005B76E6">
        <w:t>резюме</w:t>
      </w:r>
      <w:r w:rsidRPr="005B76E6">
        <w:t xml:space="preserve"> проектов Рекомендаций</w:t>
      </w:r>
      <w:r w:rsidR="00165D31" w:rsidRPr="005B76E6">
        <w:t xml:space="preserve"> МСЭ</w:t>
      </w:r>
      <w:r w:rsidR="00165D31" w:rsidRPr="005B76E6">
        <w:rPr>
          <w:rFonts w:cstheme="minorHAnsi"/>
          <w:szCs w:val="28"/>
        </w:rPr>
        <w:t>-R</w:t>
      </w:r>
    </w:p>
    <w:p w14:paraId="1703AAE5" w14:textId="685238AE" w:rsidR="00FF483B" w:rsidRPr="005B76E6" w:rsidRDefault="00FF483B" w:rsidP="00165D31">
      <w:pPr>
        <w:tabs>
          <w:tab w:val="right" w:pos="9639"/>
        </w:tabs>
        <w:spacing w:before="480"/>
      </w:pPr>
      <w:r w:rsidRPr="005B76E6">
        <w:rPr>
          <w:u w:val="single"/>
        </w:rPr>
        <w:t xml:space="preserve">Проект пересмотра Рекомендации МСЭ-R </w:t>
      </w:r>
      <w:r w:rsidR="001A40AC" w:rsidRPr="005B76E6">
        <w:rPr>
          <w:rFonts w:cstheme="minorHAnsi"/>
          <w:szCs w:val="24"/>
          <w:u w:val="single"/>
        </w:rPr>
        <w:t>M.1787-5</w:t>
      </w:r>
      <w:r w:rsidRPr="005B76E6">
        <w:tab/>
      </w:r>
      <w:r w:rsidRPr="005B76E6">
        <w:rPr>
          <w:szCs w:val="22"/>
        </w:rPr>
        <w:t>Док</w:t>
      </w:r>
      <w:r w:rsidRPr="005B76E6">
        <w:t xml:space="preserve">. </w:t>
      </w:r>
      <w:r w:rsidR="001A40AC" w:rsidRPr="005B76E6">
        <w:rPr>
          <w:rFonts w:cstheme="minorHAnsi"/>
          <w:szCs w:val="24"/>
        </w:rPr>
        <w:t>4/50</w:t>
      </w:r>
    </w:p>
    <w:p w14:paraId="3C049F2C" w14:textId="269FBDC5" w:rsidR="00FF483B" w:rsidRPr="005B76E6" w:rsidRDefault="00DD0E20" w:rsidP="005B76E6">
      <w:pPr>
        <w:pStyle w:val="Rectitle"/>
        <w:spacing w:before="360"/>
        <w:rPr>
          <w:szCs w:val="24"/>
        </w:rPr>
      </w:pPr>
      <w:r w:rsidRPr="005B76E6">
        <w:rPr>
          <w:bCs/>
        </w:rPr>
        <w:t>Описание систем и сетей радионавигационной спутниковой службы (космос-Земля и космос-космос) и технические характеристики передающих космических станций, работающих в полосах частот 1164–1215 МГц, 1215–1300 МГц и 1559–1610 МГц</w:t>
      </w:r>
    </w:p>
    <w:p w14:paraId="08F0E583" w14:textId="77777777" w:rsidR="00DD0E20" w:rsidRPr="005B76E6" w:rsidRDefault="00DD0E20" w:rsidP="005B76E6">
      <w:pPr>
        <w:jc w:val="both"/>
        <w:rPr>
          <w:rFonts w:eastAsia="SimSun"/>
        </w:rPr>
      </w:pPr>
      <w:r w:rsidRPr="005B76E6">
        <w:t>В настоящей Рекомендации пересмотрены Приложение 4 (Техническое описание и характеристики квазизенитной спутниковой системы (QZSS)) и Приложение 11 (Техническое описание и характеристики корейской спутниковой системы дифференциальных поправок (KASS)).</w:t>
      </w:r>
    </w:p>
    <w:p w14:paraId="1CA18B50" w14:textId="32012D57" w:rsidR="00DD0E20" w:rsidRPr="005B76E6" w:rsidRDefault="00DD0E20" w:rsidP="005B76E6">
      <w:pPr>
        <w:jc w:val="both"/>
        <w:rPr>
          <w:rFonts w:eastAsia="SimSun"/>
        </w:rPr>
      </w:pPr>
      <w:r w:rsidRPr="005B76E6">
        <w:t>Кроме того, добавлены новое Приложение 15 (с описанием и техническими характеристиками системы передающих космических станций Xona PULSAR, планируемой к эксплуатации в полосах частот 1164–1215 МГц и 1559–1610 МГц), новое Приложение 16 (с описанием и техническими характеристиками системы KPS радионавигационной спутниковой службы, предназначенной для предоставления информации для определения местоположения, навигации и синхронизации в полосах частот 1164–1215 МГц, 1215–1300 МГц и 1559–1610 МГц) и новое Приложение 17 (Техническое описание и характеристики низкоорбитальной системы SATNET РНСС).</w:t>
      </w:r>
    </w:p>
    <w:p w14:paraId="185B33B4" w14:textId="3CAE0640" w:rsidR="00FF483B" w:rsidRPr="005B76E6" w:rsidRDefault="00DD0E20" w:rsidP="005B76E6">
      <w:pPr>
        <w:pStyle w:val="Summary"/>
        <w:rPr>
          <w:lang w:val="ru-RU"/>
        </w:rPr>
      </w:pPr>
      <w:r w:rsidRPr="005B76E6">
        <w:rPr>
          <w:lang w:val="ru-RU"/>
        </w:rPr>
        <w:t>Кроме того, в каждом приложении внесены редакционные исправления в ссылки на рисунки и таблицы.</w:t>
      </w:r>
    </w:p>
    <w:p w14:paraId="43BE55BD" w14:textId="2868BACA" w:rsidR="001A40AC" w:rsidRPr="005B76E6" w:rsidRDefault="001A40AC" w:rsidP="001A40AC">
      <w:pPr>
        <w:tabs>
          <w:tab w:val="right" w:pos="9639"/>
        </w:tabs>
        <w:spacing w:before="480"/>
      </w:pPr>
      <w:bookmarkStart w:id="2" w:name="_Hlk216685888"/>
      <w:r w:rsidRPr="005B76E6">
        <w:rPr>
          <w:u w:val="single"/>
        </w:rPr>
        <w:t xml:space="preserve">Проект пересмотра Рекомендации МСЭ-R </w:t>
      </w:r>
      <w:r w:rsidRPr="005B76E6">
        <w:rPr>
          <w:rFonts w:cstheme="minorHAnsi"/>
          <w:szCs w:val="24"/>
          <w:u w:val="single"/>
        </w:rPr>
        <w:t>BO.789-2</w:t>
      </w:r>
      <w:r w:rsidRPr="005B76E6">
        <w:tab/>
      </w:r>
      <w:r w:rsidRPr="005B76E6">
        <w:rPr>
          <w:szCs w:val="22"/>
        </w:rPr>
        <w:t>Док</w:t>
      </w:r>
      <w:r w:rsidRPr="005B76E6">
        <w:t xml:space="preserve">. </w:t>
      </w:r>
      <w:r w:rsidRPr="005B76E6">
        <w:rPr>
          <w:rFonts w:cstheme="minorHAnsi"/>
          <w:szCs w:val="24"/>
        </w:rPr>
        <w:t>4/51</w:t>
      </w:r>
    </w:p>
    <w:p w14:paraId="77EC1C8F" w14:textId="02B95908" w:rsidR="001A40AC" w:rsidRPr="005B76E6" w:rsidRDefault="00DD0E20" w:rsidP="005B76E6">
      <w:pPr>
        <w:pStyle w:val="Rectitle"/>
        <w:spacing w:before="360"/>
        <w:rPr>
          <w:szCs w:val="24"/>
        </w:rPr>
      </w:pPr>
      <w:r w:rsidRPr="005B76E6">
        <w:rPr>
          <w:bCs/>
        </w:rPr>
        <w:t>Служба цифрового звукового радиовещания на автомобильные, переносные и стационарные приемники для радиовещательной спутниковой службы (звуковой) в диапазоне частот 1400–2700 МГц</w:t>
      </w:r>
    </w:p>
    <w:p w14:paraId="55E181C1" w14:textId="6CA2FCB2" w:rsidR="00DD0E20" w:rsidRPr="005B76E6" w:rsidRDefault="00DD0E20" w:rsidP="005B76E6">
      <w:pPr>
        <w:jc w:val="both"/>
      </w:pPr>
      <w:r w:rsidRPr="005B76E6">
        <w:t>После обновления цифровой системы A (Eureka-147 DAB), опубликованной в (ETSI EN 300 401 V2.1.1 (2017-01)), и удаления режимов передачи II, III и IV был сохранен только режим I, предназначенный для наземного радиовещания в диапазоне 30–300 МГц.</w:t>
      </w:r>
    </w:p>
    <w:p w14:paraId="38107F2E" w14:textId="10CF0487" w:rsidR="001A40AC" w:rsidRPr="005B76E6" w:rsidRDefault="00DD0E20" w:rsidP="005B76E6">
      <w:pPr>
        <w:jc w:val="both"/>
      </w:pPr>
      <w:r w:rsidRPr="005B76E6">
        <w:t>В настоящем пересмотре исключена ссылка на Систему A, поскольку она более не актуальна в данной Рекомендации.</w:t>
      </w:r>
    </w:p>
    <w:p w14:paraId="6BEBCA78" w14:textId="61FF8B60" w:rsidR="001A40AC" w:rsidRPr="005B76E6" w:rsidRDefault="001A40AC" w:rsidP="001A40AC">
      <w:pPr>
        <w:tabs>
          <w:tab w:val="right" w:pos="9639"/>
        </w:tabs>
        <w:spacing w:before="480"/>
      </w:pPr>
      <w:r w:rsidRPr="005B76E6">
        <w:rPr>
          <w:u w:val="single"/>
        </w:rPr>
        <w:t xml:space="preserve">Проект пересмотра Рекомендации МСЭ-R </w:t>
      </w:r>
      <w:r w:rsidRPr="005B76E6">
        <w:rPr>
          <w:rFonts w:cstheme="minorHAnsi"/>
          <w:szCs w:val="24"/>
          <w:u w:val="single"/>
        </w:rPr>
        <w:t>BO.1130-4</w:t>
      </w:r>
      <w:r w:rsidRPr="005B76E6">
        <w:tab/>
      </w:r>
      <w:r w:rsidRPr="005B76E6">
        <w:rPr>
          <w:szCs w:val="22"/>
        </w:rPr>
        <w:t>Док</w:t>
      </w:r>
      <w:r w:rsidRPr="005B76E6">
        <w:t xml:space="preserve">. </w:t>
      </w:r>
      <w:r w:rsidRPr="005B76E6">
        <w:rPr>
          <w:rFonts w:cstheme="minorHAnsi"/>
          <w:szCs w:val="24"/>
        </w:rPr>
        <w:t>4/52</w:t>
      </w:r>
    </w:p>
    <w:p w14:paraId="4FC357BA" w14:textId="73780FD9" w:rsidR="001A40AC" w:rsidRPr="005B76E6" w:rsidRDefault="00DD0E20" w:rsidP="005B76E6">
      <w:pPr>
        <w:pStyle w:val="Rectitle"/>
        <w:spacing w:before="360"/>
        <w:rPr>
          <w:szCs w:val="24"/>
        </w:rPr>
      </w:pPr>
      <w:r w:rsidRPr="005B76E6">
        <w:rPr>
          <w:bCs/>
        </w:rPr>
        <w:t>Системы цифрового спутникового радиовещания на автомобильные, переносные и стационарные приемники в полосах частот, распределенных РСС (звуковой) в диапазоне частот 1400–2700 МГц</w:t>
      </w:r>
    </w:p>
    <w:p w14:paraId="14095769" w14:textId="47C7B00E" w:rsidR="001A40AC" w:rsidRPr="005B76E6" w:rsidRDefault="00DD0E20" w:rsidP="005B76E6">
      <w:pPr>
        <w:pStyle w:val="Summary"/>
        <w:rPr>
          <w:lang w:val="ru-RU"/>
        </w:rPr>
      </w:pPr>
      <w:r w:rsidRPr="005B76E6">
        <w:rPr>
          <w:lang w:val="ru-RU"/>
        </w:rPr>
        <w:t>После обновления цифровой системы A (Eureka-147 DAB), опубликованной в (ETSI EN 300 401 V2.1.1 (2017-01)), и удаления режимов передачи II, III и IV был сохранен только режим I, предназначенный для наземного радиовещания в диапазоне 30–300 МГц.</w:t>
      </w:r>
    </w:p>
    <w:p w14:paraId="31F1D9C0" w14:textId="77777777" w:rsidR="00311418" w:rsidRPr="005B76E6" w:rsidRDefault="00311418" w:rsidP="005B76E6">
      <w:pPr>
        <w:jc w:val="both"/>
      </w:pPr>
      <w:r w:rsidRPr="005B76E6">
        <w:t>В настоящем пересмотре исключена ссылка на Систему A, поскольку она более не актуальна в данной Рекомендации.</w:t>
      </w:r>
    </w:p>
    <w:p w14:paraId="244553D4" w14:textId="7272EDFF" w:rsidR="001A40AC" w:rsidRPr="005B76E6" w:rsidRDefault="001A40AC" w:rsidP="001A40AC">
      <w:pPr>
        <w:tabs>
          <w:tab w:val="right" w:pos="9639"/>
        </w:tabs>
        <w:spacing w:before="480"/>
      </w:pPr>
      <w:r w:rsidRPr="005B76E6">
        <w:rPr>
          <w:u w:val="single"/>
        </w:rPr>
        <w:t xml:space="preserve">Проект пересмотра Рекомендации МСЭ-R </w:t>
      </w:r>
      <w:r w:rsidRPr="005B76E6">
        <w:rPr>
          <w:rFonts w:cstheme="minorHAnsi"/>
          <w:szCs w:val="24"/>
          <w:u w:val="single"/>
        </w:rPr>
        <w:t>BO.1504-0</w:t>
      </w:r>
      <w:r w:rsidRPr="005B76E6">
        <w:tab/>
      </w:r>
      <w:bookmarkEnd w:id="2"/>
      <w:r w:rsidRPr="005B76E6">
        <w:rPr>
          <w:szCs w:val="22"/>
        </w:rPr>
        <w:t>Док</w:t>
      </w:r>
      <w:r w:rsidRPr="005B76E6">
        <w:t xml:space="preserve">. </w:t>
      </w:r>
      <w:r w:rsidRPr="005B76E6">
        <w:rPr>
          <w:rFonts w:cstheme="minorHAnsi"/>
          <w:szCs w:val="24"/>
        </w:rPr>
        <w:t>4/55</w:t>
      </w:r>
    </w:p>
    <w:p w14:paraId="12ADC4BC" w14:textId="20545756" w:rsidR="001A40AC" w:rsidRPr="005B76E6" w:rsidRDefault="001A40AC" w:rsidP="001A40AC">
      <w:pPr>
        <w:pStyle w:val="Rectitle"/>
        <w:spacing w:before="480"/>
        <w:rPr>
          <w:szCs w:val="24"/>
        </w:rPr>
      </w:pPr>
      <w:r w:rsidRPr="005B76E6">
        <w:rPr>
          <w:bCs/>
        </w:rPr>
        <w:t>Эффективное использование спектра, присвоенного радиовещательной спутниковой службе (звуковой)</w:t>
      </w:r>
    </w:p>
    <w:p w14:paraId="7DDB3643" w14:textId="3D648132" w:rsidR="00FF483B" w:rsidRPr="005B76E6" w:rsidRDefault="001A40AC" w:rsidP="005B76E6">
      <w:pPr>
        <w:pStyle w:val="Summary"/>
        <w:rPr>
          <w:lang w:val="ru-RU"/>
        </w:rPr>
      </w:pPr>
      <w:r w:rsidRPr="005B76E6">
        <w:rPr>
          <w:lang w:val="ru-RU"/>
        </w:rPr>
        <w:t>После обновления цифровой системы A (Eureka-147 DAB), опубликованной в (ETSI EN 300 401 V2</w:t>
      </w:r>
      <w:r w:rsidR="00DD0E20" w:rsidRPr="005B76E6">
        <w:rPr>
          <w:lang w:val="ru-RU"/>
        </w:rPr>
        <w:t>.</w:t>
      </w:r>
      <w:r w:rsidRPr="005B76E6">
        <w:rPr>
          <w:lang w:val="ru-RU"/>
        </w:rPr>
        <w:t>1</w:t>
      </w:r>
      <w:r w:rsidR="00DD0E20" w:rsidRPr="005B76E6">
        <w:rPr>
          <w:lang w:val="ru-RU"/>
        </w:rPr>
        <w:t>.</w:t>
      </w:r>
      <w:r w:rsidRPr="005B76E6">
        <w:rPr>
          <w:lang w:val="ru-RU"/>
        </w:rPr>
        <w:t xml:space="preserve">1 (2017-01)), и удаления режимов передачи II, III и IV был сохранен только режим I, предназначенный для наземного радиовещания в диапазоне 30–300 МГц. В настоящем пересмотре исключена ссылка на Систему A, поскольку она более не актуальна в данной Рекомендации. </w:t>
      </w:r>
      <w:r w:rsidR="00DD0E20" w:rsidRPr="005B76E6">
        <w:rPr>
          <w:lang w:val="ru-RU"/>
        </w:rPr>
        <w:t xml:space="preserve">Пункты </w:t>
      </w:r>
      <w:r w:rsidRPr="005B76E6">
        <w:rPr>
          <w:lang w:val="ru-RU"/>
        </w:rPr>
        <w:t xml:space="preserve">1 и 2 раздела </w:t>
      </w:r>
      <w:r w:rsidRPr="005B76E6">
        <w:rPr>
          <w:i/>
          <w:iCs/>
          <w:lang w:val="ru-RU"/>
        </w:rPr>
        <w:t>предлагает БР</w:t>
      </w:r>
      <w:r w:rsidRPr="005B76E6">
        <w:rPr>
          <w:lang w:val="ru-RU"/>
        </w:rPr>
        <w:t xml:space="preserve"> были исключены, а </w:t>
      </w:r>
      <w:r w:rsidR="00DD0E20" w:rsidRPr="005B76E6">
        <w:rPr>
          <w:lang w:val="ru-RU"/>
        </w:rPr>
        <w:t xml:space="preserve">используемая в тексте </w:t>
      </w:r>
      <w:r w:rsidRPr="005B76E6">
        <w:rPr>
          <w:lang w:val="ru-RU"/>
        </w:rPr>
        <w:t>терминология была адаптирована к Регламенту радиосвязи.</w:t>
      </w:r>
    </w:p>
    <w:p w14:paraId="19E13DBA" w14:textId="690CF6CE" w:rsidR="001A40AC" w:rsidRPr="005B76E6" w:rsidRDefault="001A40A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5B76E6">
        <w:br w:type="page"/>
      </w:r>
    </w:p>
    <w:p w14:paraId="5E9B90D7" w14:textId="77777777" w:rsidR="00705F1D" w:rsidRPr="005B76E6" w:rsidRDefault="00705F1D" w:rsidP="00E3193E">
      <w:pPr>
        <w:pStyle w:val="AnnexNo"/>
      </w:pPr>
      <w:r w:rsidRPr="005B76E6">
        <w:t>П</w:t>
      </w:r>
      <w:r w:rsidR="008750C7" w:rsidRPr="005B76E6">
        <w:t>риложение</w:t>
      </w:r>
      <w:r w:rsidRPr="005B76E6">
        <w:t xml:space="preserve"> 2</w:t>
      </w:r>
    </w:p>
    <w:p w14:paraId="564A5349" w14:textId="4792E2A0" w:rsidR="00AC0B55" w:rsidRPr="005B76E6" w:rsidRDefault="00AC0B55" w:rsidP="00165D31">
      <w:pPr>
        <w:spacing w:after="480"/>
        <w:jc w:val="center"/>
        <w:rPr>
          <w:b/>
          <w:bCs/>
          <w:sz w:val="26"/>
          <w:szCs w:val="26"/>
        </w:rPr>
      </w:pPr>
      <w:r w:rsidRPr="005B76E6">
        <w:rPr>
          <w:b/>
          <w:bCs/>
          <w:sz w:val="26"/>
          <w:szCs w:val="26"/>
        </w:rPr>
        <w:t>Рекомендация МСЭ-R, предлагаемая к исключению</w:t>
      </w:r>
    </w:p>
    <w:tbl>
      <w:tblPr>
        <w:tblW w:w="96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65"/>
        <w:gridCol w:w="5245"/>
        <w:gridCol w:w="2132"/>
      </w:tblGrid>
      <w:tr w:rsidR="00165D31" w:rsidRPr="005B76E6" w14:paraId="6106C3D3" w14:textId="2EBA106A" w:rsidTr="00A52A28">
        <w:trPr>
          <w:cantSplit/>
          <w:tblHeader/>
        </w:trPr>
        <w:tc>
          <w:tcPr>
            <w:tcW w:w="2265" w:type="dxa"/>
            <w:vAlign w:val="center"/>
            <w:hideMark/>
          </w:tcPr>
          <w:p w14:paraId="6E685CB9" w14:textId="77777777" w:rsidR="00165D31" w:rsidRPr="005B76E6" w:rsidRDefault="00165D31" w:rsidP="007D5FEC">
            <w:pPr>
              <w:pStyle w:val="Tablehead"/>
              <w:rPr>
                <w:rFonts w:cstheme="majorBidi"/>
                <w:lang w:val="ru-RU"/>
              </w:rPr>
            </w:pPr>
            <w:r w:rsidRPr="005B76E6">
              <w:rPr>
                <w:rFonts w:cstheme="majorBidi"/>
                <w:lang w:val="ru-RU"/>
              </w:rPr>
              <w:t>Рекомендация МСЭ-R</w:t>
            </w:r>
          </w:p>
        </w:tc>
        <w:tc>
          <w:tcPr>
            <w:tcW w:w="5245" w:type="dxa"/>
            <w:vAlign w:val="center"/>
            <w:hideMark/>
          </w:tcPr>
          <w:p w14:paraId="34BA100E" w14:textId="77777777" w:rsidR="00165D31" w:rsidRPr="005B76E6" w:rsidRDefault="00165D31" w:rsidP="007D5FEC">
            <w:pPr>
              <w:pStyle w:val="Tablehead"/>
              <w:rPr>
                <w:rFonts w:cstheme="majorBidi"/>
                <w:lang w:val="ru-RU"/>
              </w:rPr>
            </w:pPr>
            <w:r w:rsidRPr="005B76E6">
              <w:rPr>
                <w:rFonts w:cstheme="majorBidi"/>
                <w:lang w:val="ru-RU"/>
              </w:rPr>
              <w:t>Название</w:t>
            </w:r>
          </w:p>
        </w:tc>
        <w:tc>
          <w:tcPr>
            <w:tcW w:w="2132" w:type="dxa"/>
          </w:tcPr>
          <w:p w14:paraId="33148767" w14:textId="476FCDF2" w:rsidR="00165D31" w:rsidRPr="005B76E6" w:rsidRDefault="00165D31" w:rsidP="007D5FEC">
            <w:pPr>
              <w:pStyle w:val="Tablehead"/>
              <w:rPr>
                <w:rFonts w:cstheme="majorBidi"/>
                <w:lang w:val="ru-RU"/>
              </w:rPr>
            </w:pPr>
            <w:r w:rsidRPr="005B76E6">
              <w:rPr>
                <w:rFonts w:cstheme="majorBidi"/>
                <w:lang w:val="ru-RU"/>
              </w:rPr>
              <w:t>Документ</w:t>
            </w:r>
          </w:p>
        </w:tc>
      </w:tr>
      <w:tr w:rsidR="00165D31" w:rsidRPr="005B76E6" w14:paraId="7082F4A9" w14:textId="359B4C8A" w:rsidTr="00A52A28">
        <w:trPr>
          <w:cantSplit/>
        </w:trPr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4E37" w14:textId="711A7DA1" w:rsidR="00165D31" w:rsidRPr="005B76E6" w:rsidRDefault="001A40AC" w:rsidP="00165D31">
            <w:pPr>
              <w:pStyle w:val="Tabletext"/>
              <w:jc w:val="center"/>
              <w:rPr>
                <w:rFonts w:cstheme="minorHAnsi"/>
                <w:lang w:eastAsia="ja-JP"/>
              </w:rPr>
            </w:pPr>
            <w:r w:rsidRPr="005B76E6">
              <w:rPr>
                <w:rFonts w:cstheme="majorBidi"/>
                <w:lang w:eastAsia="ja-JP"/>
              </w:rPr>
              <w:t>M.632-3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88A5" w14:textId="1CFF3A7E" w:rsidR="00165D31" w:rsidRPr="005B76E6" w:rsidRDefault="001A40AC" w:rsidP="00165D31">
            <w:pPr>
              <w:pStyle w:val="Tabletext"/>
              <w:rPr>
                <w:rFonts w:cstheme="minorHAnsi"/>
                <w:lang w:eastAsia="ja-JP"/>
              </w:rPr>
            </w:pPr>
            <w:r w:rsidRPr="005B76E6">
              <w:rPr>
                <w:rFonts w:cstheme="majorBidi"/>
                <w:lang w:eastAsia="ja-JP"/>
              </w:rPr>
              <w:t>Характеристики передачи системы спутниковых радиомаяков – указателей места бедствия (спутниковых EPIRB), работающей через геостационарные спутники в диапазоне 1,6 ГГц</w:t>
            </w:r>
          </w:p>
        </w:tc>
        <w:tc>
          <w:tcPr>
            <w:tcW w:w="2132" w:type="dxa"/>
          </w:tcPr>
          <w:p w14:paraId="21D426F9" w14:textId="679BB4CC" w:rsidR="00165D31" w:rsidRPr="005B76E6" w:rsidRDefault="001A40AC" w:rsidP="00165D31">
            <w:pPr>
              <w:pStyle w:val="Tabletext"/>
              <w:jc w:val="center"/>
              <w:rPr>
                <w:rFonts w:cstheme="minorHAnsi"/>
                <w:lang w:eastAsia="ja-JP"/>
              </w:rPr>
            </w:pPr>
            <w:r w:rsidRPr="005B76E6">
              <w:rPr>
                <w:rFonts w:cstheme="minorHAnsi"/>
              </w:rPr>
              <w:t>4/48</w:t>
            </w:r>
          </w:p>
        </w:tc>
      </w:tr>
    </w:tbl>
    <w:p w14:paraId="442AB2B0" w14:textId="77777777" w:rsidR="004A7970" w:rsidRPr="005B76E6" w:rsidRDefault="00705F1D" w:rsidP="00E3193E">
      <w:pPr>
        <w:spacing w:before="720"/>
        <w:jc w:val="center"/>
      </w:pPr>
      <w:r w:rsidRPr="005B76E6">
        <w:t>______________</w:t>
      </w:r>
    </w:p>
    <w:sectPr w:rsidR="004A7970" w:rsidRPr="005B76E6" w:rsidSect="00165D31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9140" w14:textId="77777777" w:rsidR="004A7970" w:rsidRDefault="004A7970">
      <w:r>
        <w:separator/>
      </w:r>
    </w:p>
  </w:endnote>
  <w:endnote w:type="continuationSeparator" w:id="0">
    <w:p w14:paraId="526C5464" w14:textId="77777777" w:rsidR="004A7970" w:rsidRDefault="004A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3761" w14:textId="43B6801A" w:rsidR="004B7971" w:rsidRPr="0023034A" w:rsidRDefault="0023034A" w:rsidP="00083BC6">
    <w:pPr>
      <w:pStyle w:val="Pieddepage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="00412968">
      <w:rPr>
        <w:sz w:val="20"/>
      </w:rPr>
      <w:t>M:\BRDIR\BRDIRASSISTANT\2025\CORRESPONDENCE &amp; CIRCULARS\12-2025\CACE-1166-R.DOCX</w:t>
    </w:r>
    <w:r w:rsidRPr="0023034A">
      <w:rPr>
        <w:sz w:val="20"/>
      </w:rPr>
      <w:fldChar w:fldCharType="end"/>
    </w:r>
    <w:r w:rsidR="00083BC6"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581C" w14:textId="200EB046" w:rsidR="00E915AF" w:rsidRPr="00A15E72" w:rsidRDefault="00A15E72" w:rsidP="00A15E72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133F9E">
      <w:rPr>
        <w:color w:val="4F81BD" w:themeColor="accent1"/>
        <w:sz w:val="19"/>
        <w:szCs w:val="19"/>
      </w:rPr>
      <w:t>International Telecommunication Union • Place des Nations, CH</w:t>
    </w:r>
    <w:r w:rsidRPr="00133F9E">
      <w:rPr>
        <w:color w:val="4F81BD" w:themeColor="accent1"/>
        <w:sz w:val="19"/>
        <w:szCs w:val="19"/>
      </w:rPr>
      <w:noBreakHyphen/>
      <w:t>1211 Geneva 20, Switzerland</w:t>
    </w:r>
    <w:r w:rsidRPr="00133F9E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133F9E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 xml:space="preserve">Эл. </w:t>
    </w:r>
    <w:r>
      <w:rPr>
        <w:color w:val="4F81BD" w:themeColor="accent1"/>
        <w:sz w:val="19"/>
        <w:szCs w:val="19"/>
        <w:lang w:val="ru-RU"/>
      </w:rPr>
      <w:t>почта</w:t>
    </w:r>
    <w:r w:rsidRPr="00133F9E">
      <w:rPr>
        <w:color w:val="4F81BD" w:themeColor="accent1"/>
        <w:sz w:val="19"/>
        <w:szCs w:val="19"/>
      </w:rPr>
      <w:t xml:space="preserve">: </w:t>
    </w:r>
    <w:hyperlink r:id="rId1" w:history="1">
      <w:r w:rsidRPr="00133F9E">
        <w:rPr>
          <w:rStyle w:val="Lienhypertexte"/>
          <w:sz w:val="19"/>
          <w:szCs w:val="19"/>
        </w:rPr>
        <w:t>itumail@itu.int</w:t>
      </w:r>
    </w:hyperlink>
    <w:r w:rsidRPr="00133F9E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15E72">
      <w:rPr>
        <w:color w:val="4F81BD" w:themeColor="accent1"/>
        <w:sz w:val="19"/>
        <w:szCs w:val="19"/>
      </w:rPr>
      <w:t xml:space="preserve">: +41 22 733 7256 </w:t>
    </w:r>
    <w:r w:rsidRPr="00133F9E">
      <w:rPr>
        <w:color w:val="4F81BD" w:themeColor="accent1"/>
        <w:sz w:val="19"/>
        <w:szCs w:val="19"/>
      </w:rPr>
      <w:t xml:space="preserve">• </w:t>
    </w:r>
    <w:hyperlink r:id="rId2" w:history="1">
      <w:r w:rsidRPr="00133F9E">
        <w:rPr>
          <w:rStyle w:val="Lienhypertexte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D325" w14:textId="77777777" w:rsidR="004A7970" w:rsidRDefault="004A7970">
      <w:r>
        <w:t>____________________</w:t>
      </w:r>
    </w:p>
  </w:footnote>
  <w:footnote w:type="continuationSeparator" w:id="0">
    <w:p w14:paraId="60977B64" w14:textId="77777777" w:rsidR="004A7970" w:rsidRDefault="004A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A575" w14:textId="77777777" w:rsidR="00E915AF" w:rsidRPr="00BF5F50" w:rsidRDefault="00BF5F50" w:rsidP="00BF5F50">
    <w:pPr>
      <w:pStyle w:val="En-tte"/>
    </w:pPr>
    <w:r w:rsidRPr="00BF5F50">
      <w:rPr>
        <w:szCs w:val="18"/>
      </w:rPr>
      <w:t xml:space="preserve">- </w:t>
    </w:r>
    <w:r w:rsidRPr="00BF5F50">
      <w:rPr>
        <w:rStyle w:val="Numrodepage"/>
        <w:szCs w:val="18"/>
      </w:rPr>
      <w:fldChar w:fldCharType="begin"/>
    </w:r>
    <w:r w:rsidRPr="00BF5F50">
      <w:rPr>
        <w:rStyle w:val="Numrodepage"/>
        <w:szCs w:val="18"/>
      </w:rPr>
      <w:instrText xml:space="preserve"> PAGE </w:instrText>
    </w:r>
    <w:r w:rsidRPr="00BF5F50">
      <w:rPr>
        <w:rStyle w:val="Numrodepage"/>
        <w:szCs w:val="18"/>
      </w:rPr>
      <w:fldChar w:fldCharType="separate"/>
    </w:r>
    <w:r w:rsidR="00E3193E">
      <w:rPr>
        <w:rStyle w:val="Numrodepage"/>
        <w:noProof/>
        <w:szCs w:val="18"/>
      </w:rPr>
      <w:t>2</w:t>
    </w:r>
    <w:r w:rsidRPr="00BF5F50">
      <w:rPr>
        <w:rStyle w:val="Numrodepage"/>
        <w:szCs w:val="18"/>
      </w:rPr>
      <w:fldChar w:fldCharType="end"/>
    </w:r>
    <w:r w:rsidRPr="00BF5F50">
      <w:rPr>
        <w:rStyle w:val="Numrodepage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6D18" w14:textId="17B17E09" w:rsidR="00BF5F50" w:rsidRPr="00BF5F50" w:rsidRDefault="009D76BE" w:rsidP="00E3193E">
    <w:pPr>
      <w:pStyle w:val="En-tte"/>
    </w:pPr>
    <w:r>
      <w:rPr>
        <w:rStyle w:val="Numrodepage"/>
        <w:szCs w:val="18"/>
      </w:rPr>
      <w:t xml:space="preserve">- </w:t>
    </w:r>
    <w:r w:rsidR="00BF5F50" w:rsidRPr="00BF5F50">
      <w:rPr>
        <w:rStyle w:val="Numrodepage"/>
        <w:szCs w:val="18"/>
      </w:rPr>
      <w:fldChar w:fldCharType="begin"/>
    </w:r>
    <w:r w:rsidR="00BF5F50" w:rsidRPr="00BF5F50">
      <w:rPr>
        <w:rStyle w:val="Numrodepage"/>
        <w:szCs w:val="18"/>
      </w:rPr>
      <w:instrText xml:space="preserve"> PAGE </w:instrText>
    </w:r>
    <w:r w:rsidR="00BF5F50" w:rsidRPr="00BF5F50">
      <w:rPr>
        <w:rStyle w:val="Numrodepage"/>
        <w:szCs w:val="18"/>
      </w:rPr>
      <w:fldChar w:fldCharType="separate"/>
    </w:r>
    <w:r w:rsidR="001F52C4">
      <w:rPr>
        <w:rStyle w:val="Numrodepage"/>
        <w:noProof/>
        <w:szCs w:val="18"/>
      </w:rPr>
      <w:t>3</w:t>
    </w:r>
    <w:r w:rsidR="00BF5F50" w:rsidRPr="00BF5F50">
      <w:rPr>
        <w:rStyle w:val="Numrodepage"/>
        <w:szCs w:val="18"/>
      </w:rPr>
      <w:fldChar w:fldCharType="end"/>
    </w:r>
    <w:r>
      <w:rPr>
        <w:rStyle w:val="Numrodepage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E6FC" w14:textId="0FA88889" w:rsidR="00C87CE6" w:rsidRPr="00E3193E" w:rsidRDefault="00A15E72" w:rsidP="00165D31">
    <w:pPr>
      <w:pStyle w:val="En-tte"/>
      <w:spacing w:after="120"/>
    </w:pPr>
    <w:r>
      <w:rPr>
        <w:noProof/>
        <w:lang w:eastAsia="zh-CN"/>
      </w:rPr>
      <w:drawing>
        <wp:inline distT="0" distB="0" distL="0" distR="0" wp14:anchorId="4F8A97A1" wp14:editId="12E7ED9B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9175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359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C7C"/>
    <w:rsid w:val="00006A31"/>
    <w:rsid w:val="00006C82"/>
    <w:rsid w:val="00010E30"/>
    <w:rsid w:val="00015C76"/>
    <w:rsid w:val="00026534"/>
    <w:rsid w:val="00026CF8"/>
    <w:rsid w:val="00030BD7"/>
    <w:rsid w:val="00031E64"/>
    <w:rsid w:val="00034340"/>
    <w:rsid w:val="000373C0"/>
    <w:rsid w:val="00045A8D"/>
    <w:rsid w:val="0005167A"/>
    <w:rsid w:val="00054E5D"/>
    <w:rsid w:val="00070258"/>
    <w:rsid w:val="0007323C"/>
    <w:rsid w:val="00083BC6"/>
    <w:rsid w:val="00086D03"/>
    <w:rsid w:val="0009767F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65D31"/>
    <w:rsid w:val="00171EFC"/>
    <w:rsid w:val="00187CA3"/>
    <w:rsid w:val="00196710"/>
    <w:rsid w:val="00197324"/>
    <w:rsid w:val="001A40AC"/>
    <w:rsid w:val="001B351B"/>
    <w:rsid w:val="001C06DB"/>
    <w:rsid w:val="001C6971"/>
    <w:rsid w:val="001C6DB4"/>
    <w:rsid w:val="001C733F"/>
    <w:rsid w:val="001D2785"/>
    <w:rsid w:val="001D7070"/>
    <w:rsid w:val="001F2170"/>
    <w:rsid w:val="001F3948"/>
    <w:rsid w:val="001F52C4"/>
    <w:rsid w:val="001F5A49"/>
    <w:rsid w:val="001F6CFE"/>
    <w:rsid w:val="00201097"/>
    <w:rsid w:val="00201B6E"/>
    <w:rsid w:val="002302B3"/>
    <w:rsid w:val="0023034A"/>
    <w:rsid w:val="00230C66"/>
    <w:rsid w:val="00235A29"/>
    <w:rsid w:val="00241526"/>
    <w:rsid w:val="002443A2"/>
    <w:rsid w:val="002609D9"/>
    <w:rsid w:val="00266E74"/>
    <w:rsid w:val="00283C3B"/>
    <w:rsid w:val="002861E6"/>
    <w:rsid w:val="00287D18"/>
    <w:rsid w:val="002A233F"/>
    <w:rsid w:val="002A2618"/>
    <w:rsid w:val="002A5DD7"/>
    <w:rsid w:val="002B0CAC"/>
    <w:rsid w:val="002C788B"/>
    <w:rsid w:val="002D5A15"/>
    <w:rsid w:val="002D5BDD"/>
    <w:rsid w:val="002D61CD"/>
    <w:rsid w:val="002D6D81"/>
    <w:rsid w:val="002E3D27"/>
    <w:rsid w:val="002F0890"/>
    <w:rsid w:val="002F2531"/>
    <w:rsid w:val="002F4967"/>
    <w:rsid w:val="00311418"/>
    <w:rsid w:val="00316935"/>
    <w:rsid w:val="003266ED"/>
    <w:rsid w:val="003370B8"/>
    <w:rsid w:val="00345D38"/>
    <w:rsid w:val="00352097"/>
    <w:rsid w:val="003666FF"/>
    <w:rsid w:val="0037309C"/>
    <w:rsid w:val="00380A6E"/>
    <w:rsid w:val="003836D4"/>
    <w:rsid w:val="00390E76"/>
    <w:rsid w:val="003A1F49"/>
    <w:rsid w:val="003A5B2F"/>
    <w:rsid w:val="003A5D52"/>
    <w:rsid w:val="003B2BDA"/>
    <w:rsid w:val="003B55EC"/>
    <w:rsid w:val="003C2EA7"/>
    <w:rsid w:val="003C43CB"/>
    <w:rsid w:val="003C4471"/>
    <w:rsid w:val="003C7D41"/>
    <w:rsid w:val="003D4A69"/>
    <w:rsid w:val="003E504F"/>
    <w:rsid w:val="003E78D6"/>
    <w:rsid w:val="003F1BEB"/>
    <w:rsid w:val="00400573"/>
    <w:rsid w:val="004007A3"/>
    <w:rsid w:val="00406D71"/>
    <w:rsid w:val="004114DD"/>
    <w:rsid w:val="00412968"/>
    <w:rsid w:val="00421D3C"/>
    <w:rsid w:val="004326DB"/>
    <w:rsid w:val="0043682E"/>
    <w:rsid w:val="00447ECB"/>
    <w:rsid w:val="00456812"/>
    <w:rsid w:val="004623F7"/>
    <w:rsid w:val="0046720A"/>
    <w:rsid w:val="00480F51"/>
    <w:rsid w:val="00481124"/>
    <w:rsid w:val="004815EB"/>
    <w:rsid w:val="00487569"/>
    <w:rsid w:val="00491B8F"/>
    <w:rsid w:val="00496864"/>
    <w:rsid w:val="00496920"/>
    <w:rsid w:val="004A4496"/>
    <w:rsid w:val="004A7970"/>
    <w:rsid w:val="004B11AB"/>
    <w:rsid w:val="004B120D"/>
    <w:rsid w:val="004B7971"/>
    <w:rsid w:val="004B7C9A"/>
    <w:rsid w:val="004C61E6"/>
    <w:rsid w:val="004C6779"/>
    <w:rsid w:val="004D733B"/>
    <w:rsid w:val="004E0DC4"/>
    <w:rsid w:val="004E0FB5"/>
    <w:rsid w:val="004E11C2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4372"/>
    <w:rsid w:val="00535AD6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3300"/>
    <w:rsid w:val="005A03A3"/>
    <w:rsid w:val="005A2B92"/>
    <w:rsid w:val="005A79E9"/>
    <w:rsid w:val="005B214C"/>
    <w:rsid w:val="005B76E6"/>
    <w:rsid w:val="005C776B"/>
    <w:rsid w:val="005D3669"/>
    <w:rsid w:val="005E5EB3"/>
    <w:rsid w:val="005F3CB6"/>
    <w:rsid w:val="005F657C"/>
    <w:rsid w:val="00602D53"/>
    <w:rsid w:val="006047E5"/>
    <w:rsid w:val="00607733"/>
    <w:rsid w:val="0064371D"/>
    <w:rsid w:val="00650B2A"/>
    <w:rsid w:val="00651777"/>
    <w:rsid w:val="006550F8"/>
    <w:rsid w:val="00656226"/>
    <w:rsid w:val="006666AD"/>
    <w:rsid w:val="006829F3"/>
    <w:rsid w:val="006A518B"/>
    <w:rsid w:val="006A6628"/>
    <w:rsid w:val="006B0590"/>
    <w:rsid w:val="006B49DA"/>
    <w:rsid w:val="006C53F8"/>
    <w:rsid w:val="006C7CDE"/>
    <w:rsid w:val="006D23F6"/>
    <w:rsid w:val="00705F1D"/>
    <w:rsid w:val="00707156"/>
    <w:rsid w:val="0071614B"/>
    <w:rsid w:val="007234B1"/>
    <w:rsid w:val="00723D08"/>
    <w:rsid w:val="00725FDA"/>
    <w:rsid w:val="00727816"/>
    <w:rsid w:val="00730B9A"/>
    <w:rsid w:val="00740B4A"/>
    <w:rsid w:val="00750CFA"/>
    <w:rsid w:val="00753802"/>
    <w:rsid w:val="007553DA"/>
    <w:rsid w:val="0077406E"/>
    <w:rsid w:val="00782354"/>
    <w:rsid w:val="007921A7"/>
    <w:rsid w:val="007B3DB1"/>
    <w:rsid w:val="007D183E"/>
    <w:rsid w:val="007D3065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1FD9"/>
    <w:rsid w:val="00854131"/>
    <w:rsid w:val="0085652D"/>
    <w:rsid w:val="00861C0F"/>
    <w:rsid w:val="008750C7"/>
    <w:rsid w:val="0087694B"/>
    <w:rsid w:val="00880F4D"/>
    <w:rsid w:val="008A0702"/>
    <w:rsid w:val="008B35A3"/>
    <w:rsid w:val="008B37E1"/>
    <w:rsid w:val="008B45F8"/>
    <w:rsid w:val="008C2E74"/>
    <w:rsid w:val="008D077B"/>
    <w:rsid w:val="008D5409"/>
    <w:rsid w:val="008E006D"/>
    <w:rsid w:val="008E38B4"/>
    <w:rsid w:val="008F4F21"/>
    <w:rsid w:val="00904D4A"/>
    <w:rsid w:val="00904ECB"/>
    <w:rsid w:val="009142AA"/>
    <w:rsid w:val="009151BA"/>
    <w:rsid w:val="0091635D"/>
    <w:rsid w:val="00925023"/>
    <w:rsid w:val="009277BC"/>
    <w:rsid w:val="00927D57"/>
    <w:rsid w:val="00931A51"/>
    <w:rsid w:val="00944805"/>
    <w:rsid w:val="00947185"/>
    <w:rsid w:val="009518B3"/>
    <w:rsid w:val="00955A2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D76BE"/>
    <w:rsid w:val="009E04A8"/>
    <w:rsid w:val="009E4AEC"/>
    <w:rsid w:val="009E5BD8"/>
    <w:rsid w:val="009E6011"/>
    <w:rsid w:val="009E681E"/>
    <w:rsid w:val="00A119E6"/>
    <w:rsid w:val="00A15E72"/>
    <w:rsid w:val="00A20270"/>
    <w:rsid w:val="00A20FBC"/>
    <w:rsid w:val="00A31370"/>
    <w:rsid w:val="00A34D6F"/>
    <w:rsid w:val="00A4037E"/>
    <w:rsid w:val="00A41F91"/>
    <w:rsid w:val="00A45D9A"/>
    <w:rsid w:val="00A52A28"/>
    <w:rsid w:val="00A5696C"/>
    <w:rsid w:val="00A63355"/>
    <w:rsid w:val="00A7596D"/>
    <w:rsid w:val="00A963DF"/>
    <w:rsid w:val="00AC0B55"/>
    <w:rsid w:val="00AC0C22"/>
    <w:rsid w:val="00AC3896"/>
    <w:rsid w:val="00AD2CF2"/>
    <w:rsid w:val="00AE2D88"/>
    <w:rsid w:val="00AE6F6F"/>
    <w:rsid w:val="00AF2E77"/>
    <w:rsid w:val="00AF3325"/>
    <w:rsid w:val="00AF34D9"/>
    <w:rsid w:val="00AF70DA"/>
    <w:rsid w:val="00B019D3"/>
    <w:rsid w:val="00B34CF9"/>
    <w:rsid w:val="00B37559"/>
    <w:rsid w:val="00B4054B"/>
    <w:rsid w:val="00B500FB"/>
    <w:rsid w:val="00B579B0"/>
    <w:rsid w:val="00B57D11"/>
    <w:rsid w:val="00B57F3C"/>
    <w:rsid w:val="00B649D7"/>
    <w:rsid w:val="00B81C2F"/>
    <w:rsid w:val="00B81E71"/>
    <w:rsid w:val="00B90743"/>
    <w:rsid w:val="00B90C45"/>
    <w:rsid w:val="00B933BE"/>
    <w:rsid w:val="00BD6738"/>
    <w:rsid w:val="00BD7E5E"/>
    <w:rsid w:val="00BE63DB"/>
    <w:rsid w:val="00BE6574"/>
    <w:rsid w:val="00BF5F50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87CE6"/>
    <w:rsid w:val="00C9291E"/>
    <w:rsid w:val="00C9704C"/>
    <w:rsid w:val="00CA3F44"/>
    <w:rsid w:val="00CA4E58"/>
    <w:rsid w:val="00CB3771"/>
    <w:rsid w:val="00CB44BF"/>
    <w:rsid w:val="00CB5153"/>
    <w:rsid w:val="00CE076A"/>
    <w:rsid w:val="00CE463D"/>
    <w:rsid w:val="00CE4DFE"/>
    <w:rsid w:val="00D10BA0"/>
    <w:rsid w:val="00D13C40"/>
    <w:rsid w:val="00D21694"/>
    <w:rsid w:val="00D24118"/>
    <w:rsid w:val="00D24EB5"/>
    <w:rsid w:val="00D35AB9"/>
    <w:rsid w:val="00D41571"/>
    <w:rsid w:val="00D416A0"/>
    <w:rsid w:val="00D47672"/>
    <w:rsid w:val="00D5123C"/>
    <w:rsid w:val="00D55560"/>
    <w:rsid w:val="00D61C5A"/>
    <w:rsid w:val="00D64CAB"/>
    <w:rsid w:val="00D6790C"/>
    <w:rsid w:val="00D73277"/>
    <w:rsid w:val="00D76586"/>
    <w:rsid w:val="00D82657"/>
    <w:rsid w:val="00D87E20"/>
    <w:rsid w:val="00DA16A9"/>
    <w:rsid w:val="00DA1844"/>
    <w:rsid w:val="00DA383E"/>
    <w:rsid w:val="00DA4037"/>
    <w:rsid w:val="00DD0E20"/>
    <w:rsid w:val="00DE66A5"/>
    <w:rsid w:val="00DF2B50"/>
    <w:rsid w:val="00E04C86"/>
    <w:rsid w:val="00E17344"/>
    <w:rsid w:val="00E20F30"/>
    <w:rsid w:val="00E2189C"/>
    <w:rsid w:val="00E248B4"/>
    <w:rsid w:val="00E25BB1"/>
    <w:rsid w:val="00E27BBA"/>
    <w:rsid w:val="00E30E3F"/>
    <w:rsid w:val="00E3193E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B7913"/>
    <w:rsid w:val="00EC02FE"/>
    <w:rsid w:val="00EC4A96"/>
    <w:rsid w:val="00EE596C"/>
    <w:rsid w:val="00F05284"/>
    <w:rsid w:val="00F424BF"/>
    <w:rsid w:val="00F44FC3"/>
    <w:rsid w:val="00F46107"/>
    <w:rsid w:val="00F468C5"/>
    <w:rsid w:val="00F52F39"/>
    <w:rsid w:val="00F6184F"/>
    <w:rsid w:val="00F61BC6"/>
    <w:rsid w:val="00F63323"/>
    <w:rsid w:val="00F8310E"/>
    <w:rsid w:val="00F914DD"/>
    <w:rsid w:val="00FA2358"/>
    <w:rsid w:val="00FB2592"/>
    <w:rsid w:val="00FB2810"/>
    <w:rsid w:val="00FB7A2C"/>
    <w:rsid w:val="00FC2947"/>
    <w:rsid w:val="00FC2D7E"/>
    <w:rsid w:val="00FE0818"/>
    <w:rsid w:val="00FE2FCC"/>
    <w:rsid w:val="00FE6FB1"/>
    <w:rsid w:val="00FF33EF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Titre1">
    <w:name w:val="heading 1"/>
    <w:basedOn w:val="Normal"/>
    <w:next w:val="Normal"/>
    <w:link w:val="Titre1Car"/>
    <w:qFormat/>
    <w:rsid w:val="00E3193E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Titre2">
    <w:name w:val="heading 2"/>
    <w:basedOn w:val="Titre1"/>
    <w:next w:val="Normal"/>
    <w:link w:val="Titre2Car"/>
    <w:qFormat/>
    <w:rsid w:val="00E3193E"/>
    <w:pPr>
      <w:spacing w:before="200"/>
      <w:outlineLvl w:val="1"/>
    </w:pPr>
    <w:rPr>
      <w:sz w:val="22"/>
    </w:rPr>
  </w:style>
  <w:style w:type="paragraph" w:styleId="Titre3">
    <w:name w:val="heading 3"/>
    <w:basedOn w:val="Titre1"/>
    <w:next w:val="Normal"/>
    <w:link w:val="Titre3Car"/>
    <w:qFormat/>
    <w:rsid w:val="00E3193E"/>
    <w:pPr>
      <w:tabs>
        <w:tab w:val="clear" w:pos="1134"/>
      </w:tabs>
      <w:spacing w:before="200"/>
      <w:outlineLvl w:val="2"/>
    </w:pPr>
    <w:rPr>
      <w:sz w:val="22"/>
    </w:rPr>
  </w:style>
  <w:style w:type="paragraph" w:styleId="Titre4">
    <w:name w:val="heading 4"/>
    <w:basedOn w:val="Titre3"/>
    <w:next w:val="Normal"/>
    <w:link w:val="Titre4Car"/>
    <w:qFormat/>
    <w:rsid w:val="00E3193E"/>
    <w:pPr>
      <w:outlineLvl w:val="3"/>
    </w:pPr>
  </w:style>
  <w:style w:type="paragraph" w:styleId="Titre5">
    <w:name w:val="heading 5"/>
    <w:basedOn w:val="Titre4"/>
    <w:next w:val="Normal"/>
    <w:link w:val="Titre5Car"/>
    <w:qFormat/>
    <w:rsid w:val="00E3193E"/>
    <w:pPr>
      <w:outlineLvl w:val="4"/>
    </w:pPr>
  </w:style>
  <w:style w:type="paragraph" w:styleId="Titre6">
    <w:name w:val="heading 6"/>
    <w:basedOn w:val="Titre4"/>
    <w:next w:val="Normal"/>
    <w:link w:val="Titre6Car"/>
    <w:qFormat/>
    <w:rsid w:val="00E3193E"/>
    <w:pPr>
      <w:outlineLvl w:val="5"/>
    </w:pPr>
  </w:style>
  <w:style w:type="paragraph" w:styleId="Titre7">
    <w:name w:val="heading 7"/>
    <w:basedOn w:val="Titre6"/>
    <w:next w:val="Normal"/>
    <w:link w:val="Titre7Car"/>
    <w:qFormat/>
    <w:rsid w:val="00E3193E"/>
    <w:pPr>
      <w:outlineLvl w:val="6"/>
    </w:pPr>
  </w:style>
  <w:style w:type="paragraph" w:styleId="Titre8">
    <w:name w:val="heading 8"/>
    <w:basedOn w:val="Titre6"/>
    <w:next w:val="Normal"/>
    <w:link w:val="Titre8Car"/>
    <w:qFormat/>
    <w:rsid w:val="00E3193E"/>
    <w:pPr>
      <w:outlineLvl w:val="7"/>
    </w:pPr>
  </w:style>
  <w:style w:type="paragraph" w:styleId="Titre9">
    <w:name w:val="heading 9"/>
    <w:basedOn w:val="Titre6"/>
    <w:next w:val="Normal"/>
    <w:link w:val="Titre9C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4"/>
    <w:rsid w:val="00E3193E"/>
  </w:style>
  <w:style w:type="paragraph" w:styleId="TM4">
    <w:name w:val="toc 4"/>
    <w:basedOn w:val="TM3"/>
    <w:rsid w:val="00E3193E"/>
  </w:style>
  <w:style w:type="paragraph" w:styleId="TM3">
    <w:name w:val="toc 3"/>
    <w:basedOn w:val="TM2"/>
    <w:rsid w:val="00E3193E"/>
  </w:style>
  <w:style w:type="paragraph" w:styleId="TM2">
    <w:name w:val="toc 2"/>
    <w:basedOn w:val="TM1"/>
    <w:rsid w:val="00E3193E"/>
    <w:pPr>
      <w:spacing w:before="120"/>
    </w:pPr>
  </w:style>
  <w:style w:type="paragraph" w:styleId="TM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M7">
    <w:name w:val="toc 7"/>
    <w:basedOn w:val="TM4"/>
    <w:rsid w:val="00E3193E"/>
  </w:style>
  <w:style w:type="paragraph" w:styleId="TM6">
    <w:name w:val="toc 6"/>
    <w:basedOn w:val="TM4"/>
    <w:rsid w:val="00E3193E"/>
  </w:style>
  <w:style w:type="paragraph" w:styleId="TM5">
    <w:name w:val="toc 5"/>
    <w:basedOn w:val="TM4"/>
    <w:rsid w:val="00E3193E"/>
  </w:style>
  <w:style w:type="paragraph" w:styleId="Pieddepage">
    <w:name w:val="footer"/>
    <w:basedOn w:val="Normal"/>
    <w:link w:val="PieddepageC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En-tte">
    <w:name w:val="header"/>
    <w:basedOn w:val="Normal"/>
    <w:link w:val="En-tteCar"/>
    <w:rsid w:val="00E3193E"/>
    <w:pPr>
      <w:spacing w:before="0"/>
      <w:jc w:val="center"/>
    </w:pPr>
    <w:rPr>
      <w:sz w:val="18"/>
      <w:lang w:val="en-GB"/>
    </w:rPr>
  </w:style>
  <w:style w:type="character" w:styleId="Appelnotedebasdep">
    <w:name w:val="footnote reference"/>
    <w:basedOn w:val="Policepardfaut"/>
    <w:rsid w:val="00E3193E"/>
    <w:rPr>
      <w:position w:val="6"/>
      <w:sz w:val="16"/>
    </w:rPr>
  </w:style>
  <w:style w:type="paragraph" w:styleId="Notedebasdepage">
    <w:name w:val="footnote text"/>
    <w:basedOn w:val="Normal"/>
    <w:link w:val="NotedebasdepageCar"/>
    <w:rsid w:val="00E3193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E3193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M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M9">
    <w:name w:val="toc 9"/>
    <w:basedOn w:val="TM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uiPriority w:val="99"/>
    <w:rsid w:val="00E3193E"/>
    <w:pPr>
      <w:spacing w:before="400"/>
    </w:pPr>
  </w:style>
  <w:style w:type="character" w:styleId="Numrodepage">
    <w:name w:val="page number"/>
    <w:basedOn w:val="Policepardfau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Retraitnormal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Pieddepage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Titre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Pieddepage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uiPriority w:val="99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Titre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Lienhypertexte">
    <w:name w:val="Hyperlink"/>
    <w:basedOn w:val="Policepardfaut"/>
    <w:uiPriority w:val="99"/>
    <w:rsid w:val="00E3193E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E3193E"/>
    <w:rPr>
      <w:sz w:val="16"/>
      <w:szCs w:val="16"/>
    </w:rPr>
  </w:style>
  <w:style w:type="paragraph" w:styleId="Commentaire">
    <w:name w:val="annotation text"/>
    <w:basedOn w:val="Normal"/>
    <w:semiHidden/>
    <w:rsid w:val="00E3193E"/>
    <w:rPr>
      <w:sz w:val="20"/>
    </w:rPr>
  </w:style>
  <w:style w:type="character" w:customStyle="1" w:styleId="href">
    <w:name w:val="href"/>
    <w:basedOn w:val="Policepardfaut"/>
    <w:rsid w:val="00E3193E"/>
  </w:style>
  <w:style w:type="paragraph" w:customStyle="1" w:styleId="NormalIndent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Textedebulles">
    <w:name w:val="Balloon Text"/>
    <w:basedOn w:val="Normal"/>
    <w:link w:val="TextedebullesC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Textebrut">
    <w:name w:val="Plain Text"/>
    <w:basedOn w:val="Normal"/>
    <w:link w:val="TextebrutC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TextebrutCar">
    <w:name w:val="Texte brut Car"/>
    <w:basedOn w:val="Policepardfaut"/>
    <w:link w:val="Textebru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lev">
    <w:name w:val="Strong"/>
    <w:basedOn w:val="Policepardfaut"/>
    <w:uiPriority w:val="22"/>
    <w:qFormat/>
    <w:rsid w:val="00E3193E"/>
    <w:rPr>
      <w:b/>
      <w:bCs/>
    </w:rPr>
  </w:style>
  <w:style w:type="paragraph" w:styleId="Paragraphedeliste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Retraitcorpsdetexte">
    <w:name w:val="Body Text Indent"/>
    <w:basedOn w:val="Normal"/>
    <w:link w:val="RetraitcorpsdetexteC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RetraitcorpsdetexteCar">
    <w:name w:val="Retrait corps de texte Car"/>
    <w:basedOn w:val="Policepardfaut"/>
    <w:link w:val="Retraitcorpsdetexte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PieddepageCar">
    <w:name w:val="Pied de page Car"/>
    <w:basedOn w:val="Policepardfaut"/>
    <w:link w:val="Pieddepage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Grilledutableau">
    <w:name w:val="Table Grid"/>
    <w:basedOn w:val="Tableau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Policepardfau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Policepardfau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Policepardfau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Policepardfau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Policepardfau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Policepardfau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Policepardfau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Policepardfau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Policepardfau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Policepardfau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Policepardfaut"/>
    <w:link w:val="Tabletext"/>
    <w:uiPriority w:val="99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Policepardfau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Policepardfau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Appeldenotedefin">
    <w:name w:val="endnote reference"/>
    <w:basedOn w:val="Policepardfau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Policepardfaut"/>
    <w:link w:val="enumlev1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Policepardfau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Policepardfau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Retraitnormal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Policepardfau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Policepardfau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Policepardfau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Lienhypertextesuivivisit">
    <w:name w:val="FollowedHyperlink"/>
    <w:basedOn w:val="Policepardfaut"/>
    <w:semiHidden/>
    <w:unhideWhenUsed/>
    <w:rsid w:val="00E3193E"/>
    <w:rPr>
      <w:color w:val="800080" w:themeColor="followedHyperlink"/>
      <w:u w:val="single"/>
    </w:rPr>
  </w:style>
  <w:style w:type="character" w:customStyle="1" w:styleId="NotedebasdepageCar">
    <w:name w:val="Note de bas de page Car"/>
    <w:basedOn w:val="Policepardfaut"/>
    <w:link w:val="Notedebasdepage"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Titre1Car">
    <w:name w:val="Titre 1 Car"/>
    <w:basedOn w:val="Policepardfaut"/>
    <w:link w:val="Titre1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Titre2Car">
    <w:name w:val="Titre 2 Car"/>
    <w:basedOn w:val="Policepardfaut"/>
    <w:link w:val="Titre2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3Car">
    <w:name w:val="Titre 3 Car"/>
    <w:basedOn w:val="Policepardfaut"/>
    <w:link w:val="Titre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4Car">
    <w:name w:val="Titre 4 Car"/>
    <w:basedOn w:val="Policepardfaut"/>
    <w:link w:val="Titre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5Car">
    <w:name w:val="Titre 5 Car"/>
    <w:basedOn w:val="Policepardfaut"/>
    <w:link w:val="Titre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6Car">
    <w:name w:val="Titre 6 Car"/>
    <w:basedOn w:val="Policepardfaut"/>
    <w:link w:val="Titre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7Car">
    <w:name w:val="Titre 7 Car"/>
    <w:basedOn w:val="Policepardfaut"/>
    <w:link w:val="Titre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8Car">
    <w:name w:val="Titre 8 Car"/>
    <w:basedOn w:val="Policepardfaut"/>
    <w:link w:val="Titre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9Car">
    <w:name w:val="Titre 9 Car"/>
    <w:basedOn w:val="Policepardfaut"/>
    <w:link w:val="Titre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Policepardfau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Titreindex">
    <w:name w:val="index heading"/>
    <w:basedOn w:val="Normal"/>
    <w:next w:val="Index1"/>
    <w:rsid w:val="00E3193E"/>
  </w:style>
  <w:style w:type="character" w:styleId="Numrodeligne">
    <w:name w:val="line number"/>
    <w:basedOn w:val="Policepardfau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E3193E"/>
    <w:pPr>
      <w:spacing w:before="280"/>
    </w:pPr>
  </w:style>
  <w:style w:type="character" w:customStyle="1" w:styleId="NormalaftertitleChar">
    <w:name w:val="Normal after title Char"/>
    <w:basedOn w:val="Policepardfau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Policepardfau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Policepardfau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Policepardfau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Policepardfau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Policepardfau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Policepardfaut"/>
    <w:rsid w:val="00E3193E"/>
    <w:rPr>
      <w:rFonts w:cs="Times New Roman"/>
      <w:b/>
    </w:rPr>
  </w:style>
  <w:style w:type="character" w:customStyle="1" w:styleId="Resdef">
    <w:name w:val="Res_def"/>
    <w:basedOn w:val="Policepardfau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Policepardfau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Policepardfau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Policepardfau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Policepardfaut"/>
    <w:link w:val="Tablehead"/>
    <w:uiPriority w:val="99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Policepardfau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Policepardfau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Policepardfau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5B76E6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cstheme="minorHAnsi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A15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23-SG04-C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tu.int/en/ITU-T/ipr/Pages/policy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pub/R-REC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5D26-437E-48B7-A300-84B1BA3F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802</Words>
  <Characters>5926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ITU Letter-Fax (English)</vt:lpstr>
      <vt:lpstr>ITU Letter-Fax (English)</vt:lpstr>
    </vt:vector>
  </TitlesOfParts>
  <Company>ITU</Company>
  <LinksUpToDate>false</LinksUpToDate>
  <CharactersWithSpaces>6715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Nam-Roig, Sophie</cp:lastModifiedBy>
  <cp:revision>9</cp:revision>
  <cp:lastPrinted>2025-12-18T08:51:00Z</cp:lastPrinted>
  <dcterms:created xsi:type="dcterms:W3CDTF">2025-12-15T08:32:00Z</dcterms:created>
  <dcterms:modified xsi:type="dcterms:W3CDTF">2025-12-18T09:25:00Z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