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E9191D" w14:paraId="3373B1DA" w14:textId="77777777" w:rsidTr="004228FA">
        <w:trPr>
          <w:jc w:val="center"/>
        </w:trPr>
        <w:tc>
          <w:tcPr>
            <w:tcW w:w="9889" w:type="dxa"/>
            <w:gridSpan w:val="3"/>
          </w:tcPr>
          <w:p w14:paraId="131D11D0" w14:textId="77777777" w:rsidR="00E53DCE" w:rsidRPr="00E9191D" w:rsidRDefault="00E53DCE" w:rsidP="006160CB">
            <w:pPr>
              <w:spacing w:before="0"/>
              <w:jc w:val="left"/>
              <w:rPr>
                <w:rFonts w:cstheme="minorHAnsi"/>
                <w:b/>
                <w:bCs/>
                <w:color w:val="808080"/>
                <w:sz w:val="28"/>
                <w:szCs w:val="28"/>
                <w:lang w:val="fr-FR"/>
              </w:rPr>
            </w:pPr>
            <w:r w:rsidRPr="00E9191D">
              <w:rPr>
                <w:rFonts w:cstheme="minorHAnsi"/>
                <w:b/>
                <w:bCs/>
                <w:color w:val="808080"/>
                <w:sz w:val="28"/>
                <w:szCs w:val="28"/>
                <w:lang w:val="fr-FR"/>
              </w:rPr>
              <w:t>Bureau des radiocommunications (BR)</w:t>
            </w:r>
          </w:p>
          <w:p w14:paraId="5D410CA3" w14:textId="77777777" w:rsidR="00E53DCE" w:rsidRPr="00E9191D" w:rsidRDefault="00E53DCE" w:rsidP="006160CB">
            <w:pPr>
              <w:spacing w:before="0"/>
              <w:jc w:val="left"/>
              <w:rPr>
                <w:rFonts w:cstheme="minorHAnsi"/>
                <w:b/>
                <w:bCs/>
                <w:color w:val="808080"/>
                <w:sz w:val="28"/>
                <w:szCs w:val="28"/>
                <w:lang w:val="fr-FR"/>
              </w:rPr>
            </w:pPr>
          </w:p>
          <w:p w14:paraId="238EAC46" w14:textId="77777777" w:rsidR="00E53DCE" w:rsidRPr="00E9191D" w:rsidRDefault="00E53DCE" w:rsidP="006160CB">
            <w:pPr>
              <w:spacing w:before="0"/>
              <w:jc w:val="left"/>
              <w:rPr>
                <w:rFonts w:cs="Times New Roman Bold"/>
                <w:b/>
                <w:bCs/>
                <w:color w:val="808080"/>
                <w:sz w:val="28"/>
                <w:szCs w:val="28"/>
                <w:lang w:val="fr-FR"/>
              </w:rPr>
            </w:pPr>
          </w:p>
        </w:tc>
      </w:tr>
      <w:tr w:rsidR="00E53DCE" w:rsidRPr="00E9191D" w14:paraId="32D03654" w14:textId="77777777" w:rsidTr="004228FA">
        <w:trPr>
          <w:jc w:val="center"/>
        </w:trPr>
        <w:tc>
          <w:tcPr>
            <w:tcW w:w="7054" w:type="dxa"/>
            <w:gridSpan w:val="2"/>
          </w:tcPr>
          <w:p w14:paraId="787AC96A" w14:textId="196882F2" w:rsidR="00E53DCE" w:rsidRPr="00E9191D" w:rsidRDefault="00E53DCE" w:rsidP="006160CB">
            <w:pPr>
              <w:spacing w:before="0"/>
              <w:jc w:val="left"/>
              <w:rPr>
                <w:sz w:val="28"/>
                <w:szCs w:val="28"/>
                <w:lang w:val="fr-FR"/>
              </w:rPr>
            </w:pPr>
            <w:r w:rsidRPr="00E9191D">
              <w:rPr>
                <w:szCs w:val="24"/>
                <w:lang w:val="fr-FR"/>
              </w:rPr>
              <w:t>Circulaire administrative</w:t>
            </w:r>
          </w:p>
          <w:p w14:paraId="198DE3D1" w14:textId="3921D583" w:rsidR="00E53DCE" w:rsidRPr="00E9191D" w:rsidRDefault="00AA781A" w:rsidP="006160CB">
            <w:pPr>
              <w:spacing w:before="0"/>
              <w:jc w:val="left"/>
              <w:rPr>
                <w:b/>
                <w:bCs/>
                <w:sz w:val="28"/>
                <w:szCs w:val="28"/>
                <w:lang w:val="fr-FR"/>
              </w:rPr>
            </w:pPr>
            <w:r w:rsidRPr="00E9191D">
              <w:rPr>
                <w:b/>
                <w:bCs/>
                <w:szCs w:val="24"/>
                <w:lang w:val="fr-FR"/>
              </w:rPr>
              <w:t>CACE/</w:t>
            </w:r>
            <w:r w:rsidR="00987C84" w:rsidRPr="00E9191D">
              <w:rPr>
                <w:b/>
                <w:bCs/>
                <w:szCs w:val="24"/>
                <w:lang w:val="fr-FR"/>
              </w:rPr>
              <w:t>1166</w:t>
            </w:r>
          </w:p>
        </w:tc>
        <w:tc>
          <w:tcPr>
            <w:tcW w:w="2835" w:type="dxa"/>
          </w:tcPr>
          <w:p w14:paraId="73698996" w14:textId="54C80B5B" w:rsidR="00E53DCE" w:rsidRPr="00E9191D" w:rsidRDefault="00AA781A" w:rsidP="00304636">
            <w:pPr>
              <w:spacing w:before="0"/>
              <w:jc w:val="right"/>
              <w:rPr>
                <w:sz w:val="28"/>
                <w:szCs w:val="28"/>
                <w:lang w:val="fr-FR"/>
              </w:rPr>
            </w:pPr>
            <w:r w:rsidRPr="00E9191D">
              <w:rPr>
                <w:szCs w:val="24"/>
                <w:lang w:val="fr-FR"/>
              </w:rPr>
              <w:t xml:space="preserve">Le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304636" w:rsidRPr="00E9191D">
                  <w:rPr>
                    <w:rFonts w:cs="Arial"/>
                    <w:szCs w:val="24"/>
                    <w:lang w:val="fr-FR"/>
                  </w:rPr>
                  <w:t>1</w:t>
                </w:r>
                <w:r w:rsidR="00987C84" w:rsidRPr="00E9191D">
                  <w:rPr>
                    <w:rFonts w:cs="Arial"/>
                    <w:szCs w:val="24"/>
                    <w:lang w:val="fr-FR"/>
                  </w:rPr>
                  <w:t>8 décembre 2025</w:t>
                </w:r>
              </w:sdtContent>
            </w:sdt>
          </w:p>
        </w:tc>
      </w:tr>
      <w:tr w:rsidR="00E53DCE" w:rsidRPr="00E9191D" w14:paraId="21CF050B" w14:textId="77777777" w:rsidTr="004228FA">
        <w:trPr>
          <w:jc w:val="center"/>
        </w:trPr>
        <w:tc>
          <w:tcPr>
            <w:tcW w:w="9889" w:type="dxa"/>
            <w:gridSpan w:val="3"/>
          </w:tcPr>
          <w:p w14:paraId="78C111A6" w14:textId="77777777" w:rsidR="00E53DCE" w:rsidRPr="00E9191D" w:rsidRDefault="00E53DCE" w:rsidP="006160CB">
            <w:pPr>
              <w:spacing w:before="0"/>
              <w:jc w:val="left"/>
              <w:rPr>
                <w:rFonts w:cs="Arial"/>
                <w:szCs w:val="24"/>
                <w:lang w:val="fr-FR"/>
              </w:rPr>
            </w:pPr>
          </w:p>
        </w:tc>
      </w:tr>
      <w:tr w:rsidR="00E53DCE" w:rsidRPr="00E9191D" w14:paraId="2F4E240B" w14:textId="77777777" w:rsidTr="004228FA">
        <w:trPr>
          <w:jc w:val="center"/>
        </w:trPr>
        <w:tc>
          <w:tcPr>
            <w:tcW w:w="9889" w:type="dxa"/>
            <w:gridSpan w:val="3"/>
          </w:tcPr>
          <w:p w14:paraId="1E0134AA" w14:textId="77777777" w:rsidR="00E53DCE" w:rsidRPr="00E9191D" w:rsidRDefault="00E53DCE" w:rsidP="006160CB">
            <w:pPr>
              <w:spacing w:before="0"/>
              <w:jc w:val="left"/>
              <w:rPr>
                <w:szCs w:val="24"/>
                <w:lang w:val="fr-FR"/>
              </w:rPr>
            </w:pPr>
          </w:p>
        </w:tc>
      </w:tr>
      <w:tr w:rsidR="00E53DCE" w:rsidRPr="007469EF" w14:paraId="007114AC" w14:textId="77777777" w:rsidTr="004228FA">
        <w:trPr>
          <w:jc w:val="center"/>
        </w:trPr>
        <w:tc>
          <w:tcPr>
            <w:tcW w:w="9889" w:type="dxa"/>
            <w:gridSpan w:val="3"/>
          </w:tcPr>
          <w:p w14:paraId="43A7338A" w14:textId="3FCA78AB" w:rsidR="00E53DCE" w:rsidRPr="00E9191D" w:rsidRDefault="00987C84" w:rsidP="006160CB">
            <w:pPr>
              <w:spacing w:before="0"/>
              <w:jc w:val="left"/>
              <w:rPr>
                <w:b/>
                <w:bCs/>
                <w:szCs w:val="24"/>
                <w:lang w:val="fr-FR"/>
              </w:rPr>
            </w:pPr>
            <w:r w:rsidRPr="00E9191D">
              <w:rPr>
                <w:b/>
                <w:bCs/>
                <w:szCs w:val="24"/>
                <w:lang w:val="fr-FR"/>
              </w:rPr>
              <w:t>Aux Administrations des États Membres de l'UIT, aux Membres du Secteur des radiocommunications, aux Associés de l'UIT-R et aux établissements universitaires participant aux travaux de l'UIT qui prennent part aux travaux de la Commission d'études 4 des radiocommunications</w:t>
            </w:r>
          </w:p>
        </w:tc>
      </w:tr>
      <w:tr w:rsidR="00E53DCE" w:rsidRPr="007469EF" w14:paraId="6C559311" w14:textId="77777777" w:rsidTr="004228FA">
        <w:trPr>
          <w:jc w:val="center"/>
        </w:trPr>
        <w:tc>
          <w:tcPr>
            <w:tcW w:w="9889" w:type="dxa"/>
            <w:gridSpan w:val="3"/>
          </w:tcPr>
          <w:p w14:paraId="0D32AE4E" w14:textId="77777777" w:rsidR="00E53DCE" w:rsidRPr="00E9191D" w:rsidRDefault="00E53DCE" w:rsidP="006160CB">
            <w:pPr>
              <w:spacing w:before="0"/>
              <w:jc w:val="left"/>
              <w:rPr>
                <w:szCs w:val="24"/>
                <w:lang w:val="fr-FR"/>
              </w:rPr>
            </w:pPr>
          </w:p>
        </w:tc>
      </w:tr>
      <w:tr w:rsidR="00E53DCE" w:rsidRPr="007469EF" w14:paraId="26C0E337" w14:textId="77777777" w:rsidTr="004228FA">
        <w:trPr>
          <w:jc w:val="center"/>
        </w:trPr>
        <w:tc>
          <w:tcPr>
            <w:tcW w:w="9889" w:type="dxa"/>
            <w:gridSpan w:val="3"/>
          </w:tcPr>
          <w:p w14:paraId="29F7E960" w14:textId="77777777" w:rsidR="00E53DCE" w:rsidRPr="00E9191D" w:rsidRDefault="00E53DCE" w:rsidP="006160CB">
            <w:pPr>
              <w:spacing w:before="0"/>
              <w:jc w:val="left"/>
              <w:rPr>
                <w:szCs w:val="24"/>
                <w:lang w:val="fr-FR"/>
              </w:rPr>
            </w:pPr>
          </w:p>
        </w:tc>
      </w:tr>
      <w:tr w:rsidR="00E53DCE" w:rsidRPr="007469EF" w14:paraId="2813E03B" w14:textId="77777777" w:rsidTr="004228FA">
        <w:trPr>
          <w:jc w:val="center"/>
        </w:trPr>
        <w:tc>
          <w:tcPr>
            <w:tcW w:w="1526" w:type="dxa"/>
          </w:tcPr>
          <w:p w14:paraId="50D97891" w14:textId="77777777" w:rsidR="00E53DCE" w:rsidRPr="00E9191D" w:rsidRDefault="003471C9" w:rsidP="006160CB">
            <w:pPr>
              <w:tabs>
                <w:tab w:val="clear" w:pos="1588"/>
                <w:tab w:val="left" w:pos="1560"/>
              </w:tabs>
              <w:spacing w:before="0"/>
              <w:jc w:val="left"/>
              <w:rPr>
                <w:szCs w:val="24"/>
                <w:lang w:val="fr-FR"/>
              </w:rPr>
            </w:pPr>
            <w:r w:rsidRPr="00E9191D">
              <w:rPr>
                <w:lang w:val="fr-FR"/>
              </w:rPr>
              <w:t>Objet</w:t>
            </w:r>
            <w:r w:rsidR="00E53DCE" w:rsidRPr="00E9191D">
              <w:rPr>
                <w:szCs w:val="24"/>
                <w:lang w:val="fr-FR"/>
              </w:rPr>
              <w:t>:</w:t>
            </w:r>
          </w:p>
        </w:tc>
        <w:tc>
          <w:tcPr>
            <w:tcW w:w="8363" w:type="dxa"/>
            <w:gridSpan w:val="2"/>
            <w:vMerge w:val="restart"/>
          </w:tcPr>
          <w:p w14:paraId="55A2E9A6" w14:textId="77777777" w:rsidR="00987C84" w:rsidRPr="00E9191D" w:rsidRDefault="00987C84" w:rsidP="00987C84">
            <w:pPr>
              <w:tabs>
                <w:tab w:val="clear" w:pos="1588"/>
                <w:tab w:val="left" w:pos="1560"/>
              </w:tabs>
              <w:spacing w:before="0"/>
              <w:rPr>
                <w:b/>
                <w:bCs/>
                <w:szCs w:val="24"/>
                <w:lang w:val="fr-FR"/>
              </w:rPr>
            </w:pPr>
            <w:r w:rsidRPr="00E9191D">
              <w:rPr>
                <w:b/>
                <w:bCs/>
                <w:szCs w:val="24"/>
                <w:lang w:val="fr-FR"/>
              </w:rPr>
              <w:t>Commission d'études 4 des radiocommunications (Services par satellite)</w:t>
            </w:r>
          </w:p>
          <w:p w14:paraId="65EA7B3D" w14:textId="05386C25" w:rsidR="00987C84" w:rsidRPr="007D69A3" w:rsidRDefault="00987C84" w:rsidP="00C04930">
            <w:pPr>
              <w:ind w:left="794" w:hanging="794"/>
              <w:jc w:val="left"/>
              <w:rPr>
                <w:b/>
                <w:bCs/>
                <w:lang w:val="fr-FR"/>
              </w:rPr>
            </w:pPr>
            <w:r w:rsidRPr="00E9191D">
              <w:rPr>
                <w:lang w:val="fr-FR"/>
              </w:rPr>
              <w:t>–</w:t>
            </w:r>
            <w:r w:rsidRPr="00E9191D">
              <w:rPr>
                <w:lang w:val="fr-FR"/>
              </w:rPr>
              <w:tab/>
            </w:r>
            <w:r w:rsidRPr="007D69A3">
              <w:rPr>
                <w:b/>
                <w:bCs/>
                <w:lang w:val="fr-FR"/>
              </w:rPr>
              <w:t xml:space="preserve">Proposition d'adoption de 4 projets de Recommandation </w:t>
            </w:r>
            <w:proofErr w:type="spellStart"/>
            <w:r w:rsidRPr="007D69A3">
              <w:rPr>
                <w:b/>
                <w:bCs/>
                <w:lang w:val="fr-FR"/>
              </w:rPr>
              <w:t>UIT</w:t>
            </w:r>
            <w:proofErr w:type="spellEnd"/>
            <w:r w:rsidRPr="007D69A3">
              <w:rPr>
                <w:b/>
                <w:bCs/>
                <w:lang w:val="fr-FR"/>
              </w:rPr>
              <w:t>-R révisé et approbation simultanée par correspondance de ces projets, conformément au § A2.6.2.4 de la Résolution UIT-R 1-9 (Procédure</w:t>
            </w:r>
            <w:r w:rsidR="00E47034" w:rsidRPr="007D69A3">
              <w:rPr>
                <w:b/>
                <w:bCs/>
                <w:lang w:val="fr-FR"/>
              </w:rPr>
              <w:t xml:space="preserve"> </w:t>
            </w:r>
            <w:r w:rsidRPr="007D69A3">
              <w:rPr>
                <w:b/>
                <w:bCs/>
                <w:lang w:val="fr-FR"/>
              </w:rPr>
              <w:t>d'adoption et d'approbation simultanées par correspondance)</w:t>
            </w:r>
          </w:p>
          <w:p w14:paraId="41F3265F" w14:textId="6F86CF9D" w:rsidR="00E53DCE" w:rsidRPr="00E9191D" w:rsidRDefault="00987C84" w:rsidP="007D69A3">
            <w:pPr>
              <w:rPr>
                <w:lang w:val="fr-FR"/>
              </w:rPr>
            </w:pPr>
            <w:r w:rsidRPr="007D69A3">
              <w:rPr>
                <w:b/>
                <w:bCs/>
                <w:lang w:val="fr-FR"/>
              </w:rPr>
              <w:t>–</w:t>
            </w:r>
            <w:r w:rsidRPr="007D69A3">
              <w:rPr>
                <w:b/>
                <w:bCs/>
                <w:lang w:val="fr-FR"/>
              </w:rPr>
              <w:tab/>
              <w:t>Proposition de suppression d'une Recommandation UIT-R</w:t>
            </w:r>
          </w:p>
        </w:tc>
      </w:tr>
      <w:tr w:rsidR="00E53DCE" w:rsidRPr="007469EF" w14:paraId="61BFC634" w14:textId="77777777" w:rsidTr="004228FA">
        <w:trPr>
          <w:jc w:val="center"/>
        </w:trPr>
        <w:tc>
          <w:tcPr>
            <w:tcW w:w="1526" w:type="dxa"/>
          </w:tcPr>
          <w:p w14:paraId="1D8E097C" w14:textId="77777777" w:rsidR="00E53DCE" w:rsidRPr="00E9191D" w:rsidRDefault="00E53DCE" w:rsidP="006160CB">
            <w:pPr>
              <w:tabs>
                <w:tab w:val="clear" w:pos="1588"/>
                <w:tab w:val="left" w:pos="1560"/>
              </w:tabs>
              <w:spacing w:before="0"/>
              <w:jc w:val="left"/>
              <w:rPr>
                <w:b/>
                <w:bCs/>
                <w:szCs w:val="24"/>
                <w:lang w:val="fr-FR"/>
              </w:rPr>
            </w:pPr>
          </w:p>
        </w:tc>
        <w:tc>
          <w:tcPr>
            <w:tcW w:w="8363" w:type="dxa"/>
            <w:gridSpan w:val="2"/>
            <w:vMerge/>
          </w:tcPr>
          <w:p w14:paraId="6D0E898D" w14:textId="77777777" w:rsidR="00E53DCE" w:rsidRPr="00E9191D" w:rsidRDefault="00E53DCE" w:rsidP="006160CB">
            <w:pPr>
              <w:tabs>
                <w:tab w:val="clear" w:pos="1588"/>
                <w:tab w:val="left" w:pos="1560"/>
              </w:tabs>
              <w:spacing w:before="0"/>
              <w:rPr>
                <w:b/>
                <w:bCs/>
                <w:szCs w:val="24"/>
                <w:lang w:val="fr-FR"/>
              </w:rPr>
            </w:pPr>
          </w:p>
        </w:tc>
      </w:tr>
      <w:tr w:rsidR="00E53DCE" w:rsidRPr="007469EF" w14:paraId="16E0966F" w14:textId="77777777" w:rsidTr="004228FA">
        <w:trPr>
          <w:jc w:val="center"/>
        </w:trPr>
        <w:tc>
          <w:tcPr>
            <w:tcW w:w="1526" w:type="dxa"/>
          </w:tcPr>
          <w:p w14:paraId="1523ACF5" w14:textId="77777777" w:rsidR="00E53DCE" w:rsidRPr="00E9191D" w:rsidRDefault="00E53DCE" w:rsidP="006160CB">
            <w:pPr>
              <w:tabs>
                <w:tab w:val="clear" w:pos="1588"/>
                <w:tab w:val="left" w:pos="1560"/>
              </w:tabs>
              <w:spacing w:before="0"/>
              <w:jc w:val="left"/>
              <w:rPr>
                <w:b/>
                <w:bCs/>
                <w:szCs w:val="24"/>
                <w:lang w:val="fr-FR"/>
              </w:rPr>
            </w:pPr>
          </w:p>
        </w:tc>
        <w:tc>
          <w:tcPr>
            <w:tcW w:w="8363" w:type="dxa"/>
            <w:gridSpan w:val="2"/>
            <w:vMerge/>
          </w:tcPr>
          <w:p w14:paraId="14AEF458" w14:textId="77777777" w:rsidR="00E53DCE" w:rsidRPr="00E9191D" w:rsidRDefault="00E53DCE" w:rsidP="006160CB">
            <w:pPr>
              <w:tabs>
                <w:tab w:val="clear" w:pos="1588"/>
                <w:tab w:val="left" w:pos="1560"/>
              </w:tabs>
              <w:spacing w:before="0"/>
              <w:rPr>
                <w:b/>
                <w:bCs/>
                <w:szCs w:val="24"/>
                <w:lang w:val="fr-FR"/>
              </w:rPr>
            </w:pPr>
          </w:p>
        </w:tc>
      </w:tr>
      <w:tr w:rsidR="00E53DCE" w:rsidRPr="007469EF" w14:paraId="7F2EC983" w14:textId="77777777" w:rsidTr="004228FA">
        <w:trPr>
          <w:jc w:val="center"/>
        </w:trPr>
        <w:tc>
          <w:tcPr>
            <w:tcW w:w="9889" w:type="dxa"/>
            <w:gridSpan w:val="3"/>
          </w:tcPr>
          <w:p w14:paraId="40F7D839" w14:textId="77777777" w:rsidR="00E53DCE" w:rsidRPr="00E9191D" w:rsidRDefault="00E53DCE" w:rsidP="00E53DCE">
            <w:pPr>
              <w:tabs>
                <w:tab w:val="clear" w:pos="1588"/>
                <w:tab w:val="left" w:pos="1560"/>
              </w:tabs>
              <w:spacing w:before="0"/>
              <w:jc w:val="left"/>
              <w:rPr>
                <w:szCs w:val="24"/>
                <w:lang w:val="fr-FR"/>
              </w:rPr>
            </w:pPr>
          </w:p>
        </w:tc>
      </w:tr>
      <w:tr w:rsidR="00E53DCE" w:rsidRPr="007469EF" w14:paraId="290A0292" w14:textId="77777777" w:rsidTr="004228FA">
        <w:trPr>
          <w:jc w:val="center"/>
        </w:trPr>
        <w:tc>
          <w:tcPr>
            <w:tcW w:w="9889" w:type="dxa"/>
            <w:gridSpan w:val="3"/>
          </w:tcPr>
          <w:p w14:paraId="40F59961" w14:textId="77777777" w:rsidR="00E53DCE" w:rsidRPr="00E9191D" w:rsidRDefault="00E53DCE" w:rsidP="006160CB">
            <w:pPr>
              <w:spacing w:before="0"/>
              <w:jc w:val="left"/>
              <w:rPr>
                <w:b/>
                <w:bCs/>
                <w:szCs w:val="24"/>
                <w:lang w:val="fr-FR"/>
              </w:rPr>
            </w:pPr>
          </w:p>
        </w:tc>
      </w:tr>
    </w:tbl>
    <w:p w14:paraId="78037648" w14:textId="737991C8" w:rsidR="009F01D2" w:rsidRPr="00E9191D" w:rsidRDefault="009F01D2" w:rsidP="009F01D2">
      <w:pPr>
        <w:pStyle w:val="Normalaftertitle"/>
        <w:rPr>
          <w:lang w:val="fr-FR"/>
        </w:rPr>
      </w:pPr>
      <w:r w:rsidRPr="00E9191D">
        <w:rPr>
          <w:lang w:val="fr-FR"/>
        </w:rPr>
        <w:t xml:space="preserve">À sa réunion tenue </w:t>
      </w:r>
      <w:r w:rsidR="00F25A1F">
        <w:rPr>
          <w:lang w:val="fr-FR"/>
        </w:rPr>
        <w:t xml:space="preserve">le </w:t>
      </w:r>
      <w:r w:rsidRPr="00E9191D">
        <w:rPr>
          <w:lang w:val="fr-FR"/>
        </w:rPr>
        <w:t xml:space="preserve">7 novembre 2025, la Commission d'études 4 des radiocommunications a décidé de demander l'adoption par correspondance de 4 projets de Recommandation </w:t>
      </w:r>
      <w:proofErr w:type="spellStart"/>
      <w:r w:rsidRPr="00E9191D">
        <w:rPr>
          <w:lang w:val="fr-FR"/>
        </w:rPr>
        <w:t>UIT</w:t>
      </w:r>
      <w:proofErr w:type="spellEnd"/>
      <w:r w:rsidRPr="00E9191D">
        <w:rPr>
          <w:lang w:val="fr-FR"/>
        </w:rPr>
        <w:t xml:space="preserve">-R révisé (§ </w:t>
      </w:r>
      <w:proofErr w:type="spellStart"/>
      <w:r w:rsidRPr="00E9191D">
        <w:rPr>
          <w:lang w:val="fr-FR"/>
        </w:rPr>
        <w:t>A2.6.2</w:t>
      </w:r>
      <w:proofErr w:type="spellEnd"/>
      <w:r w:rsidRPr="00E9191D">
        <w:rPr>
          <w:lang w:val="fr-FR"/>
        </w:rPr>
        <w:t xml:space="preserve"> de la Résolution </w:t>
      </w:r>
      <w:hyperlink r:id="rId8" w:history="1">
        <w:proofErr w:type="spellStart"/>
        <w:r w:rsidRPr="00E9191D">
          <w:rPr>
            <w:rStyle w:val="Hyperlink"/>
            <w:lang w:val="fr-FR"/>
          </w:rPr>
          <w:t>UIT</w:t>
        </w:r>
        <w:proofErr w:type="spellEnd"/>
        <w:r w:rsidRPr="00E9191D">
          <w:rPr>
            <w:rStyle w:val="Hyperlink"/>
            <w:lang w:val="fr-FR"/>
          </w:rPr>
          <w:t>-R 1-9</w:t>
        </w:r>
      </w:hyperlink>
      <w:r w:rsidRPr="00E9191D">
        <w:rPr>
          <w:lang w:val="fr-FR"/>
        </w:rPr>
        <w:t>) et a décidé en outre d'appliquer la procédure d'adoption et d'approbation simultanées par correspondance (PAAS), conformément au § A2.6.2.4 de la Résolution UIT-R 1-9. Les titres et résumés des projets de Recommandation figurent dans l'Annexe 1. Un État Membre qui soulève une objection au sujet de l'adoption d'un projet de Recommandation est prié d'informer le Directeur et le Président de la commission d'études des raisons de cette objection.</w:t>
      </w:r>
    </w:p>
    <w:p w14:paraId="37DD95EE" w14:textId="750E0F99" w:rsidR="009F01D2" w:rsidRPr="00E9191D" w:rsidRDefault="009F01D2" w:rsidP="009F01D2">
      <w:pPr>
        <w:rPr>
          <w:lang w:val="fr-FR"/>
        </w:rPr>
      </w:pPr>
      <w:r w:rsidRPr="00E9191D">
        <w:rPr>
          <w:lang w:val="fr-FR"/>
        </w:rPr>
        <w:t xml:space="preserve">La période d'examen durera deux mois, jusqu'au </w:t>
      </w:r>
      <w:r w:rsidRPr="00E9191D">
        <w:rPr>
          <w:u w:val="single"/>
          <w:lang w:val="fr-FR"/>
        </w:rPr>
        <w:t>18 février 2026</w:t>
      </w:r>
      <w:r w:rsidRPr="00E9191D">
        <w:rPr>
          <w:lang w:val="fr-FR"/>
        </w:rPr>
        <w:t>. Si, au cours de cette période, aucun État Membre ne soulève d'objection, les projets de Recommandation seront considérés comme adoptés par la Commission d'études 4. En outre, puisque la procédure PAAS est appliquée, l'adoption des projets de Recommandation est considérée comme valant approbation.</w:t>
      </w:r>
    </w:p>
    <w:p w14:paraId="4ACD99E9" w14:textId="77777777" w:rsidR="009F01D2" w:rsidRPr="00E9191D" w:rsidRDefault="009F01D2" w:rsidP="009F01D2">
      <w:pPr>
        <w:rPr>
          <w:lang w:val="fr-FR"/>
        </w:rPr>
      </w:pPr>
      <w:r w:rsidRPr="00E9191D">
        <w:rPr>
          <w:lang w:val="fr-FR"/>
        </w:rPr>
        <w:t>En outre, la Commission d'études a proposé la suppression d'une Recommandation comme indiqué dans l'Annexe 2. Un État Membre qui soulève une objection au sujet de la suppression d'une Recommandation est prié d'informer le Directeur et le Président de la Commission d'études des raisons de cette objection.</w:t>
      </w:r>
    </w:p>
    <w:p w14:paraId="4C96604D" w14:textId="77777777" w:rsidR="009F01D2" w:rsidRPr="00E9191D" w:rsidRDefault="009F01D2" w:rsidP="009F01D2">
      <w:pPr>
        <w:rPr>
          <w:lang w:val="fr-FR"/>
        </w:rPr>
      </w:pPr>
      <w:r w:rsidRPr="00E9191D">
        <w:rPr>
          <w:lang w:val="fr-FR"/>
        </w:rPr>
        <w:t xml:space="preserve">La période d'examen durera deux mois, jusqu'au </w:t>
      </w:r>
      <w:r w:rsidRPr="00E9191D">
        <w:rPr>
          <w:u w:val="single"/>
          <w:lang w:val="fr-FR"/>
        </w:rPr>
        <w:t>18 février 2026</w:t>
      </w:r>
      <w:r w:rsidRPr="00E9191D">
        <w:rPr>
          <w:lang w:val="fr-FR"/>
        </w:rPr>
        <w:t>. Si, au cours de cette période, aucun État Membre ne soulève d'objection à la suppression proposée, la Recommandation est considérée comme supprimée.</w:t>
      </w:r>
    </w:p>
    <w:p w14:paraId="3FF94FF3" w14:textId="4A700E4D" w:rsidR="009F01D2" w:rsidRPr="00E9191D" w:rsidRDefault="009F01D2" w:rsidP="009F01D2">
      <w:pPr>
        <w:rPr>
          <w:lang w:val="fr-FR"/>
        </w:rPr>
      </w:pPr>
      <w:r w:rsidRPr="00E9191D">
        <w:rPr>
          <w:lang w:val="fr-FR"/>
        </w:rPr>
        <w:t xml:space="preserve">Après la date limite mentionnée ci-dessus, les résultats des procédures susmentionnées seront communiqués dans une Circulaire administrative et les Recommandations approuvées seront publiées dans les meilleurs délais (voir </w:t>
      </w:r>
      <w:hyperlink r:id="rId9" w:history="1">
        <w:r w:rsidRPr="00E9191D">
          <w:rPr>
            <w:rStyle w:val="Hyperlink"/>
            <w:lang w:val="fr-FR"/>
          </w:rPr>
          <w:t>http://www.itu.int/pub/R-REC</w:t>
        </w:r>
      </w:hyperlink>
      <w:r w:rsidRPr="00E9191D">
        <w:rPr>
          <w:lang w:val="fr-FR"/>
        </w:rPr>
        <w:t>).</w:t>
      </w:r>
    </w:p>
    <w:p w14:paraId="5A7CFF48" w14:textId="37795B51" w:rsidR="009F01D2" w:rsidRPr="00E9191D" w:rsidRDefault="009F01D2" w:rsidP="009F01D2">
      <w:pPr>
        <w:rPr>
          <w:lang w:val="fr-FR"/>
        </w:rPr>
      </w:pPr>
      <w:r w:rsidRPr="00E9191D">
        <w:rPr>
          <w:lang w:val="fr-FR"/>
        </w:rPr>
        <w:lastRenderedPageBreak/>
        <w:t xml:space="preserve">Toute organisation membre de l'UIT ayant connaissance d'un brevet détenu en son sein ou par d'autres organismes, et susceptible de se rapporter complètement ou en partie à des éléments des projets de Recommandation mentionnés dans la présente lettre, est priée de transmettre lesdites informations au Secrétariat dans les meilleurs délais. La politique commune en matière de brevets de l'UIT-T/UIT-R/ISO/CEI est disponible à l'adresse </w:t>
      </w:r>
      <w:hyperlink r:id="rId10" w:history="1">
        <w:r w:rsidRPr="00E9191D">
          <w:rPr>
            <w:rStyle w:val="Hyperlink"/>
            <w:lang w:val="fr-FR"/>
          </w:rPr>
          <w:t>http://www.itu.int/en/ITU-T/ipr/Pages/policy.aspx</w:t>
        </w:r>
      </w:hyperlink>
      <w:r w:rsidRPr="00E9191D">
        <w:rPr>
          <w:lang w:val="fr-FR"/>
        </w:rPr>
        <w:t>.</w:t>
      </w:r>
    </w:p>
    <w:p w14:paraId="0DC0CF84" w14:textId="1C455621" w:rsidR="009F01D2" w:rsidRPr="00E9191D" w:rsidRDefault="009F01D2" w:rsidP="006B0F93">
      <w:pPr>
        <w:spacing w:before="1200"/>
        <w:jc w:val="left"/>
        <w:rPr>
          <w:lang w:val="fr-FR"/>
        </w:rPr>
      </w:pPr>
      <w:r w:rsidRPr="00E9191D">
        <w:rPr>
          <w:lang w:val="fr-FR"/>
        </w:rPr>
        <w:t>Mario Maniewicz</w:t>
      </w:r>
      <w:r w:rsidRPr="00E9191D">
        <w:rPr>
          <w:lang w:val="fr-FR"/>
        </w:rPr>
        <w:br/>
        <w:t>Directeur</w:t>
      </w:r>
    </w:p>
    <w:p w14:paraId="38E5A54A" w14:textId="45B0FA48" w:rsidR="009F01D2" w:rsidRPr="00E9191D" w:rsidRDefault="009F01D2" w:rsidP="009F01D2">
      <w:pPr>
        <w:tabs>
          <w:tab w:val="clear" w:pos="794"/>
          <w:tab w:val="clear" w:pos="1191"/>
          <w:tab w:val="left" w:pos="1418"/>
        </w:tabs>
        <w:spacing w:before="2400"/>
        <w:rPr>
          <w:lang w:val="fr-FR"/>
        </w:rPr>
      </w:pPr>
      <w:r w:rsidRPr="00E9191D">
        <w:rPr>
          <w:b/>
          <w:bCs/>
          <w:lang w:val="fr-FR"/>
        </w:rPr>
        <w:t>Annexe 1:</w:t>
      </w:r>
      <w:r w:rsidRPr="00E9191D">
        <w:rPr>
          <w:lang w:val="fr-FR"/>
        </w:rPr>
        <w:tab/>
        <w:t>Titres et résumés des projets de Recommandation</w:t>
      </w:r>
    </w:p>
    <w:p w14:paraId="5D02D369" w14:textId="77777777" w:rsidR="009F01D2" w:rsidRPr="00E9191D" w:rsidRDefault="009F01D2" w:rsidP="009F01D2">
      <w:pPr>
        <w:tabs>
          <w:tab w:val="clear" w:pos="794"/>
          <w:tab w:val="clear" w:pos="1191"/>
          <w:tab w:val="left" w:pos="1418"/>
        </w:tabs>
        <w:rPr>
          <w:lang w:val="fr-FR"/>
        </w:rPr>
      </w:pPr>
      <w:r w:rsidRPr="00E9191D">
        <w:rPr>
          <w:b/>
          <w:bCs/>
          <w:lang w:val="fr-FR"/>
        </w:rPr>
        <w:t>Annexe 2:</w:t>
      </w:r>
      <w:r w:rsidRPr="00E9191D">
        <w:rPr>
          <w:b/>
          <w:bCs/>
          <w:lang w:val="fr-FR"/>
        </w:rPr>
        <w:tab/>
      </w:r>
      <w:r w:rsidRPr="00E9191D">
        <w:rPr>
          <w:lang w:val="fr-FR"/>
        </w:rPr>
        <w:t>Recommandation dont la suppression est proposée</w:t>
      </w:r>
    </w:p>
    <w:p w14:paraId="50754094" w14:textId="77777777" w:rsidR="009F01D2" w:rsidRPr="00E9191D" w:rsidRDefault="009F01D2" w:rsidP="009F01D2">
      <w:pPr>
        <w:tabs>
          <w:tab w:val="clear" w:pos="794"/>
          <w:tab w:val="clear" w:pos="1191"/>
          <w:tab w:val="left" w:pos="1418"/>
        </w:tabs>
        <w:spacing w:before="960"/>
        <w:rPr>
          <w:lang w:val="fr-FR"/>
        </w:rPr>
      </w:pPr>
      <w:r w:rsidRPr="00E9191D">
        <w:rPr>
          <w:b/>
          <w:bCs/>
          <w:lang w:val="fr-FR"/>
        </w:rPr>
        <w:t>Documents:</w:t>
      </w:r>
      <w:r w:rsidRPr="00E9191D">
        <w:rPr>
          <w:b/>
          <w:bCs/>
          <w:lang w:val="fr-FR"/>
        </w:rPr>
        <w:tab/>
      </w:r>
      <w:r w:rsidRPr="00E9191D">
        <w:rPr>
          <w:lang w:val="fr-FR"/>
        </w:rPr>
        <w:t>Documents 4/50, 4/51, 4/52, 4/55 et 4/48.</w:t>
      </w:r>
    </w:p>
    <w:p w14:paraId="001156D6" w14:textId="317E7D6A" w:rsidR="00E53DCE" w:rsidRPr="00E9191D" w:rsidRDefault="009F01D2" w:rsidP="009F01D2">
      <w:pPr>
        <w:jc w:val="left"/>
        <w:rPr>
          <w:lang w:val="fr-FR"/>
        </w:rPr>
      </w:pPr>
      <w:r w:rsidRPr="00E9191D">
        <w:rPr>
          <w:lang w:val="fr-FR"/>
        </w:rPr>
        <w:t>Ces documents sont disponibles en format électronique à l'adresse</w:t>
      </w:r>
      <w:r w:rsidR="00E47034" w:rsidRPr="00E9191D">
        <w:rPr>
          <w:lang w:val="fr-FR"/>
        </w:rPr>
        <w:t xml:space="preserve"> </w:t>
      </w:r>
      <w:hyperlink r:id="rId11" w:history="1">
        <w:r w:rsidR="00E47034" w:rsidRPr="00E9191D">
          <w:rPr>
            <w:rStyle w:val="Hyperlink"/>
            <w:lang w:val="fr-FR"/>
          </w:rPr>
          <w:t>https://www.itu.int/md/R23</w:t>
        </w:r>
        <w:r w:rsidR="00E47034" w:rsidRPr="00E9191D">
          <w:rPr>
            <w:rStyle w:val="Hyperlink"/>
            <w:lang w:val="fr-FR"/>
          </w:rPr>
          <w:noBreakHyphen/>
          <w:t>SG04</w:t>
        </w:r>
        <w:r w:rsidR="00E47034" w:rsidRPr="00E9191D">
          <w:rPr>
            <w:rStyle w:val="Hyperlink"/>
            <w:lang w:val="fr-FR"/>
          </w:rPr>
          <w:t>-</w:t>
        </w:r>
        <w:r w:rsidR="00E47034" w:rsidRPr="00E9191D">
          <w:rPr>
            <w:rStyle w:val="Hyperlink"/>
            <w:lang w:val="fr-FR"/>
          </w:rPr>
          <w:t>C</w:t>
        </w:r>
        <w:r w:rsidR="00E47034" w:rsidRPr="00563494">
          <w:rPr>
            <w:rStyle w:val="Hyperlink"/>
            <w:lang w:val="fr-FR"/>
          </w:rPr>
          <w:t>/en</w:t>
        </w:r>
      </w:hyperlink>
    </w:p>
    <w:p w14:paraId="343D0145" w14:textId="321F5642" w:rsidR="009F01D2" w:rsidRPr="00E9191D" w:rsidRDefault="009F01D2" w:rsidP="00031E64">
      <w:pPr>
        <w:rPr>
          <w:rFonts w:asciiTheme="minorHAnsi" w:hAnsiTheme="minorHAnsi" w:cstheme="minorHAnsi"/>
          <w:szCs w:val="24"/>
          <w:lang w:val="fr-FR"/>
        </w:rPr>
      </w:pPr>
      <w:r w:rsidRPr="00E9191D">
        <w:rPr>
          <w:rFonts w:asciiTheme="minorHAnsi" w:hAnsiTheme="minorHAnsi" w:cstheme="minorHAnsi"/>
          <w:szCs w:val="24"/>
          <w:lang w:val="fr-FR"/>
        </w:rPr>
        <w:br w:type="page"/>
      </w:r>
    </w:p>
    <w:p w14:paraId="1EA12B72" w14:textId="299DF848" w:rsidR="009F01D2" w:rsidRPr="00E9191D" w:rsidRDefault="009F01D2" w:rsidP="009F01D2">
      <w:pPr>
        <w:pStyle w:val="AnnexNoTitle"/>
        <w:rPr>
          <w:lang w:val="fr-FR"/>
        </w:rPr>
      </w:pPr>
      <w:r w:rsidRPr="00E9191D">
        <w:rPr>
          <w:sz w:val="28"/>
          <w:szCs w:val="24"/>
          <w:lang w:val="fr-FR"/>
        </w:rPr>
        <w:lastRenderedPageBreak/>
        <w:t>Annexe 1</w:t>
      </w:r>
      <w:r w:rsidRPr="00E9191D">
        <w:rPr>
          <w:sz w:val="28"/>
          <w:szCs w:val="24"/>
          <w:lang w:val="fr-FR"/>
        </w:rPr>
        <w:br/>
      </w:r>
      <w:r w:rsidRPr="00E9191D">
        <w:rPr>
          <w:sz w:val="28"/>
          <w:szCs w:val="24"/>
          <w:lang w:val="fr-FR"/>
        </w:rPr>
        <w:br/>
        <w:t>Titres et résumés des projets de Recommandation UIT-R</w:t>
      </w:r>
    </w:p>
    <w:p w14:paraId="280C7813" w14:textId="3B61AEA2" w:rsidR="009F01D2" w:rsidRPr="00E9191D" w:rsidRDefault="009F01D2" w:rsidP="004D2ABF">
      <w:pPr>
        <w:pStyle w:val="RecNo"/>
        <w:tabs>
          <w:tab w:val="left" w:pos="8080"/>
        </w:tabs>
        <w:spacing w:before="440"/>
        <w:rPr>
          <w:b w:val="0"/>
          <w:bCs/>
          <w:lang w:val="fr-FR"/>
        </w:rPr>
      </w:pPr>
      <w:r w:rsidRPr="00E9191D">
        <w:rPr>
          <w:b w:val="0"/>
          <w:bCs/>
          <w:sz w:val="24"/>
          <w:szCs w:val="20"/>
          <w:u w:val="single"/>
          <w:lang w:val="fr-FR"/>
        </w:rPr>
        <w:t>Projet de révision de la Recommandation UIT-R M.1787-5</w:t>
      </w:r>
      <w:r w:rsidRPr="00E9191D">
        <w:rPr>
          <w:b w:val="0"/>
          <w:bCs/>
          <w:sz w:val="24"/>
          <w:szCs w:val="20"/>
          <w:lang w:val="fr-FR"/>
        </w:rPr>
        <w:tab/>
        <w:t>Document 4/50</w:t>
      </w:r>
    </w:p>
    <w:p w14:paraId="01674B92" w14:textId="53920AE7" w:rsidR="009F01D2" w:rsidRPr="00E9191D" w:rsidRDefault="009F01D2" w:rsidP="007F79C5">
      <w:pPr>
        <w:pStyle w:val="Rectitle"/>
        <w:spacing w:before="240"/>
        <w:rPr>
          <w:lang w:val="fr-FR"/>
        </w:rPr>
      </w:pPr>
      <w:r w:rsidRPr="00E9191D">
        <w:rPr>
          <w:lang w:val="fr-FR"/>
        </w:rPr>
        <w:t>Description des systèmes et réseaux du service de radionavigation par satellite</w:t>
      </w:r>
      <w:r w:rsidRPr="00E9191D">
        <w:rPr>
          <w:lang w:val="fr-FR"/>
        </w:rPr>
        <w:br/>
        <w:t>(espace vers Terre et espace-espace) et caractéristiques techniques des</w:t>
      </w:r>
      <w:r w:rsidRPr="00E9191D">
        <w:rPr>
          <w:lang w:val="fr-FR"/>
        </w:rPr>
        <w:br/>
        <w:t>stations spatiales d'émission fonctionnant dans les bandes</w:t>
      </w:r>
      <w:r w:rsidRPr="00E9191D">
        <w:rPr>
          <w:lang w:val="fr-FR"/>
        </w:rPr>
        <w:br/>
        <w:t>1 164-1 215 MHz, 1 215-1 300 MHz et 1 559-1 610 MHz</w:t>
      </w:r>
    </w:p>
    <w:p w14:paraId="68E50EDA" w14:textId="5A6E6027" w:rsidR="009F01D2" w:rsidRPr="00E9191D" w:rsidRDefault="009F01D2" w:rsidP="009F01D2">
      <w:pPr>
        <w:rPr>
          <w:lang w:val="fr-FR"/>
        </w:rPr>
      </w:pPr>
      <w:r w:rsidRPr="00E9191D">
        <w:rPr>
          <w:lang w:val="fr-FR"/>
        </w:rPr>
        <w:t>La révision de cette Recommandation concerne les Annexes 4 (Description technique et caractéristiques du système à satellites quasi zénithal (QZSS)) et 11 (Description technique et caractéristiques du système complémentaire à satellites de la Corée (KASS)).</w:t>
      </w:r>
    </w:p>
    <w:p w14:paraId="36779F15" w14:textId="7F25D901" w:rsidR="009F01D2" w:rsidRPr="00E9191D" w:rsidRDefault="009F01D2" w:rsidP="009F01D2">
      <w:pPr>
        <w:rPr>
          <w:lang w:val="fr-FR"/>
        </w:rPr>
      </w:pPr>
      <w:r w:rsidRPr="00E9191D">
        <w:rPr>
          <w:lang w:val="fr-FR"/>
        </w:rPr>
        <w:t>La révision consiste également en l'ajout d'une Annexe 15 (description et caractéristiques techniques du système de stations spatiales d'émission Xona PULSAR dont l'exploitation est prévue dans les bandes de fréquences 1 164-1 215 MHz et 1 559-1 610 MHz), d'une Annexe 16 (description et caractéristiques techniques du système KPS du service de radionavigation par satellite pour fournir des informations de positionnement, de navigation et de synchronisation dans les bandes de fréquences 1 164-1 215 MHz, 1 215-1 300 MHz et 1 559-1 610 MHz) et d'une Annexe 17 (Description technique et caractéristiques du système du SRNS SATNET LEO).</w:t>
      </w:r>
    </w:p>
    <w:p w14:paraId="261EB2F6" w14:textId="77777777" w:rsidR="009F01D2" w:rsidRPr="00E9191D" w:rsidRDefault="009F01D2" w:rsidP="009F01D2">
      <w:pPr>
        <w:rPr>
          <w:lang w:val="fr-FR"/>
        </w:rPr>
      </w:pPr>
      <w:r w:rsidRPr="00E9191D">
        <w:rPr>
          <w:lang w:val="fr-FR"/>
        </w:rPr>
        <w:t>Des modifications d'ordre rédactionnel ont également été apportées aux figures et aux tableaux de référence de chaque annexe.</w:t>
      </w:r>
    </w:p>
    <w:p w14:paraId="02C4420A" w14:textId="77777777" w:rsidR="009F01D2" w:rsidRPr="00E9191D" w:rsidRDefault="009F01D2" w:rsidP="004D2ABF">
      <w:pPr>
        <w:pStyle w:val="RecNo"/>
        <w:tabs>
          <w:tab w:val="left" w:pos="8080"/>
        </w:tabs>
        <w:spacing w:before="400"/>
        <w:rPr>
          <w:lang w:val="fr-FR"/>
        </w:rPr>
      </w:pPr>
      <w:r w:rsidRPr="00E9191D">
        <w:rPr>
          <w:b w:val="0"/>
          <w:bCs/>
          <w:sz w:val="24"/>
          <w:szCs w:val="20"/>
          <w:u w:val="single"/>
          <w:lang w:val="fr-FR"/>
        </w:rPr>
        <w:t>Projet de révision de la Recommandation UIT-R BO.789-2</w:t>
      </w:r>
      <w:r w:rsidRPr="00E9191D">
        <w:rPr>
          <w:b w:val="0"/>
          <w:bCs/>
          <w:sz w:val="24"/>
          <w:szCs w:val="20"/>
          <w:lang w:val="fr-FR"/>
        </w:rPr>
        <w:tab/>
        <w:t>Document 4/51</w:t>
      </w:r>
    </w:p>
    <w:p w14:paraId="3E2635BA" w14:textId="2D8BFF93" w:rsidR="009F01D2" w:rsidRPr="00E9191D" w:rsidRDefault="009F01D2" w:rsidP="004D2ABF">
      <w:pPr>
        <w:pStyle w:val="Rectitle"/>
        <w:spacing w:before="240"/>
        <w:rPr>
          <w:lang w:val="fr-FR"/>
        </w:rPr>
      </w:pPr>
      <w:r w:rsidRPr="00E9191D">
        <w:rPr>
          <w:lang w:val="fr-FR"/>
        </w:rPr>
        <w:t>Service de radiodiffusion sonore numérique à destination des récepteurs</w:t>
      </w:r>
      <w:r w:rsidR="00252277" w:rsidRPr="00E9191D">
        <w:rPr>
          <w:lang w:val="fr-FR"/>
        </w:rPr>
        <w:t xml:space="preserve"> </w:t>
      </w:r>
      <w:r w:rsidRPr="00E9191D">
        <w:rPr>
          <w:lang w:val="fr-FR"/>
        </w:rPr>
        <w:t>à</w:t>
      </w:r>
      <w:r w:rsidR="00252277" w:rsidRPr="00E9191D">
        <w:rPr>
          <w:lang w:val="fr-FR"/>
        </w:rPr>
        <w:t xml:space="preserve"> </w:t>
      </w:r>
      <w:r w:rsidRPr="00E9191D">
        <w:rPr>
          <w:lang w:val="fr-FR"/>
        </w:rPr>
        <w:t>bord</w:t>
      </w:r>
      <w:r w:rsidR="00E47034" w:rsidRPr="00E9191D">
        <w:rPr>
          <w:lang w:val="fr-FR"/>
        </w:rPr>
        <w:t xml:space="preserve"> </w:t>
      </w:r>
      <w:r w:rsidRPr="00E9191D">
        <w:rPr>
          <w:lang w:val="fr-FR"/>
        </w:rPr>
        <w:t>de</w:t>
      </w:r>
      <w:r w:rsidR="00E47034" w:rsidRPr="00E9191D">
        <w:rPr>
          <w:lang w:val="fr-FR"/>
        </w:rPr>
        <w:br/>
      </w:r>
      <w:r w:rsidRPr="00E9191D">
        <w:rPr>
          <w:lang w:val="fr-FR"/>
        </w:rPr>
        <w:t xml:space="preserve">véhicules, portatifs et </w:t>
      </w:r>
      <w:r w:rsidRPr="000C300B">
        <w:rPr>
          <w:lang w:val="fr-FR"/>
        </w:rPr>
        <w:t>fixes</w:t>
      </w:r>
      <w:r w:rsidRPr="00E9191D">
        <w:rPr>
          <w:lang w:val="fr-FR"/>
        </w:rPr>
        <w:t xml:space="preserve"> pour le service de radiodiffusion</w:t>
      </w:r>
      <w:r w:rsidR="00252277" w:rsidRPr="00E9191D">
        <w:rPr>
          <w:lang w:val="fr-FR"/>
        </w:rPr>
        <w:t xml:space="preserve"> </w:t>
      </w:r>
      <w:r w:rsidRPr="00E9191D">
        <w:rPr>
          <w:lang w:val="fr-FR"/>
        </w:rPr>
        <w:t>par</w:t>
      </w:r>
      <w:r w:rsidR="00252277" w:rsidRPr="00E9191D">
        <w:rPr>
          <w:lang w:val="fr-FR"/>
        </w:rPr>
        <w:t xml:space="preserve"> </w:t>
      </w:r>
      <w:r w:rsidRPr="00E9191D">
        <w:rPr>
          <w:lang w:val="fr-FR"/>
        </w:rPr>
        <w:t>satellite</w:t>
      </w:r>
      <w:r w:rsidR="00252277" w:rsidRPr="00E9191D">
        <w:rPr>
          <w:lang w:val="fr-FR"/>
        </w:rPr>
        <w:br/>
      </w:r>
      <w:r w:rsidRPr="00E9191D">
        <w:rPr>
          <w:lang w:val="fr-FR"/>
        </w:rPr>
        <w:t>(sonore) dans la gamme de fréquences 1</w:t>
      </w:r>
      <w:r w:rsidR="00252277" w:rsidRPr="00E9191D">
        <w:rPr>
          <w:lang w:val="fr-FR"/>
        </w:rPr>
        <w:t> </w:t>
      </w:r>
      <w:r w:rsidRPr="00E9191D">
        <w:rPr>
          <w:lang w:val="fr-FR"/>
        </w:rPr>
        <w:t>400-2</w:t>
      </w:r>
      <w:r w:rsidR="00252277" w:rsidRPr="00E9191D">
        <w:rPr>
          <w:lang w:val="fr-FR"/>
        </w:rPr>
        <w:t> </w:t>
      </w:r>
      <w:r w:rsidRPr="00E9191D">
        <w:rPr>
          <w:lang w:val="fr-FR"/>
        </w:rPr>
        <w:t>700</w:t>
      </w:r>
      <w:r w:rsidR="00252277" w:rsidRPr="00E9191D">
        <w:rPr>
          <w:lang w:val="fr-FR"/>
        </w:rPr>
        <w:t> </w:t>
      </w:r>
      <w:r w:rsidRPr="00E9191D">
        <w:rPr>
          <w:lang w:val="fr-FR"/>
        </w:rPr>
        <w:t>MHz</w:t>
      </w:r>
    </w:p>
    <w:p w14:paraId="5AE7EDF9" w14:textId="76E6D153" w:rsidR="009F01D2" w:rsidRPr="00E9191D" w:rsidRDefault="009F01D2" w:rsidP="009F01D2">
      <w:pPr>
        <w:rPr>
          <w:lang w:val="fr-FR"/>
        </w:rPr>
      </w:pPr>
      <w:r w:rsidRPr="00E9191D">
        <w:rPr>
          <w:lang w:val="fr-FR"/>
        </w:rPr>
        <w:t>À la suite de la mise à jour du Système numérique A (Eurêka-147 DAB), publié dans la norme</w:t>
      </w:r>
      <w:r w:rsidR="00252277" w:rsidRPr="00E9191D">
        <w:rPr>
          <w:lang w:val="fr-FR"/>
        </w:rPr>
        <w:t> </w:t>
      </w:r>
      <w:r w:rsidRPr="00E9191D">
        <w:rPr>
          <w:lang w:val="fr-FR"/>
        </w:rPr>
        <w:t>ETSI</w:t>
      </w:r>
      <w:r w:rsidR="00252277" w:rsidRPr="00E9191D">
        <w:rPr>
          <w:lang w:val="fr-FR"/>
        </w:rPr>
        <w:t xml:space="preserve"> </w:t>
      </w:r>
      <w:r w:rsidRPr="00E9191D">
        <w:rPr>
          <w:lang w:val="fr-FR"/>
        </w:rPr>
        <w:t>EN</w:t>
      </w:r>
      <w:r w:rsidR="00252277" w:rsidRPr="00E9191D">
        <w:rPr>
          <w:lang w:val="fr-FR"/>
        </w:rPr>
        <w:t> </w:t>
      </w:r>
      <w:r w:rsidRPr="00E9191D">
        <w:rPr>
          <w:lang w:val="fr-FR"/>
        </w:rPr>
        <w:t>300 401 V2.1.1 (2017-01) et à la suppression des modes de transmission II, III et IV, seul le mode I conçu pour la radiodiffusion de Terre dans la bande de fréquences 30-300</w:t>
      </w:r>
      <w:r w:rsidR="00252277" w:rsidRPr="00E9191D">
        <w:rPr>
          <w:lang w:val="fr-FR"/>
        </w:rPr>
        <w:t> </w:t>
      </w:r>
      <w:r w:rsidRPr="00E9191D">
        <w:rPr>
          <w:lang w:val="fr-FR"/>
        </w:rPr>
        <w:t>MHz a été retenu.</w:t>
      </w:r>
    </w:p>
    <w:p w14:paraId="0EA14C4A" w14:textId="1F8624EE" w:rsidR="009F01D2" w:rsidRPr="00E9191D" w:rsidRDefault="009F01D2" w:rsidP="009F01D2">
      <w:pPr>
        <w:rPr>
          <w:lang w:val="fr-FR"/>
        </w:rPr>
      </w:pPr>
      <w:r w:rsidRPr="00E9191D">
        <w:rPr>
          <w:lang w:val="fr-FR"/>
        </w:rPr>
        <w:t>Cette révision vise à supprimer la référence au Système A, qui n</w:t>
      </w:r>
      <w:r w:rsidR="00252277" w:rsidRPr="00E9191D">
        <w:rPr>
          <w:lang w:val="fr-FR"/>
        </w:rPr>
        <w:t>'</w:t>
      </w:r>
      <w:r w:rsidRPr="00E9191D">
        <w:rPr>
          <w:lang w:val="fr-FR"/>
        </w:rPr>
        <w:t>est plus pertinente dans la présente Recommandation.</w:t>
      </w:r>
    </w:p>
    <w:p w14:paraId="5CF87CC3" w14:textId="77777777" w:rsidR="009F01D2" w:rsidRPr="00E9191D" w:rsidRDefault="009F01D2" w:rsidP="004D2ABF">
      <w:pPr>
        <w:pStyle w:val="RecNo"/>
        <w:tabs>
          <w:tab w:val="left" w:pos="8080"/>
        </w:tabs>
        <w:spacing w:before="400"/>
        <w:rPr>
          <w:lang w:val="fr-FR"/>
        </w:rPr>
      </w:pPr>
      <w:r w:rsidRPr="00E9191D">
        <w:rPr>
          <w:b w:val="0"/>
          <w:bCs/>
          <w:sz w:val="24"/>
          <w:szCs w:val="20"/>
          <w:u w:val="single"/>
          <w:lang w:val="fr-FR"/>
        </w:rPr>
        <w:t>Projet de révision de la Recommandation UIT-R BO.1130-4</w:t>
      </w:r>
      <w:r w:rsidRPr="00E9191D">
        <w:rPr>
          <w:b w:val="0"/>
          <w:bCs/>
          <w:sz w:val="24"/>
          <w:szCs w:val="20"/>
          <w:lang w:val="fr-FR"/>
        </w:rPr>
        <w:tab/>
        <w:t>Document 4/52</w:t>
      </w:r>
    </w:p>
    <w:p w14:paraId="43D7226D" w14:textId="2939432F" w:rsidR="009F01D2" w:rsidRPr="00E9191D" w:rsidRDefault="009F01D2" w:rsidP="004D2ABF">
      <w:pPr>
        <w:pStyle w:val="Rectitle"/>
        <w:spacing w:before="240"/>
        <w:rPr>
          <w:lang w:val="fr-FR"/>
        </w:rPr>
      </w:pPr>
      <w:r w:rsidRPr="00E9191D">
        <w:rPr>
          <w:lang w:val="fr-FR"/>
        </w:rPr>
        <w:t>Systèmes de radiodiffusion numérique par satellite pour récepteurs portatifs, fixes</w:t>
      </w:r>
      <w:r w:rsidR="004D2ABF">
        <w:rPr>
          <w:lang w:val="fr-FR"/>
        </w:rPr>
        <w:t> </w:t>
      </w:r>
      <w:r w:rsidRPr="00E9191D">
        <w:rPr>
          <w:lang w:val="fr-FR"/>
        </w:rPr>
        <w:t>ou de</w:t>
      </w:r>
      <w:r w:rsidR="00FC3476">
        <w:rPr>
          <w:lang w:val="fr-FR"/>
        </w:rPr>
        <w:t xml:space="preserve"> </w:t>
      </w:r>
      <w:r w:rsidRPr="00E9191D">
        <w:rPr>
          <w:lang w:val="fr-FR"/>
        </w:rPr>
        <w:t xml:space="preserve">véhicules </w:t>
      </w:r>
      <w:r w:rsidRPr="007469EF">
        <w:rPr>
          <w:lang w:val="fr-FR"/>
        </w:rPr>
        <w:t>fonctionnant</w:t>
      </w:r>
      <w:r w:rsidRPr="00E9191D">
        <w:rPr>
          <w:lang w:val="fr-FR"/>
        </w:rPr>
        <w:t xml:space="preserve"> dans les bandes attribuées au service</w:t>
      </w:r>
      <w:r w:rsidR="00252277" w:rsidRPr="00E9191D">
        <w:rPr>
          <w:lang w:val="fr-FR"/>
        </w:rPr>
        <w:t xml:space="preserve"> </w:t>
      </w:r>
      <w:r w:rsidRPr="00E9191D">
        <w:rPr>
          <w:lang w:val="fr-FR"/>
        </w:rPr>
        <w:t>de</w:t>
      </w:r>
      <w:r w:rsidR="00252277" w:rsidRPr="00E9191D">
        <w:rPr>
          <w:lang w:val="fr-FR"/>
        </w:rPr>
        <w:t xml:space="preserve"> </w:t>
      </w:r>
      <w:r w:rsidRPr="00E9191D">
        <w:rPr>
          <w:lang w:val="fr-FR"/>
        </w:rPr>
        <w:t>radiodiffusion</w:t>
      </w:r>
      <w:r w:rsidR="00FC3476">
        <w:rPr>
          <w:lang w:val="fr-FR"/>
        </w:rPr>
        <w:t xml:space="preserve"> </w:t>
      </w:r>
      <w:r w:rsidRPr="00E9191D">
        <w:rPr>
          <w:lang w:val="fr-FR"/>
        </w:rPr>
        <w:t>(sonore) par satellite dans la</w:t>
      </w:r>
      <w:r w:rsidR="00252277" w:rsidRPr="00E9191D">
        <w:rPr>
          <w:lang w:val="fr-FR"/>
        </w:rPr>
        <w:t xml:space="preserve"> </w:t>
      </w:r>
      <w:r w:rsidRPr="00E9191D">
        <w:rPr>
          <w:lang w:val="fr-FR"/>
        </w:rPr>
        <w:t>gamme de fréquences</w:t>
      </w:r>
      <w:r w:rsidR="004D2ABF">
        <w:rPr>
          <w:lang w:val="fr-FR"/>
        </w:rPr>
        <w:br/>
      </w:r>
      <w:r w:rsidRPr="00E9191D">
        <w:rPr>
          <w:lang w:val="fr-FR"/>
        </w:rPr>
        <w:t>1</w:t>
      </w:r>
      <w:r w:rsidR="00252277" w:rsidRPr="00E9191D">
        <w:rPr>
          <w:lang w:val="fr-FR"/>
        </w:rPr>
        <w:t> </w:t>
      </w:r>
      <w:r w:rsidRPr="00E9191D">
        <w:rPr>
          <w:lang w:val="fr-FR"/>
        </w:rPr>
        <w:t>400-2</w:t>
      </w:r>
      <w:r w:rsidR="00252277" w:rsidRPr="00E9191D">
        <w:rPr>
          <w:lang w:val="fr-FR"/>
        </w:rPr>
        <w:t> </w:t>
      </w:r>
      <w:r w:rsidRPr="00E9191D">
        <w:rPr>
          <w:lang w:val="fr-FR"/>
        </w:rPr>
        <w:t>700 MHz</w:t>
      </w:r>
    </w:p>
    <w:p w14:paraId="2F50846B" w14:textId="44420D95" w:rsidR="009F01D2" w:rsidRPr="00E9191D" w:rsidRDefault="009F01D2" w:rsidP="009F01D2">
      <w:pPr>
        <w:rPr>
          <w:lang w:val="fr-FR"/>
        </w:rPr>
      </w:pPr>
      <w:r w:rsidRPr="00E9191D">
        <w:rPr>
          <w:lang w:val="fr-FR"/>
        </w:rPr>
        <w:t>À la suite de la mise à jour du Système numérique A (Eurêka-147 DAB), publié dans la norme ETSI</w:t>
      </w:r>
      <w:r w:rsidR="00252277" w:rsidRPr="00E9191D">
        <w:rPr>
          <w:lang w:val="fr-FR"/>
        </w:rPr>
        <w:t xml:space="preserve"> </w:t>
      </w:r>
      <w:r w:rsidRPr="00E9191D">
        <w:rPr>
          <w:lang w:val="fr-FR"/>
        </w:rPr>
        <w:t>EN</w:t>
      </w:r>
      <w:r w:rsidR="00252277" w:rsidRPr="00E9191D">
        <w:rPr>
          <w:lang w:val="fr-FR"/>
        </w:rPr>
        <w:t> </w:t>
      </w:r>
      <w:r w:rsidRPr="00E9191D">
        <w:rPr>
          <w:lang w:val="fr-FR"/>
        </w:rPr>
        <w:t>300 401 V2.1.1 (2017-01) et à la suppression des modes de transmission II, III et IV, seul le mode</w:t>
      </w:r>
      <w:r w:rsidR="00E9191D" w:rsidRPr="00E9191D">
        <w:rPr>
          <w:lang w:val="fr-FR"/>
        </w:rPr>
        <w:t> </w:t>
      </w:r>
      <w:r w:rsidRPr="00E9191D">
        <w:rPr>
          <w:lang w:val="fr-FR"/>
        </w:rPr>
        <w:t>I conçu pour la radiodiffusion de Terre dans la bande de fréquences 30-300 MHz a été retenu.</w:t>
      </w:r>
    </w:p>
    <w:p w14:paraId="3EF4C806" w14:textId="53407B04" w:rsidR="009F01D2" w:rsidRPr="00E9191D" w:rsidRDefault="009F01D2" w:rsidP="009F01D2">
      <w:pPr>
        <w:rPr>
          <w:lang w:val="fr-FR"/>
        </w:rPr>
      </w:pPr>
      <w:r w:rsidRPr="00E9191D">
        <w:rPr>
          <w:lang w:val="fr-FR"/>
        </w:rPr>
        <w:t>Cette révision vise à supprimer la référence au Système A, qui n</w:t>
      </w:r>
      <w:r w:rsidR="00252277" w:rsidRPr="00E9191D">
        <w:rPr>
          <w:lang w:val="fr-FR"/>
        </w:rPr>
        <w:t>'</w:t>
      </w:r>
      <w:r w:rsidRPr="00E9191D">
        <w:rPr>
          <w:lang w:val="fr-FR"/>
        </w:rPr>
        <w:t>est plus pertinente dans la présente Recommandation.</w:t>
      </w:r>
    </w:p>
    <w:p w14:paraId="4FAA6F23" w14:textId="42144423" w:rsidR="009F01D2" w:rsidRPr="00E9191D" w:rsidRDefault="009F01D2" w:rsidP="00252277">
      <w:pPr>
        <w:pStyle w:val="RecNo"/>
        <w:tabs>
          <w:tab w:val="left" w:pos="8080"/>
        </w:tabs>
        <w:spacing w:before="480"/>
        <w:rPr>
          <w:lang w:val="fr-FR"/>
        </w:rPr>
      </w:pPr>
      <w:r w:rsidRPr="00E9191D">
        <w:rPr>
          <w:b w:val="0"/>
          <w:bCs/>
          <w:sz w:val="24"/>
          <w:szCs w:val="20"/>
          <w:u w:val="single"/>
          <w:lang w:val="fr-FR"/>
        </w:rPr>
        <w:lastRenderedPageBreak/>
        <w:t>Projet de révision de la Recommandation UIT-R BO.1504-0</w:t>
      </w:r>
      <w:r w:rsidRPr="00E9191D">
        <w:rPr>
          <w:b w:val="0"/>
          <w:bCs/>
          <w:sz w:val="24"/>
          <w:szCs w:val="20"/>
          <w:lang w:val="fr-FR"/>
        </w:rPr>
        <w:tab/>
        <w:t>Document 4/5</w:t>
      </w:r>
      <w:r w:rsidR="00252277" w:rsidRPr="00E9191D">
        <w:rPr>
          <w:b w:val="0"/>
          <w:bCs/>
          <w:sz w:val="24"/>
          <w:szCs w:val="20"/>
          <w:lang w:val="fr-FR"/>
        </w:rPr>
        <w:t>5</w:t>
      </w:r>
    </w:p>
    <w:p w14:paraId="58766D33" w14:textId="35AFA642" w:rsidR="009F01D2" w:rsidRPr="00E9191D" w:rsidRDefault="009F01D2" w:rsidP="004D2ABF">
      <w:pPr>
        <w:pStyle w:val="Rectitle"/>
        <w:rPr>
          <w:lang w:val="fr-FR"/>
        </w:rPr>
      </w:pPr>
      <w:r w:rsidRPr="007469EF">
        <w:rPr>
          <w:lang w:val="fr-FR"/>
        </w:rPr>
        <w:t>Utilisation</w:t>
      </w:r>
      <w:r w:rsidRPr="00E9191D">
        <w:rPr>
          <w:lang w:val="fr-FR"/>
        </w:rPr>
        <w:t xml:space="preserve"> </w:t>
      </w:r>
      <w:r w:rsidRPr="007F2A29">
        <w:rPr>
          <w:lang w:val="fr-FR"/>
        </w:rPr>
        <w:t>efficace</w:t>
      </w:r>
      <w:r w:rsidRPr="00E9191D">
        <w:rPr>
          <w:lang w:val="fr-FR"/>
        </w:rPr>
        <w:t xml:space="preserve"> du spectre assigné au service</w:t>
      </w:r>
      <w:r w:rsidR="00252277" w:rsidRPr="00E9191D">
        <w:rPr>
          <w:lang w:val="fr-FR"/>
        </w:rPr>
        <w:br/>
      </w:r>
      <w:r w:rsidRPr="00E9191D">
        <w:rPr>
          <w:lang w:val="fr-FR"/>
        </w:rPr>
        <w:t>de radiodiffusion par satellite (sonore)</w:t>
      </w:r>
    </w:p>
    <w:p w14:paraId="773CDE24" w14:textId="350FE6E5" w:rsidR="00D21694" w:rsidRPr="00E9191D" w:rsidRDefault="009F01D2" w:rsidP="009F01D2">
      <w:pPr>
        <w:rPr>
          <w:lang w:val="fr-FR"/>
        </w:rPr>
      </w:pPr>
      <w:r w:rsidRPr="00E9191D">
        <w:rPr>
          <w:lang w:val="fr-FR"/>
        </w:rPr>
        <w:t>À la suite de la mise à jour du Système numérique A (Eurêka-147 DAB), publié dans la norme ETSI EN 300 401 V2.1.1 (2017-01) et à la suppression des modes de transmission II, III et IV, seul le mode</w:t>
      </w:r>
      <w:r w:rsidR="00252277" w:rsidRPr="00E9191D">
        <w:rPr>
          <w:lang w:val="fr-FR"/>
        </w:rPr>
        <w:t> </w:t>
      </w:r>
      <w:r w:rsidRPr="00E9191D">
        <w:rPr>
          <w:lang w:val="fr-FR"/>
        </w:rPr>
        <w:t>I conçu pour la radiodiffusion de Terre dans la bande de fréquences 30-300 MHz a été retenu. Cette révision vise à supprimer la référence au Système A, qui n</w:t>
      </w:r>
      <w:r w:rsidR="00252277" w:rsidRPr="00E9191D">
        <w:rPr>
          <w:lang w:val="fr-FR"/>
        </w:rPr>
        <w:t>'</w:t>
      </w:r>
      <w:r w:rsidRPr="00E9191D">
        <w:rPr>
          <w:lang w:val="fr-FR"/>
        </w:rPr>
        <w:t xml:space="preserve">est plus pertinente dans la présente Recommandation. Les points 1 et 2 du </w:t>
      </w:r>
      <w:r w:rsidRPr="00E9191D">
        <w:rPr>
          <w:i/>
          <w:iCs/>
          <w:lang w:val="fr-FR"/>
        </w:rPr>
        <w:t>invite le BR</w:t>
      </w:r>
      <w:r w:rsidRPr="00E9191D">
        <w:rPr>
          <w:lang w:val="fr-FR"/>
        </w:rPr>
        <w:t xml:space="preserve"> ont été supprimés et la terminologie utilisée dans le texte a été adaptée au Règlement des radiocommunications.</w:t>
      </w:r>
    </w:p>
    <w:p w14:paraId="23669062" w14:textId="0339EDB1" w:rsidR="00252277" w:rsidRPr="00E9191D" w:rsidRDefault="00252277" w:rsidP="00031E64">
      <w:pPr>
        <w:rPr>
          <w:rFonts w:asciiTheme="minorHAnsi" w:hAnsiTheme="minorHAnsi" w:cstheme="minorHAnsi"/>
          <w:szCs w:val="24"/>
          <w:lang w:val="fr-FR"/>
        </w:rPr>
      </w:pPr>
      <w:r w:rsidRPr="00E9191D">
        <w:rPr>
          <w:rFonts w:asciiTheme="minorHAnsi" w:hAnsiTheme="minorHAnsi" w:cstheme="minorHAnsi"/>
          <w:szCs w:val="24"/>
          <w:lang w:val="fr-FR"/>
        </w:rPr>
        <w:br w:type="page"/>
      </w:r>
    </w:p>
    <w:p w14:paraId="606053F9" w14:textId="0330AE99" w:rsidR="002A5DD7" w:rsidRPr="00E9191D" w:rsidRDefault="00252277" w:rsidP="00252277">
      <w:pPr>
        <w:pStyle w:val="AnnexNoTitle"/>
        <w:spacing w:after="240"/>
        <w:rPr>
          <w:rFonts w:asciiTheme="minorHAnsi" w:hAnsiTheme="minorHAnsi" w:cstheme="minorHAnsi"/>
          <w:szCs w:val="24"/>
          <w:lang w:val="fr-FR"/>
        </w:rPr>
      </w:pPr>
      <w:r w:rsidRPr="00E9191D">
        <w:rPr>
          <w:sz w:val="28"/>
          <w:szCs w:val="24"/>
          <w:lang w:val="fr-FR"/>
        </w:rPr>
        <w:lastRenderedPageBreak/>
        <w:t>Annexe 2</w:t>
      </w:r>
      <w:r w:rsidRPr="00E9191D">
        <w:rPr>
          <w:sz w:val="28"/>
          <w:szCs w:val="24"/>
          <w:lang w:val="fr-FR"/>
        </w:rPr>
        <w:br/>
      </w:r>
      <w:r w:rsidRPr="00E9191D">
        <w:rPr>
          <w:sz w:val="28"/>
          <w:szCs w:val="24"/>
          <w:lang w:val="fr-FR"/>
        </w:rPr>
        <w:br/>
        <w:t>Recommandation UIT-R dont la suppression est proposée</w:t>
      </w:r>
    </w:p>
    <w:tbl>
      <w:tblPr>
        <w:tblStyle w:val="TableGrid"/>
        <w:tblW w:w="0" w:type="auto"/>
        <w:tblLook w:val="04A0" w:firstRow="1" w:lastRow="0" w:firstColumn="1" w:lastColumn="0" w:noHBand="0" w:noVBand="1"/>
      </w:tblPr>
      <w:tblGrid>
        <w:gridCol w:w="1692"/>
        <w:gridCol w:w="6394"/>
        <w:gridCol w:w="1543"/>
      </w:tblGrid>
      <w:tr w:rsidR="00252277" w:rsidRPr="00E9191D" w14:paraId="5BB54B7C" w14:textId="77777777" w:rsidTr="00252277">
        <w:tc>
          <w:tcPr>
            <w:tcW w:w="1692" w:type="dxa"/>
            <w:vAlign w:val="center"/>
          </w:tcPr>
          <w:p w14:paraId="6C49E4AD" w14:textId="71DF4AAD" w:rsidR="00252277" w:rsidRPr="00E9191D" w:rsidRDefault="00252277" w:rsidP="00252277">
            <w:pPr>
              <w:pStyle w:val="Tablehead"/>
              <w:rPr>
                <w:lang w:val="fr-FR"/>
              </w:rPr>
            </w:pPr>
            <w:r w:rsidRPr="00E9191D">
              <w:rPr>
                <w:lang w:val="fr-FR"/>
              </w:rPr>
              <w:t>Recommandation UIT-R</w:t>
            </w:r>
          </w:p>
        </w:tc>
        <w:tc>
          <w:tcPr>
            <w:tcW w:w="6394" w:type="dxa"/>
            <w:vAlign w:val="center"/>
          </w:tcPr>
          <w:p w14:paraId="69D6B2E3" w14:textId="1E40CE87" w:rsidR="00252277" w:rsidRPr="00E9191D" w:rsidRDefault="00252277" w:rsidP="00252277">
            <w:pPr>
              <w:pStyle w:val="Tablehead"/>
              <w:rPr>
                <w:lang w:val="fr-FR"/>
              </w:rPr>
            </w:pPr>
            <w:r w:rsidRPr="00E9191D">
              <w:rPr>
                <w:lang w:val="fr-FR"/>
              </w:rPr>
              <w:t>Titre</w:t>
            </w:r>
          </w:p>
        </w:tc>
        <w:tc>
          <w:tcPr>
            <w:tcW w:w="1543" w:type="dxa"/>
            <w:vAlign w:val="center"/>
          </w:tcPr>
          <w:p w14:paraId="6C9999FC" w14:textId="373FD84D" w:rsidR="00252277" w:rsidRPr="00E9191D" w:rsidRDefault="00252277" w:rsidP="00252277">
            <w:pPr>
              <w:pStyle w:val="Tablehead"/>
              <w:rPr>
                <w:lang w:val="fr-FR"/>
              </w:rPr>
            </w:pPr>
            <w:r w:rsidRPr="00E9191D">
              <w:rPr>
                <w:lang w:val="fr-FR"/>
              </w:rPr>
              <w:t>Document</w:t>
            </w:r>
          </w:p>
        </w:tc>
      </w:tr>
      <w:tr w:rsidR="00252277" w:rsidRPr="00E9191D" w14:paraId="5F7ABB9D" w14:textId="77777777" w:rsidTr="00252277">
        <w:tc>
          <w:tcPr>
            <w:tcW w:w="1692" w:type="dxa"/>
            <w:vAlign w:val="center"/>
          </w:tcPr>
          <w:p w14:paraId="551DC676" w14:textId="04E138C0" w:rsidR="00252277" w:rsidRPr="00E9191D" w:rsidRDefault="00252277" w:rsidP="002F3FDB">
            <w:pPr>
              <w:pStyle w:val="Tabletext"/>
              <w:spacing w:before="80" w:after="80"/>
              <w:jc w:val="center"/>
              <w:rPr>
                <w:lang w:val="fr-FR"/>
              </w:rPr>
            </w:pPr>
            <w:r w:rsidRPr="00E9191D">
              <w:rPr>
                <w:lang w:val="fr-FR"/>
              </w:rPr>
              <w:t>M.632-3</w:t>
            </w:r>
          </w:p>
        </w:tc>
        <w:tc>
          <w:tcPr>
            <w:tcW w:w="6394" w:type="dxa"/>
            <w:vAlign w:val="center"/>
          </w:tcPr>
          <w:p w14:paraId="725384B7" w14:textId="4F4AE23C" w:rsidR="00252277" w:rsidRPr="00E9191D" w:rsidRDefault="00252277" w:rsidP="002F3FDB">
            <w:pPr>
              <w:pStyle w:val="Tabletext"/>
              <w:spacing w:before="80" w:after="80"/>
              <w:rPr>
                <w:lang w:val="fr-FR"/>
              </w:rPr>
            </w:pPr>
            <w:r w:rsidRPr="00E9191D">
              <w:rPr>
                <w:lang w:val="fr-FR"/>
              </w:rPr>
              <w:t>Caractéristiques d'émission d'un système de radiobalises de localisation des sinistres par satellite (RLS par satellite) fonctionnant par l'intermédiaire de satellites géostationnaires dans la bande des 1,6 GHz</w:t>
            </w:r>
          </w:p>
        </w:tc>
        <w:tc>
          <w:tcPr>
            <w:tcW w:w="1543" w:type="dxa"/>
            <w:vAlign w:val="center"/>
          </w:tcPr>
          <w:p w14:paraId="0917573F" w14:textId="06D5F264" w:rsidR="00252277" w:rsidRPr="00E9191D" w:rsidRDefault="00252277" w:rsidP="002F3FDB">
            <w:pPr>
              <w:pStyle w:val="Tabletext"/>
              <w:spacing w:before="80" w:after="80"/>
              <w:jc w:val="center"/>
              <w:rPr>
                <w:lang w:val="fr-FR"/>
              </w:rPr>
            </w:pPr>
            <w:r w:rsidRPr="00E9191D">
              <w:rPr>
                <w:lang w:val="fr-FR"/>
              </w:rPr>
              <w:t>4/48</w:t>
            </w:r>
          </w:p>
        </w:tc>
      </w:tr>
    </w:tbl>
    <w:p w14:paraId="0A01CAEF" w14:textId="41A6B448" w:rsidR="00C3556B" w:rsidRPr="00E9191D" w:rsidRDefault="00252277" w:rsidP="00252277">
      <w:pPr>
        <w:jc w:val="center"/>
        <w:rPr>
          <w:szCs w:val="24"/>
          <w:lang w:val="fr-FR"/>
        </w:rPr>
      </w:pPr>
      <w:r w:rsidRPr="00E9191D">
        <w:rPr>
          <w:szCs w:val="24"/>
          <w:lang w:val="fr-FR"/>
        </w:rPr>
        <w:t>______________</w:t>
      </w:r>
    </w:p>
    <w:sectPr w:rsidR="00C3556B" w:rsidRPr="00E9191D" w:rsidSect="003F2F34">
      <w:headerReference w:type="even" r:id="rId12"/>
      <w:headerReference w:type="default" r:id="rId13"/>
      <w:footerReference w:type="default" r:id="rId14"/>
      <w:headerReference w:type="first" r:id="rId15"/>
      <w:footerReference w:type="first" r:id="rId1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335C3798"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26E1AC92" w:rsidR="005E42F8" w:rsidRPr="009F01D2" w:rsidRDefault="00305156" w:rsidP="009F01D2">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t xml:space="preserve">Tél.: +41 22 730 5111 • Courriel: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w:t>
    </w:r>
    <w:r w:rsidR="00E47034">
      <w:rPr>
        <w:rFonts w:asciiTheme="minorHAnsi" w:hAnsiTheme="minorHAnsi"/>
        <w:color w:val="0070C0"/>
        <w:sz w:val="19"/>
        <w:szCs w:val="19"/>
        <w:lang w:val="fr-CH"/>
      </w:rPr>
      <w:t xml:space="preserve"> Télécopie</w:t>
    </w:r>
    <w:r w:rsidRPr="000F0E0A">
      <w:rPr>
        <w:rFonts w:asciiTheme="minorHAnsi" w:hAnsiTheme="minorHAnsi"/>
        <w:color w:val="0070C0"/>
        <w:sz w:val="19"/>
        <w:szCs w:val="19"/>
        <w:lang w:val="fr-CH"/>
      </w:rPr>
      <w:t xml:space="preserve">: +41 22 733 7256 • </w:t>
    </w:r>
    <w:hyperlink r:id="rId2" w:history="1">
      <w:r w:rsidRPr="00563494">
        <w:rPr>
          <w:rStyle w:val="Hyperlink"/>
          <w:rFonts w:asciiTheme="minorHAnsi" w:hAnsiTheme="minorHAnsi"/>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10EAC9FA" w:rsidR="003F2F34" w:rsidRPr="003F2F34" w:rsidRDefault="00AD33DB"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6299" w14:textId="77777777" w:rsidR="007D69A3" w:rsidRDefault="007D69A3"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2EEA53DC" wp14:editId="6E9FF550">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300B"/>
    <w:rsid w:val="000E3DEE"/>
    <w:rsid w:val="000E443D"/>
    <w:rsid w:val="000F0E0A"/>
    <w:rsid w:val="00100B72"/>
    <w:rsid w:val="00101F7D"/>
    <w:rsid w:val="00103C76"/>
    <w:rsid w:val="0011265F"/>
    <w:rsid w:val="00117282"/>
    <w:rsid w:val="00117389"/>
    <w:rsid w:val="00121C2D"/>
    <w:rsid w:val="001321D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2277"/>
    <w:rsid w:val="002569F7"/>
    <w:rsid w:val="00266E74"/>
    <w:rsid w:val="00283C3B"/>
    <w:rsid w:val="002861E6"/>
    <w:rsid w:val="00287D18"/>
    <w:rsid w:val="002A2618"/>
    <w:rsid w:val="002A5DD7"/>
    <w:rsid w:val="002B0CAC"/>
    <w:rsid w:val="002D5A15"/>
    <w:rsid w:val="002D5BDD"/>
    <w:rsid w:val="002E3D27"/>
    <w:rsid w:val="002F0890"/>
    <w:rsid w:val="002F2531"/>
    <w:rsid w:val="002F3FDB"/>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2ABF"/>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494"/>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1C96"/>
    <w:rsid w:val="005F3CB6"/>
    <w:rsid w:val="005F657C"/>
    <w:rsid w:val="00602D53"/>
    <w:rsid w:val="006047E5"/>
    <w:rsid w:val="00642050"/>
    <w:rsid w:val="0064371D"/>
    <w:rsid w:val="00650543"/>
    <w:rsid w:val="00650B2A"/>
    <w:rsid w:val="00651777"/>
    <w:rsid w:val="006550F8"/>
    <w:rsid w:val="00664960"/>
    <w:rsid w:val="006829F3"/>
    <w:rsid w:val="006A518B"/>
    <w:rsid w:val="006B0590"/>
    <w:rsid w:val="006B0F93"/>
    <w:rsid w:val="006B49DA"/>
    <w:rsid w:val="006C53F8"/>
    <w:rsid w:val="006C7CDE"/>
    <w:rsid w:val="007234B1"/>
    <w:rsid w:val="00723D08"/>
    <w:rsid w:val="00725FDA"/>
    <w:rsid w:val="00727816"/>
    <w:rsid w:val="00730B9A"/>
    <w:rsid w:val="007469EF"/>
    <w:rsid w:val="00750CFA"/>
    <w:rsid w:val="00754B7E"/>
    <w:rsid w:val="007553DA"/>
    <w:rsid w:val="00773F7E"/>
    <w:rsid w:val="00775DB8"/>
    <w:rsid w:val="00782354"/>
    <w:rsid w:val="007921A7"/>
    <w:rsid w:val="007B27E8"/>
    <w:rsid w:val="007B3DB1"/>
    <w:rsid w:val="007C2E1E"/>
    <w:rsid w:val="007D183E"/>
    <w:rsid w:val="007D43D0"/>
    <w:rsid w:val="007D69A3"/>
    <w:rsid w:val="007E1833"/>
    <w:rsid w:val="007E3F13"/>
    <w:rsid w:val="007F2A29"/>
    <w:rsid w:val="007F751A"/>
    <w:rsid w:val="007F79C5"/>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08BE"/>
    <w:rsid w:val="00963D9D"/>
    <w:rsid w:val="0098013E"/>
    <w:rsid w:val="00981B54"/>
    <w:rsid w:val="009842C3"/>
    <w:rsid w:val="00987C84"/>
    <w:rsid w:val="009A009A"/>
    <w:rsid w:val="009A6BB6"/>
    <w:rsid w:val="009B3F43"/>
    <w:rsid w:val="009B5CFA"/>
    <w:rsid w:val="009C161F"/>
    <w:rsid w:val="009C56B4"/>
    <w:rsid w:val="009D51A2"/>
    <w:rsid w:val="009E04A8"/>
    <w:rsid w:val="009E4AEC"/>
    <w:rsid w:val="009E5BD8"/>
    <w:rsid w:val="009E681E"/>
    <w:rsid w:val="009F01D2"/>
    <w:rsid w:val="009F5CC2"/>
    <w:rsid w:val="00A119E6"/>
    <w:rsid w:val="00A20FBC"/>
    <w:rsid w:val="00A231BC"/>
    <w:rsid w:val="00A31370"/>
    <w:rsid w:val="00A34D6F"/>
    <w:rsid w:val="00A41F91"/>
    <w:rsid w:val="00A63355"/>
    <w:rsid w:val="00A6574A"/>
    <w:rsid w:val="00A7596D"/>
    <w:rsid w:val="00A8628F"/>
    <w:rsid w:val="00A963DF"/>
    <w:rsid w:val="00AA211B"/>
    <w:rsid w:val="00AA781A"/>
    <w:rsid w:val="00AC0C22"/>
    <w:rsid w:val="00AC3896"/>
    <w:rsid w:val="00AD2CF2"/>
    <w:rsid w:val="00AD33DB"/>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4930"/>
    <w:rsid w:val="00C07319"/>
    <w:rsid w:val="00C16FD2"/>
    <w:rsid w:val="00C236AF"/>
    <w:rsid w:val="00C3556B"/>
    <w:rsid w:val="00C4395E"/>
    <w:rsid w:val="00C47FFD"/>
    <w:rsid w:val="00C51E92"/>
    <w:rsid w:val="00C57E2C"/>
    <w:rsid w:val="00C608B7"/>
    <w:rsid w:val="00C66F24"/>
    <w:rsid w:val="00C76D7F"/>
    <w:rsid w:val="00C813AA"/>
    <w:rsid w:val="00C9291E"/>
    <w:rsid w:val="00C968F6"/>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47034"/>
    <w:rsid w:val="00E520E2"/>
    <w:rsid w:val="00E530C4"/>
    <w:rsid w:val="00E53DCE"/>
    <w:rsid w:val="00E55996"/>
    <w:rsid w:val="00E64254"/>
    <w:rsid w:val="00E67928"/>
    <w:rsid w:val="00E70FB5"/>
    <w:rsid w:val="00E915AF"/>
    <w:rsid w:val="00E9191D"/>
    <w:rsid w:val="00E96415"/>
    <w:rsid w:val="00EA15B3"/>
    <w:rsid w:val="00EA2C83"/>
    <w:rsid w:val="00EB2358"/>
    <w:rsid w:val="00EB3EB8"/>
    <w:rsid w:val="00EC00EF"/>
    <w:rsid w:val="00EC02FE"/>
    <w:rsid w:val="00EC4A96"/>
    <w:rsid w:val="00EE03A0"/>
    <w:rsid w:val="00EE1A57"/>
    <w:rsid w:val="00EE596C"/>
    <w:rsid w:val="00F25A1F"/>
    <w:rsid w:val="00F424BF"/>
    <w:rsid w:val="00F44FC3"/>
    <w:rsid w:val="00F46107"/>
    <w:rsid w:val="00F468C5"/>
    <w:rsid w:val="00F52F39"/>
    <w:rsid w:val="00F6184F"/>
    <w:rsid w:val="00F66CDD"/>
    <w:rsid w:val="00F73DBD"/>
    <w:rsid w:val="00F8310E"/>
    <w:rsid w:val="00F914DD"/>
    <w:rsid w:val="00FA2358"/>
    <w:rsid w:val="00FB2592"/>
    <w:rsid w:val="00FB2810"/>
    <w:rsid w:val="00FB7A2C"/>
    <w:rsid w:val="00FC2947"/>
    <w:rsid w:val="00FC3476"/>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9F01D2"/>
    <w:rPr>
      <w:color w:val="800080" w:themeColor="followedHyperlink"/>
      <w:u w:val="single"/>
    </w:rPr>
  </w:style>
  <w:style w:type="paragraph" w:styleId="Revision">
    <w:name w:val="Revision"/>
    <w:hidden/>
    <w:uiPriority w:val="99"/>
    <w:semiHidden/>
    <w:rsid w:val="00C0493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tu.int/pub/R-RES-R.1-9-202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R23-SG04-C/en"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en/ITU-T/ipr/Pages/policy.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9608BE"/>
    <w:rsid w:val="00A8628F"/>
    <w:rsid w:val="00EE596C"/>
    <w:rsid w:val="00F66CDD"/>
    <w:rsid w:val="00F815C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1074</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7442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9</cp:revision>
  <cp:lastPrinted>2013-03-08T10:15:00Z</cp:lastPrinted>
  <dcterms:created xsi:type="dcterms:W3CDTF">2025-12-16T10:47:00Z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