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7D65D2" w14:paraId="0BBE3513" w14:textId="77777777" w:rsidTr="00153E23">
        <w:tc>
          <w:tcPr>
            <w:tcW w:w="5000" w:type="pct"/>
            <w:gridSpan w:val="3"/>
          </w:tcPr>
          <w:p w14:paraId="0FBC053B" w14:textId="77777777" w:rsidR="000F7BBE" w:rsidRPr="007D65D2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7D65D2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مكتب الاتصالات الراديوية </w:t>
            </w:r>
            <w:r w:rsidRPr="007D65D2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3B2168CC" w14:textId="77777777" w:rsidR="000F7BBE" w:rsidRPr="007D65D2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7D65D2" w14:paraId="60D01BB1" w14:textId="77777777" w:rsidTr="00153E23">
        <w:tc>
          <w:tcPr>
            <w:tcW w:w="2707" w:type="pct"/>
            <w:gridSpan w:val="2"/>
          </w:tcPr>
          <w:p w14:paraId="1B06E103" w14:textId="37E02BAC" w:rsidR="000F7BBE" w:rsidRPr="007D65D2" w:rsidRDefault="000F7BBE" w:rsidP="006A441B">
            <w:pPr>
              <w:spacing w:before="80" w:line="300" w:lineRule="exact"/>
              <w:rPr>
                <w:position w:val="2"/>
                <w:lang w:bidi="ar-EG"/>
              </w:rPr>
            </w:pPr>
            <w:r w:rsidRPr="007D65D2">
              <w:rPr>
                <w:position w:val="2"/>
                <w:rtl/>
                <w:lang w:bidi="ar-AE"/>
              </w:rPr>
              <w:t>الرسالة الإدارية المعممة</w:t>
            </w:r>
          </w:p>
          <w:p w14:paraId="71F2F206" w14:textId="2FC5B336" w:rsidR="000F7BBE" w:rsidRPr="007D65D2" w:rsidRDefault="000F7BBE" w:rsidP="006A441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7D65D2">
              <w:rPr>
                <w:b/>
                <w:bCs/>
                <w:position w:val="2"/>
                <w:lang w:val="en-GB" w:bidi="ar-EG"/>
              </w:rPr>
              <w:t>CACE/</w:t>
            </w:r>
            <w:r w:rsidR="00FC29B4" w:rsidRPr="007D65D2">
              <w:rPr>
                <w:b/>
                <w:bCs/>
                <w:position w:val="2"/>
                <w:lang w:val="en-GB" w:bidi="ar-EG"/>
              </w:rPr>
              <w:t>1166</w:t>
            </w:r>
          </w:p>
        </w:tc>
        <w:tc>
          <w:tcPr>
            <w:tcW w:w="2293" w:type="pct"/>
          </w:tcPr>
          <w:p w14:paraId="103BCA64" w14:textId="7283C4F3" w:rsidR="000F7BBE" w:rsidRPr="007D65D2" w:rsidRDefault="00FC29B4" w:rsidP="00F16820">
            <w:pPr>
              <w:spacing w:before="80" w:after="60" w:line="300" w:lineRule="exact"/>
              <w:jc w:val="right"/>
              <w:rPr>
                <w:position w:val="2"/>
              </w:rPr>
            </w:pPr>
            <w:r w:rsidRPr="007D65D2">
              <w:rPr>
                <w:position w:val="2"/>
                <w:lang w:val="fr-FR" w:bidi="ar-EG"/>
              </w:rPr>
              <w:t>18</w:t>
            </w:r>
            <w:r w:rsidRPr="007D65D2">
              <w:rPr>
                <w:rFonts w:hint="cs"/>
                <w:position w:val="2"/>
                <w:rtl/>
                <w:lang w:val="fr-FR"/>
              </w:rPr>
              <w:t xml:space="preserve"> ديسمبر </w:t>
            </w:r>
            <w:r w:rsidRPr="007D65D2">
              <w:rPr>
                <w:position w:val="2"/>
              </w:rPr>
              <w:t>2025</w:t>
            </w:r>
          </w:p>
        </w:tc>
      </w:tr>
      <w:tr w:rsidR="000F7BBE" w:rsidRPr="007D65D2" w14:paraId="21583730" w14:textId="77777777" w:rsidTr="00153E23">
        <w:tc>
          <w:tcPr>
            <w:tcW w:w="5000" w:type="pct"/>
            <w:gridSpan w:val="3"/>
          </w:tcPr>
          <w:p w14:paraId="2AC34C70" w14:textId="77777777" w:rsidR="000F7BBE" w:rsidRPr="007D65D2" w:rsidRDefault="000F7BBE" w:rsidP="000F7BBE">
            <w:pPr>
              <w:spacing w:before="80" w:after="6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7D65D2" w14:paraId="3D0BC696" w14:textId="77777777" w:rsidTr="00153E23">
        <w:tc>
          <w:tcPr>
            <w:tcW w:w="5000" w:type="pct"/>
            <w:gridSpan w:val="3"/>
          </w:tcPr>
          <w:p w14:paraId="5049DF63" w14:textId="77777777" w:rsidR="000F7BBE" w:rsidRPr="007D65D2" w:rsidRDefault="000F7BBE" w:rsidP="000F7BBE">
            <w:pPr>
              <w:spacing w:before="80" w:after="6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D65D2" w14:paraId="0D5539C1" w14:textId="77777777" w:rsidTr="00153E23">
        <w:tc>
          <w:tcPr>
            <w:tcW w:w="5000" w:type="pct"/>
            <w:gridSpan w:val="3"/>
          </w:tcPr>
          <w:p w14:paraId="07CE385F" w14:textId="1E5E1FC3" w:rsidR="000F7BBE" w:rsidRPr="007D65D2" w:rsidRDefault="00E071D0" w:rsidP="00E071D0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7D65D2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 والمنتسبين إليه</w:t>
            </w:r>
            <w:r w:rsidRPr="007D65D2">
              <w:rPr>
                <w:b/>
                <w:bCs/>
                <w:position w:val="2"/>
                <w:rtl/>
              </w:rPr>
              <w:br/>
            </w:r>
            <w:r w:rsidR="00A87C7D" w:rsidRPr="007D65D2">
              <w:rPr>
                <w:b/>
                <w:bCs/>
                <w:position w:val="2"/>
                <w:rtl/>
                <w:lang w:bidi="ar-EG"/>
              </w:rPr>
              <w:t xml:space="preserve">والهيئات الأكاديمية المنضمة إلى الاتحاد </w:t>
            </w:r>
            <w:r w:rsidRPr="007D65D2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FC29B4" w:rsidRPr="007D65D2">
              <w:rPr>
                <w:b/>
                <w:bCs/>
                <w:position w:val="2"/>
                <w:lang w:val="en-GB"/>
              </w:rPr>
              <w:t>4</w:t>
            </w:r>
            <w:r w:rsidRPr="007D65D2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</w:p>
        </w:tc>
      </w:tr>
      <w:tr w:rsidR="000F7BBE" w:rsidRPr="007D65D2" w14:paraId="1270444C" w14:textId="77777777" w:rsidTr="00153E23">
        <w:tc>
          <w:tcPr>
            <w:tcW w:w="5000" w:type="pct"/>
            <w:gridSpan w:val="3"/>
          </w:tcPr>
          <w:p w14:paraId="19955F28" w14:textId="77777777" w:rsidR="000F7BBE" w:rsidRPr="007D65D2" w:rsidRDefault="000F7BBE" w:rsidP="000F7BBE">
            <w:pPr>
              <w:spacing w:before="80" w:after="6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D65D2" w14:paraId="1DAB0724" w14:textId="77777777" w:rsidTr="00153E23">
        <w:tc>
          <w:tcPr>
            <w:tcW w:w="5000" w:type="pct"/>
            <w:gridSpan w:val="3"/>
          </w:tcPr>
          <w:p w14:paraId="77F8C503" w14:textId="77777777" w:rsidR="000F7BBE" w:rsidRPr="007D65D2" w:rsidRDefault="000F7BBE" w:rsidP="000F7BBE">
            <w:pPr>
              <w:spacing w:before="80" w:after="6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D65D2" w14:paraId="7F4A3AA8" w14:textId="77777777" w:rsidTr="00153E23">
        <w:trPr>
          <w:trHeight w:val="452"/>
        </w:trPr>
        <w:tc>
          <w:tcPr>
            <w:tcW w:w="699" w:type="pct"/>
          </w:tcPr>
          <w:p w14:paraId="453DBE14" w14:textId="77777777" w:rsidR="000F7BBE" w:rsidRPr="007D65D2" w:rsidRDefault="000F7BBE" w:rsidP="00F23E90">
            <w:pPr>
              <w:spacing w:before="40" w:after="40"/>
              <w:rPr>
                <w:position w:val="2"/>
                <w:lang w:val="fr-FR" w:bidi="ar-EG"/>
              </w:rPr>
            </w:pPr>
            <w:r w:rsidRPr="007D65D2">
              <w:rPr>
                <w:position w:val="2"/>
                <w:rtl/>
              </w:rPr>
              <w:t>الموضوع</w:t>
            </w:r>
            <w:r w:rsidRPr="007D65D2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7650216B" w14:textId="542FA50D" w:rsidR="00E071D0" w:rsidRPr="007D65D2" w:rsidRDefault="00E071D0" w:rsidP="00F23E90">
            <w:pPr>
              <w:spacing w:before="40" w:after="40"/>
              <w:rPr>
                <w:b/>
                <w:bCs/>
              </w:rPr>
            </w:pPr>
            <w:r w:rsidRPr="007D65D2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FC29B4" w:rsidRPr="007D65D2">
              <w:rPr>
                <w:b/>
                <w:bCs/>
                <w:lang w:bidi="ar-SY"/>
              </w:rPr>
              <w:t>4</w:t>
            </w:r>
            <w:r w:rsidRPr="007D65D2">
              <w:rPr>
                <w:b/>
                <w:bCs/>
                <w:rtl/>
                <w:lang w:bidi="ar-EG"/>
              </w:rPr>
              <w:t xml:space="preserve"> للاتصالات الراديوية</w:t>
            </w:r>
            <w:r w:rsidR="00FC29B4" w:rsidRPr="007D65D2">
              <w:rPr>
                <w:rFonts w:hint="cs"/>
                <w:b/>
                <w:bCs/>
                <w:rtl/>
              </w:rPr>
              <w:t xml:space="preserve"> (</w:t>
            </w:r>
            <w:r w:rsidR="00FC29B4" w:rsidRPr="007D65D2">
              <w:rPr>
                <w:b/>
                <w:bCs/>
                <w:rtl/>
              </w:rPr>
              <w:t>الخدمات الساتلية</w:t>
            </w:r>
            <w:r w:rsidR="00FC29B4" w:rsidRPr="007D65D2">
              <w:rPr>
                <w:rFonts w:hint="cs"/>
                <w:b/>
                <w:bCs/>
                <w:rtl/>
              </w:rPr>
              <w:t>)</w:t>
            </w:r>
          </w:p>
          <w:p w14:paraId="7B1EF057" w14:textId="0796957E" w:rsidR="00E071D0" w:rsidRPr="007D65D2" w:rsidRDefault="00E071D0" w:rsidP="00F23E90">
            <w:pPr>
              <w:tabs>
                <w:tab w:val="clear" w:pos="794"/>
                <w:tab w:val="left" w:pos="386"/>
              </w:tabs>
              <w:spacing w:before="40" w:after="40"/>
              <w:ind w:left="386" w:hanging="386"/>
              <w:rPr>
                <w:b/>
                <w:bCs/>
                <w:rtl/>
                <w:lang w:bidi="ar-EG"/>
              </w:rPr>
            </w:pPr>
            <w:r w:rsidRPr="007D65D2">
              <w:rPr>
                <w:b/>
                <w:bCs/>
                <w:rtl/>
                <w:lang w:bidi="ar-EG"/>
              </w:rPr>
              <w:t>-</w:t>
            </w:r>
            <w:r w:rsidRPr="007D65D2">
              <w:rPr>
                <w:b/>
                <w:bCs/>
                <w:rtl/>
                <w:lang w:bidi="ar-EG"/>
              </w:rPr>
              <w:tab/>
            </w:r>
            <w:r w:rsidRPr="007D65D2">
              <w:rPr>
                <w:b/>
                <w:bCs/>
                <w:spacing w:val="-4"/>
                <w:rtl/>
                <w:lang w:bidi="ar-EG"/>
              </w:rPr>
              <w:t>اقتراح اعتماد</w:t>
            </w:r>
            <w:r w:rsidR="00FC29B4" w:rsidRPr="007D65D2">
              <w:rPr>
                <w:rFonts w:hint="cs"/>
                <w:b/>
                <w:bCs/>
                <w:spacing w:val="-4"/>
                <w:rtl/>
                <w:lang w:bidi="ar-EG"/>
              </w:rPr>
              <w:t xml:space="preserve"> </w:t>
            </w:r>
            <w:r w:rsidR="00FC29B4" w:rsidRPr="007D65D2">
              <w:rPr>
                <w:b/>
                <w:bCs/>
                <w:spacing w:val="-4"/>
                <w:rtl/>
                <w:lang w:bidi="ar-EG"/>
              </w:rPr>
              <w:t>أربعة</w:t>
            </w:r>
            <w:r w:rsidR="00FC29B4" w:rsidRPr="007D65D2">
              <w:rPr>
                <w:rFonts w:hint="cs"/>
                <w:b/>
                <w:bCs/>
                <w:spacing w:val="-4"/>
                <w:rtl/>
                <w:lang w:bidi="ar-EG"/>
              </w:rPr>
              <w:t xml:space="preserve"> </w:t>
            </w:r>
            <w:r w:rsidR="00FC29B4" w:rsidRPr="007D65D2">
              <w:rPr>
                <w:b/>
                <w:bCs/>
                <w:spacing w:val="-4"/>
                <w:rtl/>
                <w:lang w:bidi="ar-EG"/>
              </w:rPr>
              <w:t xml:space="preserve">مشاريع توصيات مُراجعة </w:t>
            </w:r>
            <w:r w:rsidRPr="007D65D2">
              <w:rPr>
                <w:b/>
                <w:bCs/>
                <w:spacing w:val="-4"/>
                <w:rtl/>
              </w:rPr>
              <w:t>لقطاع الاتصالات الراديوية</w:t>
            </w:r>
            <w:r w:rsidRPr="007D65D2">
              <w:rPr>
                <w:b/>
                <w:bCs/>
                <w:spacing w:val="-4"/>
                <w:rtl/>
                <w:lang w:bidi="ar-EG"/>
              </w:rPr>
              <w:t xml:space="preserve"> والموافقة عليها في نفس الوقت بالمراسلة وفقاً للفقرة </w:t>
            </w:r>
            <w:r w:rsidRPr="007D65D2">
              <w:rPr>
                <w:b/>
                <w:bCs/>
                <w:spacing w:val="-4"/>
                <w:lang w:val="fr-FR" w:bidi="ar-SY"/>
              </w:rPr>
              <w:t>4.2.6.A2</w:t>
            </w:r>
            <w:r w:rsidRPr="007D65D2">
              <w:rPr>
                <w:b/>
                <w:bCs/>
                <w:spacing w:val="-4"/>
                <w:rtl/>
                <w:lang w:bidi="ar-EG"/>
              </w:rPr>
              <w:t xml:space="preserve"> من القرار </w:t>
            </w:r>
            <w:r w:rsidRPr="007D65D2">
              <w:rPr>
                <w:b/>
                <w:bCs/>
                <w:spacing w:val="-4"/>
                <w:lang w:val="fr-FR" w:bidi="ar-SY"/>
              </w:rPr>
              <w:t>ITU-R 1-</w:t>
            </w:r>
            <w:r w:rsidR="00CD2EC7" w:rsidRPr="007D65D2">
              <w:rPr>
                <w:b/>
                <w:bCs/>
                <w:spacing w:val="-4"/>
                <w:lang w:val="fr-FR" w:bidi="ar-SY"/>
              </w:rPr>
              <w:t>9</w:t>
            </w:r>
            <w:r w:rsidRPr="007D65D2">
              <w:rPr>
                <w:b/>
                <w:bCs/>
                <w:spacing w:val="-4"/>
                <w:rtl/>
                <w:lang w:bidi="ar-EG"/>
              </w:rPr>
              <w:t xml:space="preserve"> (إجراء الاعتماد والموافقة في نفس الوقت عن طريق المراسلة)</w:t>
            </w:r>
          </w:p>
          <w:p w14:paraId="6CB1E279" w14:textId="158A3086" w:rsidR="000F7BBE" w:rsidRPr="007D65D2" w:rsidRDefault="00E071D0" w:rsidP="00F23E90">
            <w:pPr>
              <w:tabs>
                <w:tab w:val="clear" w:pos="794"/>
                <w:tab w:val="left" w:pos="385"/>
              </w:tabs>
              <w:spacing w:before="40" w:after="40"/>
              <w:ind w:left="385" w:hanging="385"/>
              <w:rPr>
                <w:b/>
                <w:bCs/>
                <w:position w:val="2"/>
                <w:lang w:bidi="ar-EG"/>
              </w:rPr>
            </w:pPr>
            <w:r w:rsidRPr="007D65D2">
              <w:rPr>
                <w:b/>
                <w:bCs/>
                <w:rtl/>
                <w:lang w:bidi="ar-EG"/>
              </w:rPr>
              <w:t>-</w:t>
            </w:r>
            <w:r w:rsidRPr="007D65D2">
              <w:rPr>
                <w:b/>
                <w:bCs/>
                <w:rtl/>
                <w:lang w:bidi="ar-EG"/>
              </w:rPr>
              <w:tab/>
              <w:t xml:space="preserve">اقتراح إلغاء </w:t>
            </w:r>
            <w:r w:rsidRPr="007D65D2">
              <w:rPr>
                <w:b/>
                <w:bCs/>
                <w:rtl/>
              </w:rPr>
              <w:t>توصية</w:t>
            </w:r>
            <w:r w:rsidRPr="007D65D2">
              <w:rPr>
                <w:b/>
                <w:bCs/>
                <w:rtl/>
                <w:lang w:bidi="ar-EG"/>
              </w:rPr>
              <w:t xml:space="preserve"> </w:t>
            </w:r>
            <w:r w:rsidR="00FC29B4" w:rsidRPr="007D65D2">
              <w:rPr>
                <w:rFonts w:hint="cs"/>
                <w:b/>
                <w:bCs/>
                <w:rtl/>
                <w:lang w:bidi="ar-EG"/>
              </w:rPr>
              <w:t>واحدة</w:t>
            </w:r>
            <w:r w:rsidRPr="007D65D2">
              <w:rPr>
                <w:b/>
                <w:bCs/>
                <w:rtl/>
                <w:lang w:bidi="ar-EG"/>
              </w:rPr>
              <w:t xml:space="preserve"> لقطاع الاتصالات الراديوية</w:t>
            </w:r>
          </w:p>
        </w:tc>
      </w:tr>
    </w:tbl>
    <w:p w14:paraId="7C8B9221" w14:textId="77777777" w:rsidR="00FA56BA" w:rsidRPr="007D65D2" w:rsidRDefault="00FA56BA" w:rsidP="00FA56BA">
      <w:pPr>
        <w:spacing w:before="600"/>
        <w:rPr>
          <w:rtl/>
          <w:lang w:bidi="ar-EG"/>
        </w:rPr>
      </w:pPr>
      <w:r w:rsidRPr="007D65D2">
        <w:rPr>
          <w:rtl/>
          <w:lang w:bidi="ar-EG"/>
        </w:rPr>
        <w:t>تحية طيبة وبعد،</w:t>
      </w:r>
    </w:p>
    <w:p w14:paraId="1B5F8613" w14:textId="795C3FFF" w:rsidR="00E071D0" w:rsidRPr="007D65D2" w:rsidRDefault="00E071D0" w:rsidP="00FA56BA">
      <w:pPr>
        <w:rPr>
          <w:rtl/>
          <w:lang w:bidi="ar-EG"/>
        </w:rPr>
      </w:pPr>
      <w:r w:rsidRPr="007D65D2">
        <w:rPr>
          <w:rtl/>
          <w:lang w:bidi="ar-EG"/>
        </w:rPr>
        <w:t>قررت لجنة الدراسات </w:t>
      </w:r>
      <w:r w:rsidR="00AC6086" w:rsidRPr="007D65D2">
        <w:rPr>
          <w:rFonts w:hint="cs"/>
          <w:rtl/>
          <w:lang w:val="en-GB" w:bidi="ar-EG"/>
        </w:rPr>
        <w:t>4</w:t>
      </w:r>
      <w:r w:rsidRPr="007D65D2">
        <w:rPr>
          <w:rtl/>
          <w:lang w:bidi="ar-EG"/>
        </w:rPr>
        <w:t xml:space="preserve"> للاتصالات الراديوية في اجتماعها المنعقد </w:t>
      </w:r>
      <w:r w:rsidR="00BA52FE" w:rsidRPr="007D65D2">
        <w:rPr>
          <w:rtl/>
          <w:lang w:bidi="ar-EG"/>
        </w:rPr>
        <w:t>في</w:t>
      </w:r>
      <w:r w:rsidRPr="007D65D2">
        <w:rPr>
          <w:rtl/>
          <w:lang w:bidi="ar-EG"/>
        </w:rPr>
        <w:t xml:space="preserve"> </w:t>
      </w:r>
      <w:r w:rsidR="00AC6086" w:rsidRPr="007D65D2">
        <w:rPr>
          <w:rFonts w:hint="cs"/>
          <w:rtl/>
          <w:lang w:bidi="ar-EG"/>
        </w:rPr>
        <w:t>7 نوفمبر 2025</w:t>
      </w:r>
      <w:r w:rsidRPr="007D65D2">
        <w:rPr>
          <w:rtl/>
          <w:lang w:bidi="ar-EG"/>
        </w:rPr>
        <w:t xml:space="preserve"> أن تلتمس اعتماد </w:t>
      </w:r>
      <w:r w:rsidR="00AC6086" w:rsidRPr="007D65D2">
        <w:rPr>
          <w:rtl/>
          <w:lang w:bidi="ar-EG"/>
        </w:rPr>
        <w:t xml:space="preserve">أربعة مشاريع توصيات </w:t>
      </w:r>
      <w:r w:rsidRPr="007D65D2">
        <w:rPr>
          <w:rtl/>
          <w:lang w:bidi="ar-EG"/>
        </w:rPr>
        <w:t>مراجَعة لقطاع الاتصالات الراديوية عن طريق المراسلة (الفقرة </w:t>
      </w:r>
      <w:r w:rsidRPr="007D65D2">
        <w:t>2.6.A2</w:t>
      </w:r>
      <w:r w:rsidRPr="007D65D2">
        <w:rPr>
          <w:rtl/>
          <w:lang w:bidi="ar-EG"/>
        </w:rPr>
        <w:t xml:space="preserve"> من القرار </w:t>
      </w:r>
      <w:hyperlink r:id="rId8" w:history="1">
        <w:r w:rsidRPr="0025180E">
          <w:rPr>
            <w:rStyle w:val="Hyperlink"/>
          </w:rPr>
          <w:t>ITU</w:t>
        </w:r>
        <w:r w:rsidRPr="0025180E">
          <w:rPr>
            <w:rStyle w:val="Hyperlink"/>
          </w:rPr>
          <w:noBreakHyphen/>
          <w:t>R 1</w:t>
        </w:r>
        <w:r w:rsidRPr="0025180E">
          <w:rPr>
            <w:rStyle w:val="Hyperlink"/>
          </w:rPr>
          <w:noBreakHyphen/>
        </w:r>
        <w:r w:rsidR="00BA52FE" w:rsidRPr="0025180E">
          <w:rPr>
            <w:rStyle w:val="Hyperlink"/>
          </w:rPr>
          <w:t>9</w:t>
        </w:r>
      </w:hyperlink>
      <w:r w:rsidRPr="007D65D2">
        <w:rPr>
          <w:rtl/>
          <w:lang w:bidi="ar-EG"/>
        </w:rPr>
        <w:t>) وقررت كذلك تطبيق إجراء الاعتماد والموافقة في نفس الوقت عن طريق المراسلة </w:t>
      </w:r>
      <w:r w:rsidRPr="007D65D2">
        <w:t>(PSAA)</w:t>
      </w:r>
      <w:r w:rsidRPr="007D65D2">
        <w:rPr>
          <w:rtl/>
          <w:lang w:bidi="ar-EG"/>
        </w:rPr>
        <w:t xml:space="preserve"> (الفقرة </w:t>
      </w:r>
      <w:r w:rsidRPr="007D65D2">
        <w:t>4.2.6.A2</w:t>
      </w:r>
      <w:r w:rsidRPr="007D65D2">
        <w:rPr>
          <w:rtl/>
          <w:lang w:bidi="ar-EG"/>
        </w:rPr>
        <w:t xml:space="preserve"> من القرار </w:t>
      </w:r>
      <w:r w:rsidRPr="007D65D2">
        <w:t>ITU</w:t>
      </w:r>
      <w:r w:rsidRPr="007D65D2">
        <w:noBreakHyphen/>
        <w:t>R 1</w:t>
      </w:r>
      <w:r w:rsidR="00DC2EB2" w:rsidRPr="007D65D2">
        <w:t>-9</w:t>
      </w:r>
      <w:r w:rsidRPr="007D65D2">
        <w:rPr>
          <w:rtl/>
          <w:lang w:bidi="ar-EG"/>
        </w:rPr>
        <w:t>). ويرد في الملحق</w:t>
      </w:r>
      <w:r w:rsidR="00746D66">
        <w:rPr>
          <w:rFonts w:hint="cs"/>
          <w:rtl/>
          <w:lang w:bidi="ar-EG"/>
        </w:rPr>
        <w:t> </w:t>
      </w:r>
      <w:r w:rsidRPr="007D65D2">
        <w:t>1</w:t>
      </w:r>
      <w:r w:rsidRPr="007D65D2">
        <w:rPr>
          <w:rtl/>
          <w:lang w:bidi="ar-EG"/>
        </w:rPr>
        <w:t xml:space="preserve"> عناوين وملخصات مشاريع</w:t>
      </w:r>
      <w:r w:rsidR="00AC6086" w:rsidRPr="007D65D2">
        <w:rPr>
          <w:rFonts w:hint="cs"/>
          <w:rtl/>
          <w:lang w:bidi="ar-EG"/>
        </w:rPr>
        <w:t xml:space="preserve"> </w:t>
      </w:r>
      <w:r w:rsidRPr="007D65D2">
        <w:rPr>
          <w:rtl/>
          <w:lang w:bidi="ar-EG"/>
        </w:rPr>
        <w:t>التوصيات. وي</w:t>
      </w:r>
      <w:r w:rsidR="00746D66">
        <w:rPr>
          <w:rFonts w:hint="cs"/>
          <w:rtl/>
          <w:lang w:bidi="ar-EG"/>
        </w:rPr>
        <w:t>ُ</w:t>
      </w:r>
      <w:r w:rsidRPr="007D65D2">
        <w:rPr>
          <w:rtl/>
          <w:lang w:bidi="ar-EG"/>
        </w:rPr>
        <w:t xml:space="preserve">رجى من أي دولة عضو </w:t>
      </w:r>
      <w:r w:rsidR="00BA52FE" w:rsidRPr="007D65D2">
        <w:rPr>
          <w:rtl/>
          <w:lang w:bidi="ar-EG"/>
        </w:rPr>
        <w:t>تبدي اعتراضاً</w:t>
      </w:r>
      <w:r w:rsidRPr="007D65D2">
        <w:rPr>
          <w:rtl/>
          <w:lang w:bidi="ar-EG"/>
        </w:rPr>
        <w:t xml:space="preserve"> على اعتماد مشروع توصية أن</w:t>
      </w:r>
      <w:r w:rsidR="0007768D" w:rsidRPr="007D65D2">
        <w:rPr>
          <w:rtl/>
          <w:lang w:bidi="ar-EG"/>
        </w:rPr>
        <w:t> </w:t>
      </w:r>
      <w:r w:rsidRPr="007D65D2">
        <w:rPr>
          <w:rtl/>
          <w:lang w:bidi="ar-EG"/>
        </w:rPr>
        <w:t>تخبر المدير ورئيس لجنة الدراسات بأسباب اعتراضها.</w:t>
      </w:r>
    </w:p>
    <w:p w14:paraId="3AA75953" w14:textId="1B67AA74" w:rsidR="00E071D0" w:rsidRPr="007D65D2" w:rsidRDefault="00E071D0" w:rsidP="00E071D0">
      <w:pPr>
        <w:rPr>
          <w:spacing w:val="2"/>
          <w:rtl/>
          <w:lang w:bidi="ar-EG"/>
        </w:rPr>
      </w:pPr>
      <w:r w:rsidRPr="007D65D2">
        <w:rPr>
          <w:spacing w:val="2"/>
          <w:rtl/>
          <w:lang w:bidi="ar-EG"/>
        </w:rPr>
        <w:t xml:space="preserve">وتمتد فترة النظر لمدة شهرين تنتهي في </w:t>
      </w:r>
      <w:r w:rsidR="00AC6086" w:rsidRPr="007D65D2">
        <w:rPr>
          <w:rFonts w:hint="cs"/>
          <w:spacing w:val="2"/>
          <w:u w:val="single"/>
          <w:rtl/>
          <w:lang w:bidi="ar-EG"/>
        </w:rPr>
        <w:t>18</w:t>
      </w:r>
      <w:r w:rsidRPr="007D65D2">
        <w:rPr>
          <w:spacing w:val="2"/>
          <w:u w:val="single"/>
          <w:rtl/>
          <w:lang w:bidi="ar-EG"/>
        </w:rPr>
        <w:t xml:space="preserve"> </w:t>
      </w:r>
      <w:r w:rsidR="00AC6086" w:rsidRPr="007D65D2">
        <w:rPr>
          <w:rFonts w:hint="cs"/>
          <w:spacing w:val="2"/>
          <w:u w:val="single"/>
          <w:rtl/>
          <w:lang w:bidi="ar-EG"/>
        </w:rPr>
        <w:t>فبراير</w:t>
      </w:r>
      <w:r w:rsidRPr="007D65D2">
        <w:rPr>
          <w:spacing w:val="2"/>
          <w:u w:val="single"/>
          <w:rtl/>
          <w:lang w:bidi="ar-EG"/>
        </w:rPr>
        <w:t xml:space="preserve"> </w:t>
      </w:r>
      <w:r w:rsidR="00AC6086" w:rsidRPr="007D65D2">
        <w:rPr>
          <w:rFonts w:hint="cs"/>
          <w:spacing w:val="2"/>
          <w:u w:val="single"/>
          <w:rtl/>
        </w:rPr>
        <w:t>2026</w:t>
      </w:r>
      <w:r w:rsidRPr="007D65D2">
        <w:rPr>
          <w:spacing w:val="2"/>
          <w:rtl/>
          <w:lang w:bidi="ar-EG"/>
        </w:rPr>
        <w:t>. وإذا لم ترد أي اعتراضات من الدول الأعضاء خلال هذه الفترة فإن</w:t>
      </w:r>
      <w:r w:rsidR="00875015">
        <w:rPr>
          <w:spacing w:val="2"/>
          <w:rtl/>
          <w:lang w:bidi="ar-EG"/>
        </w:rPr>
        <w:t xml:space="preserve"> </w:t>
      </w:r>
      <w:r w:rsidRPr="007D65D2">
        <w:rPr>
          <w:spacing w:val="2"/>
          <w:rtl/>
          <w:lang w:bidi="ar-EG"/>
        </w:rPr>
        <w:t>مشاريع التوصيات</w:t>
      </w:r>
      <w:r w:rsidR="00960ED3" w:rsidRPr="007D65D2">
        <w:rPr>
          <w:rFonts w:hint="cs"/>
          <w:spacing w:val="2"/>
          <w:rtl/>
          <w:lang w:bidi="ar-EG"/>
        </w:rPr>
        <w:t xml:space="preserve"> </w:t>
      </w:r>
      <w:r w:rsidRPr="007D65D2">
        <w:rPr>
          <w:spacing w:val="2"/>
          <w:rtl/>
          <w:lang w:bidi="ar-EG"/>
        </w:rPr>
        <w:t>تعتبر</w:t>
      </w:r>
      <w:r w:rsidR="00960ED3" w:rsidRPr="007D65D2">
        <w:rPr>
          <w:rFonts w:hint="cs"/>
          <w:spacing w:val="2"/>
          <w:rtl/>
          <w:lang w:bidi="ar-EG"/>
        </w:rPr>
        <w:t xml:space="preserve"> </w:t>
      </w:r>
      <w:r w:rsidRPr="007D65D2">
        <w:rPr>
          <w:spacing w:val="2"/>
          <w:rtl/>
          <w:lang w:bidi="ar-EG"/>
        </w:rPr>
        <w:t>قد اعتمدتها لجنة الدراسات </w:t>
      </w:r>
      <w:r w:rsidR="00960ED3" w:rsidRPr="007D65D2">
        <w:rPr>
          <w:rFonts w:hint="cs"/>
          <w:spacing w:val="2"/>
          <w:rtl/>
        </w:rPr>
        <w:t>4</w:t>
      </w:r>
      <w:r w:rsidRPr="007D65D2">
        <w:rPr>
          <w:spacing w:val="2"/>
          <w:rtl/>
          <w:lang w:bidi="ar-EG"/>
        </w:rPr>
        <w:t>. وعلاوةً على ذلك، ولما</w:t>
      </w:r>
      <w:r w:rsidR="00465815" w:rsidRPr="007D65D2">
        <w:rPr>
          <w:spacing w:val="2"/>
          <w:lang w:bidi="ar-EG"/>
        </w:rPr>
        <w:t> </w:t>
      </w:r>
      <w:r w:rsidRPr="007D65D2">
        <w:rPr>
          <w:spacing w:val="2"/>
          <w:rtl/>
          <w:lang w:bidi="ar-EG"/>
        </w:rPr>
        <w:t>كان قد تم اتباع إجراء الاعتماد والموافقة في نفس الوقت عن طريق المراسلة، فإن مشاريع التوصيات ستعتبر أيضاً بحكم الموافَق عليها.</w:t>
      </w:r>
    </w:p>
    <w:p w14:paraId="411A9780" w14:textId="63100515" w:rsidR="00E071D0" w:rsidRPr="007D65D2" w:rsidRDefault="00E071D0" w:rsidP="00E071D0">
      <w:pPr>
        <w:rPr>
          <w:rtl/>
          <w:lang w:bidi="ar-EG"/>
        </w:rPr>
      </w:pPr>
      <w:r w:rsidRPr="007D65D2">
        <w:rPr>
          <w:rtl/>
          <w:lang w:bidi="ar-EG"/>
        </w:rPr>
        <w:t>وإضافةً إلى ذلك، اقترحت لجنة الدراسات</w:t>
      </w:r>
      <w:r w:rsidR="00F268A4" w:rsidRPr="007D65D2">
        <w:rPr>
          <w:rFonts w:hint="cs"/>
          <w:rtl/>
          <w:lang w:bidi="ar-EG"/>
        </w:rPr>
        <w:t xml:space="preserve"> 1</w:t>
      </w:r>
      <w:r w:rsidRPr="007D65D2">
        <w:rPr>
          <w:rtl/>
          <w:lang w:bidi="ar-EG"/>
        </w:rPr>
        <w:t xml:space="preserve"> إلغاء التوصية المبينة في الملحق </w:t>
      </w:r>
      <w:r w:rsidRPr="007D65D2">
        <w:t>2</w:t>
      </w:r>
      <w:r w:rsidRPr="007D65D2">
        <w:rPr>
          <w:rtl/>
          <w:lang w:bidi="ar-EG"/>
        </w:rPr>
        <w:t>. وي</w:t>
      </w:r>
      <w:r w:rsidR="00746D66">
        <w:rPr>
          <w:rFonts w:hint="cs"/>
          <w:rtl/>
          <w:lang w:bidi="ar-EG"/>
        </w:rPr>
        <w:t>ُ</w:t>
      </w:r>
      <w:r w:rsidRPr="007D65D2">
        <w:rPr>
          <w:rtl/>
          <w:lang w:bidi="ar-EG"/>
        </w:rPr>
        <w:t>رجى من أي دولة عضو تعترض على إلغاء توصية أن تخبر المدير ورئيس لجنة الدراسات بأسباب اعتراضها.</w:t>
      </w:r>
    </w:p>
    <w:p w14:paraId="3432D4E1" w14:textId="24F1A7EF" w:rsidR="00E071D0" w:rsidRPr="007D65D2" w:rsidRDefault="00E071D0" w:rsidP="00E071D0">
      <w:pPr>
        <w:rPr>
          <w:rtl/>
          <w:lang w:bidi="ar-EG"/>
        </w:rPr>
      </w:pPr>
      <w:r w:rsidRPr="007D65D2">
        <w:rPr>
          <w:rtl/>
          <w:lang w:bidi="ar-EG"/>
        </w:rPr>
        <w:t xml:space="preserve">وتمتد فترة النظر لمدة شهرين تنتهي في </w:t>
      </w:r>
      <w:r w:rsidR="00F268A4" w:rsidRPr="007D65D2">
        <w:rPr>
          <w:rFonts w:hint="cs"/>
          <w:spacing w:val="2"/>
          <w:u w:val="single"/>
          <w:rtl/>
          <w:lang w:bidi="ar-EG"/>
        </w:rPr>
        <w:t>18</w:t>
      </w:r>
      <w:r w:rsidR="00F268A4" w:rsidRPr="007D65D2">
        <w:rPr>
          <w:spacing w:val="2"/>
          <w:u w:val="single"/>
          <w:rtl/>
          <w:lang w:bidi="ar-EG"/>
        </w:rPr>
        <w:t xml:space="preserve"> </w:t>
      </w:r>
      <w:r w:rsidR="00F268A4" w:rsidRPr="007D65D2">
        <w:rPr>
          <w:rFonts w:hint="cs"/>
          <w:spacing w:val="2"/>
          <w:u w:val="single"/>
          <w:rtl/>
          <w:lang w:bidi="ar-EG"/>
        </w:rPr>
        <w:t>فبراير</w:t>
      </w:r>
      <w:r w:rsidR="00F268A4" w:rsidRPr="007D65D2">
        <w:rPr>
          <w:spacing w:val="2"/>
          <w:u w:val="single"/>
          <w:rtl/>
          <w:lang w:bidi="ar-EG"/>
        </w:rPr>
        <w:t xml:space="preserve"> </w:t>
      </w:r>
      <w:r w:rsidR="00F268A4" w:rsidRPr="007D65D2">
        <w:rPr>
          <w:rFonts w:hint="cs"/>
          <w:spacing w:val="2"/>
          <w:u w:val="single"/>
          <w:rtl/>
        </w:rPr>
        <w:t>2026</w:t>
      </w:r>
      <w:r w:rsidRPr="007D65D2">
        <w:rPr>
          <w:rtl/>
          <w:lang w:bidi="ar-EG"/>
        </w:rPr>
        <w:t>. وإذا لم ترد أي اعتراضات من الدول الأعضاء خلال هذه الفترة على</w:t>
      </w:r>
      <w:r w:rsidR="0025180E">
        <w:rPr>
          <w:rFonts w:hint="eastAsia"/>
          <w:rtl/>
        </w:rPr>
        <w:t> </w:t>
      </w:r>
      <w:r w:rsidRPr="007D65D2">
        <w:rPr>
          <w:rtl/>
          <w:lang w:bidi="ar-EG"/>
        </w:rPr>
        <w:t>الإلغاء</w:t>
      </w:r>
      <w:r w:rsidR="00F268A4" w:rsidRPr="007D65D2">
        <w:rPr>
          <w:rFonts w:hint="cs"/>
          <w:rtl/>
          <w:lang w:bidi="ar-EG"/>
        </w:rPr>
        <w:t xml:space="preserve"> </w:t>
      </w:r>
      <w:r w:rsidRPr="007D65D2">
        <w:rPr>
          <w:rtl/>
          <w:lang w:bidi="ar-EG"/>
        </w:rPr>
        <w:t>المقترح</w:t>
      </w:r>
      <w:r w:rsidR="00F268A4" w:rsidRPr="007D65D2">
        <w:rPr>
          <w:rFonts w:hint="cs"/>
          <w:rtl/>
          <w:lang w:bidi="ar-EG"/>
        </w:rPr>
        <w:t xml:space="preserve">، </w:t>
      </w:r>
      <w:r w:rsidRPr="007D65D2">
        <w:rPr>
          <w:rtl/>
          <w:lang w:bidi="ar-EG"/>
        </w:rPr>
        <w:t>فإن التوصية ستعتبر في حكم الملغ</w:t>
      </w:r>
      <w:r w:rsidR="00FE1CF4" w:rsidRPr="007D65D2">
        <w:rPr>
          <w:rtl/>
        </w:rPr>
        <w:t>ا</w:t>
      </w:r>
      <w:r w:rsidRPr="007D65D2">
        <w:rPr>
          <w:rtl/>
          <w:lang w:bidi="ar-EG"/>
        </w:rPr>
        <w:t>ة.</w:t>
      </w:r>
    </w:p>
    <w:p w14:paraId="1D1D8B3D" w14:textId="37F2DF67" w:rsidR="00E071D0" w:rsidRPr="007D65D2" w:rsidRDefault="00E071D0" w:rsidP="00E071D0">
      <w:pPr>
        <w:rPr>
          <w:rtl/>
        </w:rPr>
      </w:pPr>
      <w:r w:rsidRPr="007D65D2">
        <w:rPr>
          <w:rtl/>
          <w:lang w:bidi="ar-EG"/>
        </w:rPr>
        <w:t>وبعد المهلة المحددة أعلاه، ست</w:t>
      </w:r>
      <w:r w:rsidR="00FE1CF4" w:rsidRPr="007D65D2">
        <w:rPr>
          <w:rtl/>
          <w:lang w:bidi="ar-EG"/>
        </w:rPr>
        <w:t>ُ</w:t>
      </w:r>
      <w:r w:rsidRPr="007D65D2">
        <w:rPr>
          <w:rtl/>
          <w:lang w:bidi="ar-EG"/>
        </w:rPr>
        <w:t>علن نتائج الإجراءات المذكورة أعلاه في رسالة إدارية معممة وست</w:t>
      </w:r>
      <w:r w:rsidR="00FE1CF4" w:rsidRPr="007D65D2">
        <w:rPr>
          <w:rtl/>
          <w:lang w:bidi="ar-EG"/>
        </w:rPr>
        <w:t>ُ</w:t>
      </w:r>
      <w:r w:rsidRPr="007D65D2">
        <w:rPr>
          <w:rtl/>
          <w:lang w:bidi="ar-EG"/>
        </w:rPr>
        <w:t>نشر</w:t>
      </w:r>
      <w:r w:rsidR="00FE1CF4" w:rsidRPr="007D65D2">
        <w:rPr>
          <w:rtl/>
          <w:lang w:bidi="ar-EG"/>
        </w:rPr>
        <w:t xml:space="preserve"> </w:t>
      </w:r>
      <w:r w:rsidRPr="007D65D2">
        <w:rPr>
          <w:rtl/>
          <w:lang w:bidi="ar-EG"/>
        </w:rPr>
        <w:t xml:space="preserve">التوصيات الموافَق عليها في أقرب وقت ممكن (انظر </w:t>
      </w:r>
      <w:hyperlink r:id="rId9" w:history="1">
        <w:r w:rsidR="00DF31CC" w:rsidRPr="007D65D2">
          <w:rPr>
            <w:rStyle w:val="Hyperlink"/>
            <w:lang w:bidi="ar-EG"/>
          </w:rPr>
          <w:t>http://www.itu.int/pub/R-REC</w:t>
        </w:r>
      </w:hyperlink>
      <w:r w:rsidRPr="007D65D2">
        <w:rPr>
          <w:rtl/>
          <w:lang w:bidi="ar-EG"/>
        </w:rPr>
        <w:t>).</w:t>
      </w:r>
    </w:p>
    <w:p w14:paraId="1173724A" w14:textId="3F24CE86" w:rsidR="00E071D0" w:rsidRPr="007D65D2" w:rsidRDefault="00E071D0" w:rsidP="004A51E2">
      <w:pPr>
        <w:keepNext/>
        <w:keepLines/>
        <w:rPr>
          <w:spacing w:val="-4"/>
          <w:rtl/>
          <w:lang w:bidi="ar-EG"/>
        </w:rPr>
      </w:pPr>
      <w:r w:rsidRPr="007D65D2">
        <w:rPr>
          <w:spacing w:val="-4"/>
          <w:rtl/>
          <w:lang w:bidi="ar-EG"/>
        </w:rPr>
        <w:lastRenderedPageBreak/>
        <w:t>وي</w:t>
      </w:r>
      <w:r w:rsidR="00746D66">
        <w:rPr>
          <w:rFonts w:hint="cs"/>
          <w:spacing w:val="-4"/>
          <w:rtl/>
          <w:lang w:bidi="ar-EG"/>
        </w:rPr>
        <w:t>ُ</w:t>
      </w:r>
      <w:r w:rsidRPr="007D65D2">
        <w:rPr>
          <w:spacing w:val="-4"/>
          <w:rtl/>
          <w:lang w:bidi="ar-EG"/>
        </w:rPr>
        <w:t>رجى من أي منظمة عضو في الاتحاد تعلم بوجود براءة اختراع لديها أو لدى غيرها تغطي كلياً أو جزئياً عناصر</w:t>
      </w:r>
      <w:r w:rsidR="00FE1CF4" w:rsidRPr="007D65D2">
        <w:rPr>
          <w:spacing w:val="-4"/>
          <w:rtl/>
          <w:lang w:bidi="ar-EG"/>
        </w:rPr>
        <w:t xml:space="preserve"> من </w:t>
      </w:r>
      <w:r w:rsidRPr="007D65D2">
        <w:rPr>
          <w:spacing w:val="-4"/>
          <w:rtl/>
          <w:lang w:bidi="ar-EG"/>
        </w:rPr>
        <w:t>مشاريع التوصيات المذكورة في هذه الرسالة أن تبلغ الأمانة بهذه المعلومات بأسرع ما يمكن. ويمكن الاطلاع على السياسة المشتركة للبراءات </w:t>
      </w:r>
      <w:r w:rsidRPr="007D65D2">
        <w:rPr>
          <w:spacing w:val="-4"/>
        </w:rPr>
        <w:t>ITU</w:t>
      </w:r>
      <w:r w:rsidRPr="007D65D2">
        <w:rPr>
          <w:spacing w:val="-4"/>
        </w:rPr>
        <w:noBreakHyphen/>
        <w:t>T/ITU</w:t>
      </w:r>
      <w:r w:rsidRPr="007D65D2">
        <w:rPr>
          <w:spacing w:val="-4"/>
        </w:rPr>
        <w:noBreakHyphen/>
        <w:t>R/ISO/IEC</w:t>
      </w:r>
      <w:r w:rsidRPr="007D65D2">
        <w:rPr>
          <w:spacing w:val="-4"/>
          <w:rtl/>
          <w:lang w:bidi="ar-EG"/>
        </w:rPr>
        <w:t xml:space="preserve"> في الموقع الإلكتروني: </w:t>
      </w:r>
      <w:hyperlink r:id="rId10" w:history="1">
        <w:r w:rsidR="00E96244" w:rsidRPr="00272F59">
          <w:rPr>
            <w:rStyle w:val="Hyperlink"/>
            <w:spacing w:val="-4"/>
            <w:lang w:bidi="ar-EG"/>
          </w:rPr>
          <w:t>http://www.itu.int/ar/ITU-T/ipr/Pages/policy.aspx</w:t>
        </w:r>
      </w:hyperlink>
      <w:r w:rsidRPr="007D65D2">
        <w:rPr>
          <w:spacing w:val="-4"/>
          <w:rtl/>
          <w:lang w:bidi="ar-EG"/>
        </w:rPr>
        <w:t>.</w:t>
      </w:r>
    </w:p>
    <w:p w14:paraId="4D2DDF41" w14:textId="77777777" w:rsidR="00E071D0" w:rsidRPr="007D65D2" w:rsidRDefault="00E071D0" w:rsidP="00A06C96">
      <w:pPr>
        <w:spacing w:before="1200"/>
        <w:jc w:val="left"/>
        <w:rPr>
          <w:rtl/>
        </w:rPr>
      </w:pPr>
      <w:r w:rsidRPr="007D65D2">
        <w:rPr>
          <w:rtl/>
        </w:rPr>
        <w:t>ماريو مانيفيتش</w:t>
      </w:r>
      <w:r w:rsidRPr="007D65D2">
        <w:rPr>
          <w:rtl/>
        </w:rPr>
        <w:br/>
        <w:t>المدير</w:t>
      </w:r>
    </w:p>
    <w:p w14:paraId="7F1844B3" w14:textId="7C67CEE5" w:rsidR="00E071D0" w:rsidRPr="007D65D2" w:rsidRDefault="00E071D0" w:rsidP="00A06C96">
      <w:pPr>
        <w:spacing w:before="2400"/>
        <w:jc w:val="left"/>
        <w:rPr>
          <w:rtl/>
          <w:lang w:bidi="ar-EG"/>
        </w:rPr>
      </w:pPr>
      <w:r w:rsidRPr="007D65D2">
        <w:rPr>
          <w:b/>
          <w:bCs/>
          <w:rtl/>
          <w:lang w:bidi="ar-EG"/>
        </w:rPr>
        <w:t xml:space="preserve">الملحق </w:t>
      </w:r>
      <w:r w:rsidR="00A50ACE" w:rsidRPr="007D65D2">
        <w:rPr>
          <w:rFonts w:hint="cs"/>
          <w:b/>
          <w:bCs/>
          <w:rtl/>
          <w:lang w:bidi="ar-EG"/>
        </w:rPr>
        <w:t>1</w:t>
      </w:r>
      <w:r w:rsidRPr="007D65D2">
        <w:rPr>
          <w:b/>
          <w:bCs/>
          <w:rtl/>
          <w:lang w:bidi="ar-EG"/>
        </w:rPr>
        <w:t>:</w:t>
      </w:r>
      <w:r w:rsidRPr="007D65D2">
        <w:rPr>
          <w:rtl/>
          <w:lang w:bidi="ar-EG"/>
        </w:rPr>
        <w:tab/>
        <w:t xml:space="preserve">عناوين </w:t>
      </w:r>
      <w:r w:rsidR="00A50ACE" w:rsidRPr="007D65D2">
        <w:rPr>
          <w:rFonts w:hint="cs"/>
          <w:rtl/>
          <w:lang w:bidi="ar-EG"/>
        </w:rPr>
        <w:t>و</w:t>
      </w:r>
      <w:r w:rsidRPr="007D65D2">
        <w:rPr>
          <w:rtl/>
          <w:lang w:bidi="ar-EG"/>
        </w:rPr>
        <w:t xml:space="preserve">ملخصات </w:t>
      </w:r>
      <w:r w:rsidR="00FE1CF4" w:rsidRPr="007D65D2">
        <w:rPr>
          <w:rtl/>
          <w:lang w:bidi="ar-EG"/>
        </w:rPr>
        <w:t xml:space="preserve">مشاريع </w:t>
      </w:r>
      <w:r w:rsidRPr="007D65D2">
        <w:rPr>
          <w:rtl/>
          <w:lang w:bidi="ar-EG"/>
        </w:rPr>
        <w:t>التوصيات</w:t>
      </w:r>
    </w:p>
    <w:p w14:paraId="61109264" w14:textId="4E0010A9" w:rsidR="00E071D0" w:rsidRPr="007D65D2" w:rsidRDefault="00E071D0" w:rsidP="00BA6207">
      <w:pPr>
        <w:rPr>
          <w:rtl/>
          <w:lang w:bidi="ar-EG"/>
        </w:rPr>
      </w:pPr>
      <w:r w:rsidRPr="007D65D2">
        <w:rPr>
          <w:b/>
          <w:bCs/>
          <w:rtl/>
          <w:lang w:bidi="ar-EG"/>
        </w:rPr>
        <w:t xml:space="preserve">الملحق </w:t>
      </w:r>
      <w:r w:rsidRPr="007D65D2">
        <w:rPr>
          <w:b/>
          <w:bCs/>
        </w:rPr>
        <w:t>2</w:t>
      </w:r>
      <w:r w:rsidRPr="007D65D2">
        <w:rPr>
          <w:b/>
          <w:bCs/>
          <w:rtl/>
          <w:lang w:bidi="ar-EG"/>
        </w:rPr>
        <w:t>:</w:t>
      </w:r>
      <w:r w:rsidRPr="007D65D2">
        <w:rPr>
          <w:rtl/>
          <w:lang w:bidi="ar-EG"/>
        </w:rPr>
        <w:tab/>
        <w:t>التوصية المقترح إلغاؤها</w:t>
      </w:r>
    </w:p>
    <w:p w14:paraId="53CD00D6" w14:textId="48BFE15F" w:rsidR="00E071D0" w:rsidRPr="007D65D2" w:rsidRDefault="00E071D0" w:rsidP="00E071D0">
      <w:pPr>
        <w:spacing w:before="600"/>
        <w:jc w:val="left"/>
        <w:rPr>
          <w:lang w:val="en-GB"/>
        </w:rPr>
      </w:pPr>
      <w:r w:rsidRPr="007D65D2">
        <w:rPr>
          <w:b/>
          <w:bCs/>
          <w:rtl/>
          <w:lang w:bidi="ar-EG"/>
        </w:rPr>
        <w:t>الوثائق:</w:t>
      </w:r>
      <w:r w:rsidRPr="007D65D2">
        <w:rPr>
          <w:rtl/>
          <w:lang w:bidi="ar-EG"/>
        </w:rPr>
        <w:tab/>
        <w:t xml:space="preserve">الوثائق </w:t>
      </w:r>
      <w:r w:rsidR="00A50ACE" w:rsidRPr="007D65D2">
        <w:t>4/50</w:t>
      </w:r>
      <w:r w:rsidR="00A50ACE" w:rsidRPr="007D65D2">
        <w:rPr>
          <w:rFonts w:hint="cs"/>
          <w:rtl/>
        </w:rPr>
        <w:t xml:space="preserve"> و</w:t>
      </w:r>
      <w:r w:rsidR="00A50ACE" w:rsidRPr="007D65D2">
        <w:t>4/51</w:t>
      </w:r>
      <w:r w:rsidR="00A50ACE" w:rsidRPr="007D65D2">
        <w:rPr>
          <w:rFonts w:hint="cs"/>
          <w:rtl/>
        </w:rPr>
        <w:t xml:space="preserve"> و</w:t>
      </w:r>
      <w:r w:rsidR="00A50ACE" w:rsidRPr="007D65D2">
        <w:t>4/52</w:t>
      </w:r>
      <w:r w:rsidR="00A50ACE" w:rsidRPr="007D65D2">
        <w:rPr>
          <w:rFonts w:hint="cs"/>
          <w:rtl/>
        </w:rPr>
        <w:t xml:space="preserve"> و</w:t>
      </w:r>
      <w:r w:rsidR="00A50ACE" w:rsidRPr="007D65D2">
        <w:t>4/55</w:t>
      </w:r>
      <w:r w:rsidR="00A50ACE" w:rsidRPr="007D65D2">
        <w:rPr>
          <w:rFonts w:hint="cs"/>
          <w:rtl/>
        </w:rPr>
        <w:t xml:space="preserve"> و</w:t>
      </w:r>
      <w:r w:rsidR="00A50ACE" w:rsidRPr="007D65D2">
        <w:t>4/48</w:t>
      </w:r>
    </w:p>
    <w:p w14:paraId="7AA5EAE7" w14:textId="5978286A" w:rsidR="00E071D0" w:rsidRPr="007D65D2" w:rsidRDefault="00E071D0" w:rsidP="00E071D0">
      <w:r w:rsidRPr="007D65D2">
        <w:rPr>
          <w:rtl/>
        </w:rPr>
        <w:t>وت</w:t>
      </w:r>
      <w:r w:rsidR="00AC60DA">
        <w:rPr>
          <w:rFonts w:hint="cs"/>
          <w:rtl/>
        </w:rPr>
        <w:t>ُ</w:t>
      </w:r>
      <w:r w:rsidRPr="007D65D2">
        <w:rPr>
          <w:rtl/>
        </w:rPr>
        <w:t>تاح هذه</w:t>
      </w:r>
      <w:r w:rsidR="00FE1CF4" w:rsidRPr="007D65D2">
        <w:rPr>
          <w:rtl/>
        </w:rPr>
        <w:t xml:space="preserve"> </w:t>
      </w:r>
      <w:r w:rsidRPr="007D65D2">
        <w:rPr>
          <w:rtl/>
        </w:rPr>
        <w:t xml:space="preserve">الوثائق في نسق إلكتروني في: </w:t>
      </w:r>
      <w:hyperlink r:id="rId11" w:history="1">
        <w:r w:rsidR="00A50ACE" w:rsidRPr="007D65D2">
          <w:rPr>
            <w:rStyle w:val="Hyperlink"/>
            <w:szCs w:val="24"/>
          </w:rPr>
          <w:t>https://www.itu.int/md/R23-</w:t>
        </w:r>
        <w:r w:rsidR="00A50ACE" w:rsidRPr="007D65D2">
          <w:rPr>
            <w:rStyle w:val="Hyperlink"/>
            <w:szCs w:val="24"/>
          </w:rPr>
          <w:t>S</w:t>
        </w:r>
        <w:r w:rsidR="00A50ACE" w:rsidRPr="007D65D2">
          <w:rPr>
            <w:rStyle w:val="Hyperlink"/>
            <w:szCs w:val="24"/>
          </w:rPr>
          <w:t>G04-C/en</w:t>
        </w:r>
      </w:hyperlink>
    </w:p>
    <w:p w14:paraId="2D9FAE43" w14:textId="77777777" w:rsidR="00FC09E8" w:rsidRPr="007D65D2" w:rsidRDefault="00FC09E8" w:rsidP="00BA6207">
      <w:pPr>
        <w:rPr>
          <w:rtl/>
        </w:rPr>
      </w:pPr>
      <w:r w:rsidRPr="007D65D2">
        <w:rPr>
          <w:rtl/>
        </w:rPr>
        <w:br w:type="page"/>
      </w:r>
    </w:p>
    <w:p w14:paraId="7FB54283" w14:textId="6C1B395B" w:rsidR="00E071D0" w:rsidRPr="007D65D2" w:rsidRDefault="00E071D0" w:rsidP="00B279C7">
      <w:pPr>
        <w:pStyle w:val="AnnexNoTitle"/>
        <w:rPr>
          <w:rtl/>
        </w:rPr>
      </w:pPr>
      <w:r w:rsidRPr="007D65D2">
        <w:rPr>
          <w:rtl/>
        </w:rPr>
        <w:lastRenderedPageBreak/>
        <w:t xml:space="preserve">الملحـق </w:t>
      </w:r>
      <w:r w:rsidR="007D65D2">
        <w:rPr>
          <w:lang w:val="en-GB"/>
        </w:rPr>
        <w:t>1</w:t>
      </w:r>
      <w:r w:rsidR="00741F38" w:rsidRPr="007D65D2">
        <w:rPr>
          <w:rtl/>
          <w:lang w:val="en-GB"/>
        </w:rPr>
        <w:br/>
      </w:r>
      <w:r w:rsidR="00741F38" w:rsidRPr="007D65D2">
        <w:rPr>
          <w:rtl/>
          <w:lang w:val="en-GB"/>
        </w:rPr>
        <w:br/>
      </w:r>
      <w:r w:rsidR="007D65D2" w:rsidRPr="007D65D2">
        <w:rPr>
          <w:rtl/>
        </w:rPr>
        <w:t xml:space="preserve">عناوين </w:t>
      </w:r>
      <w:r w:rsidR="007D65D2">
        <w:rPr>
          <w:rFonts w:hint="cs"/>
          <w:rtl/>
        </w:rPr>
        <w:t>وملخصات</w:t>
      </w:r>
      <w:r w:rsidRPr="007D65D2">
        <w:rPr>
          <w:rtl/>
        </w:rPr>
        <w:t xml:space="preserve"> </w:t>
      </w:r>
      <w:r w:rsidR="007D65D2" w:rsidRPr="007D65D2">
        <w:rPr>
          <w:rtl/>
        </w:rPr>
        <w:t>مشاريع توصيات قطاع الاتصالات الراديوية</w:t>
      </w:r>
    </w:p>
    <w:p w14:paraId="67C58F80" w14:textId="176ABF9C" w:rsidR="00E071D0" w:rsidRPr="007D65D2" w:rsidRDefault="00E071D0" w:rsidP="00741F38">
      <w:pPr>
        <w:keepNext/>
        <w:tabs>
          <w:tab w:val="right" w:pos="9639"/>
        </w:tabs>
        <w:spacing w:before="480"/>
        <w:rPr>
          <w:rtl/>
          <w:lang w:bidi="ar-EG"/>
        </w:rPr>
      </w:pPr>
      <w:r w:rsidRPr="007D65D2">
        <w:rPr>
          <w:u w:val="single"/>
          <w:rtl/>
        </w:rPr>
        <w:t xml:space="preserve">مشروع مراجعة التوصية </w:t>
      </w:r>
      <w:r w:rsidRPr="007D65D2">
        <w:rPr>
          <w:u w:val="single"/>
        </w:rPr>
        <w:t>ITU</w:t>
      </w:r>
      <w:r w:rsidRPr="007D65D2">
        <w:rPr>
          <w:u w:val="single"/>
        </w:rPr>
        <w:noBreakHyphen/>
      </w:r>
      <w:r w:rsidR="00741F38" w:rsidRPr="007D65D2">
        <w:rPr>
          <w:u w:val="single"/>
        </w:rPr>
        <w:t>R </w:t>
      </w:r>
      <w:r w:rsidR="007D65D2">
        <w:rPr>
          <w:u w:val="single"/>
        </w:rPr>
        <w:t>M.1787-5</w:t>
      </w:r>
      <w:r w:rsidRPr="007D65D2">
        <w:rPr>
          <w:rtl/>
          <w:lang w:bidi="ar-EG"/>
        </w:rPr>
        <w:tab/>
        <w:t xml:space="preserve">الوثيقة </w:t>
      </w:r>
      <w:r w:rsidR="007D65D2">
        <w:rPr>
          <w:lang w:bidi="ar-EG"/>
        </w:rPr>
        <w:t>4/50</w:t>
      </w:r>
    </w:p>
    <w:p w14:paraId="3B5D4540" w14:textId="22DA1D69" w:rsidR="007D65D2" w:rsidRPr="007D65D2" w:rsidRDefault="007D65D2" w:rsidP="00E96244">
      <w:pPr>
        <w:pStyle w:val="Rectitle"/>
        <w:spacing w:before="240" w:after="240"/>
        <w:rPr>
          <w:lang w:bidi="ar-EG"/>
        </w:rPr>
      </w:pPr>
      <w:r w:rsidRPr="007D65D2">
        <w:rPr>
          <w:rtl/>
          <w:lang w:bidi="ar-EG"/>
        </w:rPr>
        <w:t xml:space="preserve">وصف الأنظمة والشبكات في خدمة الملاحة الراديوية الساتلية (فضاء-أرض وفضاء-فضاء) والخصائص التقنية لمحطات الإرسال الفضائية العاملة في النطاقات </w:t>
      </w:r>
      <w:r w:rsidRPr="007D65D2">
        <w:rPr>
          <w:lang w:bidi="ar-EG"/>
        </w:rPr>
        <w:t>MHz</w:t>
      </w:r>
      <w:r w:rsidR="00BA6207">
        <w:rPr>
          <w:lang w:bidi="ar-EG"/>
        </w:rPr>
        <w:t> </w:t>
      </w:r>
      <w:r w:rsidR="0099060F">
        <w:rPr>
          <w:lang w:bidi="ar-EG"/>
        </w:rPr>
        <w:t>1 215-1 164</w:t>
      </w:r>
      <w:r w:rsidRPr="007D65D2">
        <w:rPr>
          <w:rtl/>
          <w:lang w:bidi="ar-EG"/>
        </w:rPr>
        <w:t xml:space="preserve"> و</w:t>
      </w:r>
      <w:r w:rsidRPr="007D65D2">
        <w:rPr>
          <w:lang w:bidi="ar-EG"/>
        </w:rPr>
        <w:t>MHz</w:t>
      </w:r>
      <w:r w:rsidR="0099060F">
        <w:rPr>
          <w:lang w:bidi="ar-EG"/>
        </w:rPr>
        <w:t> 1 300-1 215</w:t>
      </w:r>
      <w:r w:rsidRPr="007D65D2">
        <w:rPr>
          <w:rtl/>
          <w:lang w:bidi="ar-EG"/>
        </w:rPr>
        <w:t xml:space="preserve"> و</w:t>
      </w:r>
      <w:r w:rsidRPr="007D65D2">
        <w:rPr>
          <w:lang w:bidi="ar-EG"/>
        </w:rPr>
        <w:t>MHz</w:t>
      </w:r>
      <w:r w:rsidR="0099060F">
        <w:rPr>
          <w:lang w:bidi="ar-EG"/>
        </w:rPr>
        <w:t> 1 610-1 559</w:t>
      </w:r>
    </w:p>
    <w:p w14:paraId="04367009" w14:textId="77777777" w:rsidR="007D65D2" w:rsidRPr="007D65D2" w:rsidRDefault="007D65D2" w:rsidP="007D65D2">
      <w:pPr>
        <w:rPr>
          <w:lang w:val="ar-SA" w:bidi="ar-EG"/>
        </w:rPr>
      </w:pPr>
      <w:r w:rsidRPr="007D65D2">
        <w:rPr>
          <w:rtl/>
        </w:rPr>
        <w:t xml:space="preserve">روجعت هذه التوصية في ملحقها </w:t>
      </w:r>
      <w:r w:rsidRPr="007D65D2">
        <w:rPr>
          <w:lang w:val="fr-CH" w:bidi="ar-EG"/>
        </w:rPr>
        <w:t>4</w:t>
      </w:r>
      <w:r w:rsidRPr="007D65D2">
        <w:rPr>
          <w:rtl/>
        </w:rPr>
        <w:t xml:space="preserve"> (الوصف التقني والخصائص التقنية لنظام السواتل شبه السمتي (</w:t>
      </w:r>
      <w:r w:rsidRPr="007D65D2">
        <w:rPr>
          <w:lang w:val="fr-CH" w:bidi="ar-EG"/>
        </w:rPr>
        <w:t>QZSS</w:t>
      </w:r>
      <w:r w:rsidRPr="007D65D2">
        <w:rPr>
          <w:rtl/>
        </w:rPr>
        <w:t xml:space="preserve">)) والملحق </w:t>
      </w:r>
      <w:r w:rsidRPr="007D65D2">
        <w:rPr>
          <w:lang w:val="fr-CH" w:bidi="ar-EG"/>
        </w:rPr>
        <w:t>11</w:t>
      </w:r>
      <w:r w:rsidRPr="007D65D2">
        <w:rPr>
          <w:rtl/>
        </w:rPr>
        <w:t xml:space="preserve"> (الوصف التقني والخصائص التقنية لنظام التعزيز الساتلي لكوريا (</w:t>
      </w:r>
      <w:r w:rsidRPr="007D65D2">
        <w:rPr>
          <w:lang w:val="fr-CH" w:bidi="ar-EG"/>
        </w:rPr>
        <w:t>KASS</w:t>
      </w:r>
      <w:r w:rsidRPr="007D65D2">
        <w:rPr>
          <w:rtl/>
        </w:rPr>
        <w:t>)).</w:t>
      </w:r>
    </w:p>
    <w:p w14:paraId="3774BD32" w14:textId="560A3666" w:rsidR="007D65D2" w:rsidRPr="007D65D2" w:rsidRDefault="007D65D2" w:rsidP="007D65D2">
      <w:pPr>
        <w:rPr>
          <w:lang w:val="ar-SA" w:bidi="ar-EG"/>
        </w:rPr>
      </w:pPr>
      <w:r w:rsidRPr="007D65D2">
        <w:rPr>
          <w:rtl/>
        </w:rPr>
        <w:t>وأضيفت أيضا</w:t>
      </w:r>
      <w:r w:rsidR="00AC60DA">
        <w:rPr>
          <w:rFonts w:hint="cs"/>
          <w:rtl/>
        </w:rPr>
        <w:t>ً</w:t>
      </w:r>
      <w:r w:rsidRPr="007D65D2">
        <w:rPr>
          <w:rtl/>
        </w:rPr>
        <w:t xml:space="preserve"> الملحقات الجديدة التالية: الملحق </w:t>
      </w:r>
      <w:r w:rsidRPr="007D65D2">
        <w:rPr>
          <w:lang w:val="en-GB" w:bidi="ar-EG"/>
        </w:rPr>
        <w:t>15</w:t>
      </w:r>
      <w:r w:rsidRPr="007D65D2">
        <w:rPr>
          <w:rtl/>
        </w:rPr>
        <w:t xml:space="preserve"> (مع الوصف والخصائص التقنية لنظام Xona PULSAR لمحطات الإرسال الفضائية المخطط تشغيلها في النطاقين</w:t>
      </w:r>
      <w:r w:rsidRPr="007D65D2">
        <w:rPr>
          <w:b/>
          <w:bCs/>
          <w:rtl/>
        </w:rPr>
        <w:t xml:space="preserve"> </w:t>
      </w:r>
      <w:r w:rsidRPr="007D65D2">
        <w:rPr>
          <w:lang w:val="fr-CH" w:bidi="ar-EG"/>
        </w:rPr>
        <w:t>MHz</w:t>
      </w:r>
      <w:r w:rsidR="00BA6207">
        <w:rPr>
          <w:lang w:val="fr-CH" w:bidi="ar-EG"/>
        </w:rPr>
        <w:t> 1 215-1 164</w:t>
      </w:r>
      <w:r w:rsidRPr="007D65D2">
        <w:rPr>
          <w:b/>
          <w:bCs/>
          <w:rtl/>
        </w:rPr>
        <w:t xml:space="preserve"> </w:t>
      </w:r>
      <w:r w:rsidRPr="007D65D2">
        <w:rPr>
          <w:rtl/>
        </w:rPr>
        <w:t>و</w:t>
      </w:r>
      <w:r w:rsidRPr="007D65D2">
        <w:rPr>
          <w:lang w:val="fr-CH" w:bidi="ar-EG"/>
        </w:rPr>
        <w:t>MHz</w:t>
      </w:r>
      <w:r w:rsidR="00BA6207">
        <w:rPr>
          <w:lang w:val="fr-CH" w:bidi="ar-EG"/>
        </w:rPr>
        <w:t> 1 610-1 559</w:t>
      </w:r>
      <w:r w:rsidRPr="007D65D2">
        <w:rPr>
          <w:rtl/>
        </w:rPr>
        <w:t xml:space="preserve">)، والملحق </w:t>
      </w:r>
      <w:r w:rsidRPr="007D65D2">
        <w:rPr>
          <w:lang w:val="en-GB" w:bidi="ar-EG"/>
        </w:rPr>
        <w:t>16</w:t>
      </w:r>
      <w:r w:rsidRPr="007D65D2">
        <w:rPr>
          <w:rtl/>
        </w:rPr>
        <w:t xml:space="preserve"> (مع الوصف والخصائص التقنية لمحطات </w:t>
      </w:r>
      <w:r w:rsidRPr="007D65D2">
        <w:rPr>
          <w:lang w:val="fr-CH" w:bidi="ar-EG"/>
        </w:rPr>
        <w:t>KPS</w:t>
      </w:r>
      <w:r w:rsidRPr="007D65D2">
        <w:rPr>
          <w:rtl/>
        </w:rPr>
        <w:t xml:space="preserve"> في خدمة الملاحة الراديوية الساتلية لتوفير معلومات عن تحديد المواقع والملاحة والتوقيت في</w:t>
      </w:r>
      <w:r w:rsidR="00E74641">
        <w:rPr>
          <w:rFonts w:hint="cs"/>
          <w:rtl/>
        </w:rPr>
        <w:t> </w:t>
      </w:r>
      <w:r w:rsidRPr="007D65D2">
        <w:rPr>
          <w:rtl/>
        </w:rPr>
        <w:t>النطاقات</w:t>
      </w:r>
      <w:r w:rsidR="00E74641">
        <w:rPr>
          <w:rFonts w:hint="cs"/>
          <w:b/>
          <w:bCs/>
          <w:rtl/>
        </w:rPr>
        <w:t> </w:t>
      </w:r>
      <w:r w:rsidRPr="007D65D2">
        <w:rPr>
          <w:lang w:val="fr-CH" w:bidi="ar-EG"/>
        </w:rPr>
        <w:t>MHz</w:t>
      </w:r>
      <w:r w:rsidR="00BA6207">
        <w:rPr>
          <w:lang w:val="fr-CH" w:bidi="ar-EG"/>
        </w:rPr>
        <w:t> 1 215-1 164</w:t>
      </w:r>
      <w:r w:rsidRPr="007D65D2">
        <w:rPr>
          <w:b/>
          <w:bCs/>
          <w:rtl/>
        </w:rPr>
        <w:t xml:space="preserve"> </w:t>
      </w:r>
      <w:r w:rsidRPr="007D65D2">
        <w:rPr>
          <w:rtl/>
        </w:rPr>
        <w:t>و</w:t>
      </w:r>
      <w:r w:rsidRPr="007D65D2">
        <w:rPr>
          <w:lang w:val="fr-CH" w:bidi="ar-EG"/>
        </w:rPr>
        <w:t>MHz</w:t>
      </w:r>
      <w:r w:rsidR="00BA6207">
        <w:rPr>
          <w:lang w:val="fr-CH" w:bidi="ar-EG"/>
        </w:rPr>
        <w:t> 1 300-1 215</w:t>
      </w:r>
      <w:r w:rsidRPr="007D65D2">
        <w:rPr>
          <w:b/>
          <w:bCs/>
          <w:rtl/>
        </w:rPr>
        <w:t xml:space="preserve"> </w:t>
      </w:r>
      <w:r w:rsidRPr="007D65D2">
        <w:rPr>
          <w:rtl/>
        </w:rPr>
        <w:t>و</w:t>
      </w:r>
      <w:r w:rsidRPr="007D65D2">
        <w:rPr>
          <w:lang w:val="fr-CH" w:bidi="ar-EG"/>
        </w:rPr>
        <w:t>MHz</w:t>
      </w:r>
      <w:r w:rsidR="00BA6207">
        <w:rPr>
          <w:lang w:val="fr-CH" w:bidi="ar-EG"/>
        </w:rPr>
        <w:t> 1 610-1 559</w:t>
      </w:r>
      <w:r w:rsidRPr="007D65D2">
        <w:rPr>
          <w:rtl/>
        </w:rPr>
        <w:t xml:space="preserve">) والملحق </w:t>
      </w:r>
      <w:r w:rsidRPr="007D65D2">
        <w:rPr>
          <w:lang w:val="fr-CH" w:bidi="ar-EG"/>
        </w:rPr>
        <w:t>17</w:t>
      </w:r>
      <w:r w:rsidRPr="007D65D2">
        <w:rPr>
          <w:rtl/>
        </w:rPr>
        <w:t xml:space="preserve"> (الوصف التقني والخصائص التقنية لنظام</w:t>
      </w:r>
      <w:r w:rsidR="00BA6207">
        <w:rPr>
          <w:rFonts w:hint="cs"/>
          <w:rtl/>
        </w:rPr>
        <w:t> </w:t>
      </w:r>
      <w:r w:rsidRPr="007D65D2">
        <w:rPr>
          <w:rtl/>
        </w:rPr>
        <w:t>SATNET LEO RNSS)</w:t>
      </w:r>
      <w:r w:rsidR="00BA6207">
        <w:rPr>
          <w:rFonts w:hint="cs"/>
          <w:rtl/>
        </w:rPr>
        <w:t>.</w:t>
      </w:r>
    </w:p>
    <w:p w14:paraId="148AFC49" w14:textId="77777777" w:rsidR="007D65D2" w:rsidRPr="007D65D2" w:rsidRDefault="007D65D2" w:rsidP="007D65D2">
      <w:pPr>
        <w:rPr>
          <w:bCs/>
          <w:lang w:val="ar-SA" w:bidi="ar-EG"/>
        </w:rPr>
      </w:pPr>
      <w:r w:rsidRPr="007D65D2">
        <w:rPr>
          <w:rtl/>
        </w:rPr>
        <w:t>كما أجريت تنقيحات صياغية على الإحالات إلى الأشكال والجداول في كل ملحق.</w:t>
      </w:r>
    </w:p>
    <w:p w14:paraId="32FD3D2F" w14:textId="415F548A" w:rsidR="007D65D2" w:rsidRPr="007D65D2" w:rsidRDefault="007D65D2" w:rsidP="007D65D2">
      <w:pPr>
        <w:keepNext/>
        <w:tabs>
          <w:tab w:val="right" w:pos="9639"/>
        </w:tabs>
        <w:spacing w:before="480"/>
        <w:rPr>
          <w:lang w:val="ar-SA" w:bidi="ar-EG"/>
        </w:rPr>
      </w:pPr>
      <w:r w:rsidRPr="007D65D2">
        <w:rPr>
          <w:u w:val="single"/>
          <w:rtl/>
        </w:rPr>
        <w:t xml:space="preserve">مشروع مراجعة التوصية </w:t>
      </w:r>
      <w:r w:rsidRPr="007D65D2">
        <w:rPr>
          <w:u w:val="single"/>
          <w:lang w:val="fr-CH" w:bidi="ar-EG"/>
        </w:rPr>
        <w:t>ITU-R BO.789-2</w:t>
      </w:r>
      <w:r w:rsidRPr="007D65D2">
        <w:rPr>
          <w:rtl/>
        </w:rPr>
        <w:tab/>
        <w:t xml:space="preserve">الوثيقة </w:t>
      </w:r>
      <w:r w:rsidR="00E74641">
        <w:rPr>
          <w:lang w:val="fr-CH" w:bidi="ar-EG"/>
        </w:rPr>
        <w:t>4/51</w:t>
      </w:r>
    </w:p>
    <w:p w14:paraId="3821048C" w14:textId="6F8D35B9" w:rsidR="007D65D2" w:rsidRPr="007D65D2" w:rsidRDefault="007D65D2" w:rsidP="00E96244">
      <w:pPr>
        <w:pStyle w:val="Rectitle"/>
        <w:spacing w:before="240" w:after="240"/>
        <w:rPr>
          <w:lang w:bidi="ar-EG"/>
        </w:rPr>
      </w:pPr>
      <w:r w:rsidRPr="007D65D2">
        <w:rPr>
          <w:rtl/>
          <w:lang w:bidi="ar-EG"/>
        </w:rPr>
        <w:t xml:space="preserve">خدمة الإذاعة الصوتية الرقمية الموجهة إلى مستقبلات محمولة وثابتة على متن مركبات للخدمة الإذاعية الساتلية (الصوتية) في مدى التردد </w:t>
      </w:r>
      <w:r w:rsidRPr="007D65D2">
        <w:rPr>
          <w:lang w:bidi="ar-EG"/>
        </w:rPr>
        <w:t>MHz</w:t>
      </w:r>
      <w:r w:rsidR="00E74641">
        <w:rPr>
          <w:lang w:bidi="ar-EG"/>
        </w:rPr>
        <w:t> 2 700-1 400</w:t>
      </w:r>
    </w:p>
    <w:p w14:paraId="65B84BD8" w14:textId="327A44C7" w:rsidR="007D65D2" w:rsidRPr="007D65D2" w:rsidRDefault="007D65D2" w:rsidP="007D65D2">
      <w:pPr>
        <w:rPr>
          <w:rtl/>
          <w:lang w:bidi="en-GB"/>
        </w:rPr>
      </w:pPr>
      <w:r w:rsidRPr="007D65D2">
        <w:rPr>
          <w:rtl/>
        </w:rPr>
        <w:t xml:space="preserve">بعد تحديث النظام الرقمي </w:t>
      </w:r>
      <w:r w:rsidRPr="007D65D2">
        <w:t>A (Eureka-147 DAB)</w:t>
      </w:r>
      <w:r w:rsidRPr="007D65D2">
        <w:rPr>
          <w:rtl/>
        </w:rPr>
        <w:t xml:space="preserve">، المنشور في </w:t>
      </w:r>
      <w:r w:rsidRPr="007D65D2">
        <w:t>(ETSI EN 300 401 V2</w:t>
      </w:r>
      <w:r w:rsidR="007268BB">
        <w:t>.</w:t>
      </w:r>
      <w:r w:rsidRPr="007D65D2">
        <w:t>1</w:t>
      </w:r>
      <w:r w:rsidR="007268BB">
        <w:t>.</w:t>
      </w:r>
      <w:r w:rsidRPr="007D65D2">
        <w:t>1 (2017-01))</w:t>
      </w:r>
      <w:r w:rsidRPr="007D65D2">
        <w:rPr>
          <w:rtl/>
        </w:rPr>
        <w:t xml:space="preserve"> وإزالة أساليب الإرسال </w:t>
      </w:r>
      <w:r w:rsidRPr="007D65D2">
        <w:rPr>
          <w:lang w:val="fr-CH" w:bidi="ar-EG"/>
        </w:rPr>
        <w:t>II</w:t>
      </w:r>
      <w:r w:rsidRPr="007D65D2">
        <w:rPr>
          <w:rtl/>
        </w:rPr>
        <w:t xml:space="preserve"> و</w:t>
      </w:r>
      <w:r w:rsidRPr="007D65D2">
        <w:rPr>
          <w:lang w:val="fr-CH" w:bidi="ar-EG"/>
        </w:rPr>
        <w:t>III</w:t>
      </w:r>
      <w:r w:rsidRPr="007D65D2">
        <w:rPr>
          <w:rtl/>
        </w:rPr>
        <w:t xml:space="preserve"> و</w:t>
      </w:r>
      <w:r w:rsidRPr="007D65D2">
        <w:rPr>
          <w:lang w:val="fr-CH" w:bidi="ar-EG"/>
        </w:rPr>
        <w:t>IV</w:t>
      </w:r>
      <w:r w:rsidRPr="007D65D2">
        <w:rPr>
          <w:rtl/>
        </w:rPr>
        <w:t xml:space="preserve">، احتُفظ بالأسلوب </w:t>
      </w:r>
      <w:r w:rsidRPr="007D65D2">
        <w:rPr>
          <w:lang w:val="fr-CH" w:bidi="ar-EG"/>
        </w:rPr>
        <w:t>I</w:t>
      </w:r>
      <w:r w:rsidRPr="007D65D2">
        <w:rPr>
          <w:rtl/>
        </w:rPr>
        <w:t xml:space="preserve"> فقط المصمم للإذاعة للأرض في النطاق </w:t>
      </w:r>
      <w:r w:rsidRPr="007D65D2">
        <w:rPr>
          <w:lang w:val="en-GB" w:bidi="ar-EG"/>
        </w:rPr>
        <w:t>30</w:t>
      </w:r>
      <w:r w:rsidRPr="007D65D2">
        <w:rPr>
          <w:rtl/>
        </w:rPr>
        <w:t xml:space="preserve"> إلى </w:t>
      </w:r>
      <w:r w:rsidRPr="007D65D2">
        <w:rPr>
          <w:lang w:val="en-GB" w:bidi="ar-EG"/>
        </w:rPr>
        <w:t>MHz</w:t>
      </w:r>
      <w:r w:rsidR="007268BB">
        <w:rPr>
          <w:lang w:val="en-GB" w:bidi="ar-EG"/>
        </w:rPr>
        <w:t> 300</w:t>
      </w:r>
      <w:r w:rsidRPr="007D65D2">
        <w:rPr>
          <w:rtl/>
        </w:rPr>
        <w:t>.</w:t>
      </w:r>
    </w:p>
    <w:p w14:paraId="6A428744" w14:textId="77777777" w:rsidR="007D65D2" w:rsidRPr="007D65D2" w:rsidRDefault="007D65D2" w:rsidP="007D65D2">
      <w:pPr>
        <w:rPr>
          <w:bCs/>
          <w:lang w:val="ar-SA" w:bidi="ar-EG"/>
        </w:rPr>
      </w:pPr>
      <w:r w:rsidRPr="007D65D2">
        <w:rPr>
          <w:rtl/>
        </w:rPr>
        <w:t xml:space="preserve">تُحذَف في هذه المراجعة الإشارة إلى النظام </w:t>
      </w:r>
      <w:r w:rsidRPr="007D65D2">
        <w:rPr>
          <w:lang w:val="fr-CH" w:bidi="ar-EG"/>
        </w:rPr>
        <w:t>A</w:t>
      </w:r>
      <w:r w:rsidRPr="007D65D2">
        <w:rPr>
          <w:rtl/>
        </w:rPr>
        <w:t xml:space="preserve"> لأنها لم تعد ذات صلة في هذه التوصية.</w:t>
      </w:r>
    </w:p>
    <w:p w14:paraId="154C27D4" w14:textId="7BE9411E" w:rsidR="007D65D2" w:rsidRPr="007D65D2" w:rsidRDefault="007D65D2" w:rsidP="007D65D2">
      <w:pPr>
        <w:keepNext/>
        <w:tabs>
          <w:tab w:val="right" w:pos="9639"/>
        </w:tabs>
        <w:spacing w:before="480"/>
        <w:rPr>
          <w:lang w:val="ar-SA" w:bidi="ar-EG"/>
        </w:rPr>
      </w:pPr>
      <w:r w:rsidRPr="007D65D2">
        <w:rPr>
          <w:u w:val="single"/>
          <w:rtl/>
        </w:rPr>
        <w:t xml:space="preserve">مشروع مراجعة التوصية </w:t>
      </w:r>
      <w:r w:rsidRPr="007D65D2">
        <w:rPr>
          <w:u w:val="single"/>
          <w:lang w:val="fr-CH" w:bidi="ar-EG"/>
        </w:rPr>
        <w:t>ITU-R BO.1130-4</w:t>
      </w:r>
      <w:r w:rsidRPr="007D65D2">
        <w:rPr>
          <w:rtl/>
        </w:rPr>
        <w:tab/>
        <w:t xml:space="preserve">الوثيقة </w:t>
      </w:r>
      <w:r w:rsidR="007268BB">
        <w:rPr>
          <w:lang w:val="fr-CH" w:bidi="ar-EG"/>
        </w:rPr>
        <w:t>4/52</w:t>
      </w:r>
    </w:p>
    <w:p w14:paraId="25A0A79D" w14:textId="031469D2" w:rsidR="007D65D2" w:rsidRPr="007D65D2" w:rsidRDefault="007D65D2" w:rsidP="00E96244">
      <w:pPr>
        <w:pStyle w:val="Rectitle"/>
        <w:spacing w:before="240" w:after="240"/>
        <w:rPr>
          <w:spacing w:val="-4"/>
          <w:lang w:bidi="ar-EG"/>
        </w:rPr>
      </w:pPr>
      <w:r w:rsidRPr="007D65D2">
        <w:rPr>
          <w:spacing w:val="-4"/>
          <w:rtl/>
          <w:lang w:bidi="ar-EG"/>
        </w:rPr>
        <w:t>أنظمة الإذاعة الرقمية الساتلية الموجهة إلى مستقبلات ثابتة ومحمولة ومركبة على متن مركبات في</w:t>
      </w:r>
      <w:r w:rsidR="00AC60DA">
        <w:rPr>
          <w:rFonts w:hint="cs"/>
          <w:spacing w:val="-4"/>
          <w:rtl/>
          <w:lang w:bidi="ar-EG"/>
        </w:rPr>
        <w:t> </w:t>
      </w:r>
      <w:r w:rsidRPr="007D65D2">
        <w:rPr>
          <w:spacing w:val="-4"/>
          <w:rtl/>
          <w:lang w:bidi="ar-EG"/>
        </w:rPr>
        <w:t xml:space="preserve">النطاقات الموزعة للخدمة الإذاعية الساتلية (الصوتية) في مدى التردد </w:t>
      </w:r>
      <w:r w:rsidRPr="007D65D2">
        <w:rPr>
          <w:spacing w:val="-4"/>
          <w:lang w:bidi="ar-EG"/>
        </w:rPr>
        <w:t>MHz</w:t>
      </w:r>
      <w:r w:rsidR="007268BB">
        <w:rPr>
          <w:spacing w:val="-4"/>
          <w:lang w:bidi="ar-EG"/>
        </w:rPr>
        <w:t> 2 700-1 400</w:t>
      </w:r>
    </w:p>
    <w:p w14:paraId="3708790B" w14:textId="77777777" w:rsidR="00BC25F4" w:rsidRPr="007D65D2" w:rsidRDefault="00BC25F4" w:rsidP="00BC25F4">
      <w:pPr>
        <w:rPr>
          <w:rtl/>
          <w:lang w:bidi="en-GB"/>
        </w:rPr>
      </w:pPr>
      <w:r w:rsidRPr="007D65D2">
        <w:rPr>
          <w:rtl/>
        </w:rPr>
        <w:t xml:space="preserve">بعد تحديث النظام الرقمي </w:t>
      </w:r>
      <w:r w:rsidRPr="007D65D2">
        <w:t>A (Eureka-147 DAB)</w:t>
      </w:r>
      <w:r w:rsidRPr="007D65D2">
        <w:rPr>
          <w:rtl/>
        </w:rPr>
        <w:t xml:space="preserve">، المنشور في </w:t>
      </w:r>
      <w:r w:rsidRPr="007D65D2">
        <w:t>(ETSI EN 300 401 V2</w:t>
      </w:r>
      <w:r>
        <w:t>.</w:t>
      </w:r>
      <w:r w:rsidRPr="007D65D2">
        <w:t>1</w:t>
      </w:r>
      <w:r>
        <w:t>.</w:t>
      </w:r>
      <w:r w:rsidRPr="007D65D2">
        <w:t>1 (2017-01))</w:t>
      </w:r>
      <w:r w:rsidRPr="007D65D2">
        <w:rPr>
          <w:rtl/>
        </w:rPr>
        <w:t xml:space="preserve"> وإزالة أساليب الإرسال </w:t>
      </w:r>
      <w:r w:rsidRPr="007D65D2">
        <w:rPr>
          <w:lang w:val="fr-CH" w:bidi="ar-EG"/>
        </w:rPr>
        <w:t>II</w:t>
      </w:r>
      <w:r w:rsidRPr="007D65D2">
        <w:rPr>
          <w:rtl/>
        </w:rPr>
        <w:t xml:space="preserve"> و</w:t>
      </w:r>
      <w:r w:rsidRPr="007D65D2">
        <w:rPr>
          <w:lang w:val="fr-CH" w:bidi="ar-EG"/>
        </w:rPr>
        <w:t>III</w:t>
      </w:r>
      <w:r w:rsidRPr="007D65D2">
        <w:rPr>
          <w:rtl/>
        </w:rPr>
        <w:t xml:space="preserve"> و</w:t>
      </w:r>
      <w:r w:rsidRPr="007D65D2">
        <w:rPr>
          <w:lang w:val="fr-CH" w:bidi="ar-EG"/>
        </w:rPr>
        <w:t>IV</w:t>
      </w:r>
      <w:r w:rsidRPr="007D65D2">
        <w:rPr>
          <w:rtl/>
        </w:rPr>
        <w:t xml:space="preserve">، احتُفظ بالأسلوب </w:t>
      </w:r>
      <w:r w:rsidRPr="007D65D2">
        <w:rPr>
          <w:lang w:val="fr-CH" w:bidi="ar-EG"/>
        </w:rPr>
        <w:t>I</w:t>
      </w:r>
      <w:r w:rsidRPr="007D65D2">
        <w:rPr>
          <w:rtl/>
        </w:rPr>
        <w:t xml:space="preserve"> فقط المصمم للإذاعة للأرض في النطاق </w:t>
      </w:r>
      <w:r w:rsidRPr="007D65D2">
        <w:rPr>
          <w:lang w:val="en-GB" w:bidi="ar-EG"/>
        </w:rPr>
        <w:t>30</w:t>
      </w:r>
      <w:r w:rsidRPr="007D65D2">
        <w:rPr>
          <w:rtl/>
        </w:rPr>
        <w:t xml:space="preserve"> إلى </w:t>
      </w:r>
      <w:r w:rsidRPr="007D65D2">
        <w:rPr>
          <w:lang w:val="en-GB" w:bidi="ar-EG"/>
        </w:rPr>
        <w:t>MHz</w:t>
      </w:r>
      <w:r>
        <w:rPr>
          <w:lang w:val="en-GB" w:bidi="ar-EG"/>
        </w:rPr>
        <w:t> 300</w:t>
      </w:r>
      <w:r w:rsidRPr="007D65D2">
        <w:rPr>
          <w:rtl/>
        </w:rPr>
        <w:t>.</w:t>
      </w:r>
    </w:p>
    <w:p w14:paraId="0E47DCFB" w14:textId="77777777" w:rsidR="00BC25F4" w:rsidRPr="007D65D2" w:rsidRDefault="00BC25F4" w:rsidP="00BC25F4">
      <w:pPr>
        <w:rPr>
          <w:bCs/>
          <w:lang w:val="ar-SA" w:bidi="ar-EG"/>
        </w:rPr>
      </w:pPr>
      <w:r w:rsidRPr="007D65D2">
        <w:rPr>
          <w:rtl/>
        </w:rPr>
        <w:t xml:space="preserve">تُحذَف في هذه المراجعة الإشارة إلى النظام </w:t>
      </w:r>
      <w:r w:rsidRPr="007D65D2">
        <w:rPr>
          <w:lang w:val="fr-CH" w:bidi="ar-EG"/>
        </w:rPr>
        <w:t>A</w:t>
      </w:r>
      <w:r w:rsidRPr="007D65D2">
        <w:rPr>
          <w:rtl/>
        </w:rPr>
        <w:t xml:space="preserve"> لأنها لم تعد ذات صلة في هذه التوصية.</w:t>
      </w:r>
    </w:p>
    <w:p w14:paraId="704A1836" w14:textId="77777777" w:rsidR="007D65D2" w:rsidRPr="007D65D2" w:rsidRDefault="007D65D2" w:rsidP="007D65D2">
      <w:pPr>
        <w:keepNext/>
        <w:tabs>
          <w:tab w:val="right" w:pos="9639"/>
        </w:tabs>
        <w:spacing w:before="480"/>
        <w:rPr>
          <w:lang w:val="ar-SA" w:bidi="ar-EG"/>
        </w:rPr>
      </w:pPr>
      <w:r w:rsidRPr="007D65D2">
        <w:rPr>
          <w:u w:val="single"/>
          <w:rtl/>
        </w:rPr>
        <w:lastRenderedPageBreak/>
        <w:t xml:space="preserve">مشروع مراجعة التوصية </w:t>
      </w:r>
      <w:r w:rsidRPr="007D65D2">
        <w:rPr>
          <w:u w:val="single"/>
          <w:lang w:val="fr-CH" w:bidi="ar-EG"/>
        </w:rPr>
        <w:t>ITU-R BO.1504-0</w:t>
      </w:r>
      <w:r w:rsidRPr="007D65D2">
        <w:rPr>
          <w:rtl/>
        </w:rPr>
        <w:tab/>
        <w:t xml:space="preserve">الوثيقة </w:t>
      </w:r>
      <w:r w:rsidRPr="007D65D2">
        <w:rPr>
          <w:lang w:val="fr-CH" w:bidi="ar-EG"/>
        </w:rPr>
        <w:t>4/55</w:t>
      </w:r>
    </w:p>
    <w:p w14:paraId="658FBFDC" w14:textId="77777777" w:rsidR="007D65D2" w:rsidRPr="007D65D2" w:rsidRDefault="007D65D2" w:rsidP="00E96244">
      <w:pPr>
        <w:pStyle w:val="Rectitle"/>
        <w:spacing w:before="240" w:after="240"/>
        <w:rPr>
          <w:lang w:bidi="ar-EG"/>
        </w:rPr>
      </w:pPr>
      <w:r w:rsidRPr="007D65D2">
        <w:rPr>
          <w:rtl/>
          <w:lang w:bidi="ar-EG"/>
        </w:rPr>
        <w:t>الاستعمال الفعال للطيف المخصص للخدمة الإذاعية الساتلية (الصوتية)</w:t>
      </w:r>
    </w:p>
    <w:p w14:paraId="105A8344" w14:textId="77777777" w:rsidR="00F32B65" w:rsidRDefault="00BC25F4" w:rsidP="00BC25F4">
      <w:r w:rsidRPr="007D65D2">
        <w:rPr>
          <w:rtl/>
        </w:rPr>
        <w:t xml:space="preserve">بعد تحديث النظام الرقمي </w:t>
      </w:r>
      <w:r w:rsidRPr="007D65D2">
        <w:t>A (Eureka-147 DAB)</w:t>
      </w:r>
      <w:r w:rsidRPr="007D65D2">
        <w:rPr>
          <w:rtl/>
        </w:rPr>
        <w:t xml:space="preserve">، المنشور في </w:t>
      </w:r>
      <w:r w:rsidRPr="007D65D2">
        <w:t>(ETSI EN 300 401 V2</w:t>
      </w:r>
      <w:r>
        <w:t>.</w:t>
      </w:r>
      <w:r w:rsidRPr="007D65D2">
        <w:t>1</w:t>
      </w:r>
      <w:r>
        <w:t>.</w:t>
      </w:r>
      <w:r w:rsidRPr="007D65D2">
        <w:t>1 (2017-01))</w:t>
      </w:r>
      <w:r w:rsidRPr="007D65D2">
        <w:rPr>
          <w:rtl/>
        </w:rPr>
        <w:t xml:space="preserve"> وإزالة أساليب الإرسال </w:t>
      </w:r>
      <w:r w:rsidRPr="007D65D2">
        <w:rPr>
          <w:lang w:val="fr-CH" w:bidi="ar-EG"/>
        </w:rPr>
        <w:t>II</w:t>
      </w:r>
      <w:r w:rsidRPr="007D65D2">
        <w:rPr>
          <w:rtl/>
        </w:rPr>
        <w:t xml:space="preserve"> و</w:t>
      </w:r>
      <w:r w:rsidRPr="007D65D2">
        <w:rPr>
          <w:lang w:val="fr-CH" w:bidi="ar-EG"/>
        </w:rPr>
        <w:t>III</w:t>
      </w:r>
      <w:r w:rsidRPr="007D65D2">
        <w:rPr>
          <w:rtl/>
        </w:rPr>
        <w:t xml:space="preserve"> و</w:t>
      </w:r>
      <w:r w:rsidRPr="007D65D2">
        <w:rPr>
          <w:lang w:val="fr-CH" w:bidi="ar-EG"/>
        </w:rPr>
        <w:t>IV</w:t>
      </w:r>
      <w:r w:rsidRPr="007D65D2">
        <w:rPr>
          <w:rtl/>
        </w:rPr>
        <w:t xml:space="preserve">، احتُفظ بالأسلوب </w:t>
      </w:r>
      <w:r w:rsidRPr="007D65D2">
        <w:rPr>
          <w:lang w:val="fr-CH" w:bidi="ar-EG"/>
        </w:rPr>
        <w:t>I</w:t>
      </w:r>
      <w:r w:rsidRPr="007D65D2">
        <w:rPr>
          <w:rtl/>
        </w:rPr>
        <w:t xml:space="preserve"> فقط المصمم للإذاعة للأرض في النطاق </w:t>
      </w:r>
      <w:r w:rsidRPr="007D65D2">
        <w:rPr>
          <w:lang w:val="en-GB" w:bidi="ar-EG"/>
        </w:rPr>
        <w:t>30</w:t>
      </w:r>
      <w:r w:rsidRPr="007D65D2">
        <w:rPr>
          <w:rtl/>
        </w:rPr>
        <w:t xml:space="preserve"> إلى </w:t>
      </w:r>
      <w:r w:rsidRPr="007D65D2">
        <w:rPr>
          <w:lang w:val="en-GB" w:bidi="ar-EG"/>
        </w:rPr>
        <w:t>MHz</w:t>
      </w:r>
      <w:r>
        <w:rPr>
          <w:lang w:val="en-GB" w:bidi="ar-EG"/>
        </w:rPr>
        <w:t> 300</w:t>
      </w:r>
      <w:r w:rsidRPr="007D65D2">
        <w:rPr>
          <w:rtl/>
        </w:rPr>
        <w:t>.</w:t>
      </w:r>
      <w:r w:rsidR="007D65D2" w:rsidRPr="007D65D2">
        <w:rPr>
          <w:rtl/>
        </w:rPr>
        <w:t xml:space="preserve"> وتُحذَف في هذه المراجعة الإشارة إلى النظام </w:t>
      </w:r>
      <w:r w:rsidR="007D65D2" w:rsidRPr="007D65D2">
        <w:rPr>
          <w:lang w:val="fr-CH" w:bidi="ar-EG"/>
        </w:rPr>
        <w:t>A</w:t>
      </w:r>
      <w:r w:rsidR="007D65D2" w:rsidRPr="007D65D2">
        <w:rPr>
          <w:rtl/>
        </w:rPr>
        <w:t xml:space="preserve"> لأنها لم تعد ذات صلة في هذه التوصية. وحُذِفت الفقرتان </w:t>
      </w:r>
      <w:r w:rsidR="007D65D2" w:rsidRPr="007D65D2">
        <w:rPr>
          <w:lang w:val="fr-CH" w:bidi="ar-EG"/>
        </w:rPr>
        <w:t>1</w:t>
      </w:r>
      <w:r w:rsidR="007D65D2" w:rsidRPr="007D65D2">
        <w:rPr>
          <w:rtl/>
        </w:rPr>
        <w:t xml:space="preserve"> و</w:t>
      </w:r>
      <w:r w:rsidR="007D65D2" w:rsidRPr="007D65D2">
        <w:rPr>
          <w:lang w:val="fr-CH" w:bidi="ar-EG"/>
        </w:rPr>
        <w:t>2</w:t>
      </w:r>
      <w:r w:rsidR="007D65D2" w:rsidRPr="007D65D2">
        <w:rPr>
          <w:rtl/>
        </w:rPr>
        <w:t xml:space="preserve"> من "</w:t>
      </w:r>
      <w:r w:rsidR="007D65D2" w:rsidRPr="007D65D2">
        <w:rPr>
          <w:i/>
          <w:iCs/>
          <w:rtl/>
        </w:rPr>
        <w:t>يدعو مكتب الاتصالات الراديوية</w:t>
      </w:r>
      <w:r w:rsidR="007D65D2" w:rsidRPr="007D65D2">
        <w:rPr>
          <w:rtl/>
        </w:rPr>
        <w:t>" وجرى تكييف المصطلحات المستخدمة في النص مع لوائح الراديو.</w:t>
      </w:r>
    </w:p>
    <w:p w14:paraId="51BA642E" w14:textId="73FEC863" w:rsidR="007D65D2" w:rsidRPr="00BC25F4" w:rsidRDefault="007D65D2" w:rsidP="00BC25F4">
      <w:pPr>
        <w:rPr>
          <w:rtl/>
          <w:lang w:bidi="en-GB"/>
        </w:rPr>
      </w:pPr>
      <w:r>
        <w:rPr>
          <w:rtl/>
        </w:rPr>
        <w:br w:type="page"/>
      </w:r>
    </w:p>
    <w:p w14:paraId="7C73E733" w14:textId="239E1239" w:rsidR="00E071D0" w:rsidRPr="007D65D2" w:rsidRDefault="00E071D0" w:rsidP="00B279C7">
      <w:pPr>
        <w:pStyle w:val="AnnexNoTitle"/>
        <w:spacing w:before="600"/>
        <w:rPr>
          <w:rtl/>
        </w:rPr>
      </w:pPr>
      <w:r w:rsidRPr="007D65D2">
        <w:rPr>
          <w:rtl/>
        </w:rPr>
        <w:lastRenderedPageBreak/>
        <w:t xml:space="preserve">الملحـق </w:t>
      </w:r>
      <w:r w:rsidRPr="007D65D2">
        <w:rPr>
          <w:lang w:val="en-GB" w:bidi="ar-SA"/>
        </w:rPr>
        <w:t>2</w:t>
      </w:r>
      <w:r w:rsidR="00741F38" w:rsidRPr="007D65D2">
        <w:rPr>
          <w:rtl/>
          <w:lang w:val="en-GB" w:bidi="ar-SA"/>
        </w:rPr>
        <w:br/>
      </w:r>
      <w:r w:rsidR="00741F38" w:rsidRPr="007D65D2">
        <w:rPr>
          <w:rtl/>
          <w:lang w:val="en-GB" w:bidi="ar-SA"/>
        </w:rPr>
        <w:br/>
      </w:r>
      <w:r w:rsidR="00741F38" w:rsidRPr="007D65D2">
        <w:rPr>
          <w:rtl/>
        </w:rPr>
        <w:t xml:space="preserve">توصية </w:t>
      </w:r>
      <w:r w:rsidR="00FE1CF4" w:rsidRPr="007D65D2">
        <w:rPr>
          <w:rtl/>
        </w:rPr>
        <w:t xml:space="preserve">قطاع الاتصالات الراديوية </w:t>
      </w:r>
      <w:r w:rsidR="00741F38" w:rsidRPr="007D65D2">
        <w:rPr>
          <w:rtl/>
        </w:rPr>
        <w:t>المقترح إلغاؤها</w:t>
      </w:r>
    </w:p>
    <w:tbl>
      <w:tblPr>
        <w:bidiVisual/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76"/>
        <w:gridCol w:w="6097"/>
        <w:gridCol w:w="1842"/>
      </w:tblGrid>
      <w:tr w:rsidR="00A87C7D" w:rsidRPr="00F32B65" w14:paraId="5AE47D2C" w14:textId="222CB395" w:rsidTr="00F32B65">
        <w:trPr>
          <w:cantSplit/>
          <w:tblHeader/>
          <w:jc w:val="center"/>
        </w:trPr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658A6" w14:textId="77777777" w:rsidR="00A87C7D" w:rsidRPr="00F32B65" w:rsidRDefault="00A87C7D" w:rsidP="00750709">
            <w:pPr>
              <w:pStyle w:val="TableHead"/>
              <w:rPr>
                <w:lang w:bidi="ar-EG"/>
              </w:rPr>
            </w:pPr>
            <w:r w:rsidRPr="00F32B65">
              <w:rPr>
                <w:rtl/>
                <w:lang w:bidi="ar-EG"/>
              </w:rPr>
              <w:t>توصية قطاع الاتصالات الراديوية </w:t>
            </w:r>
            <w:r w:rsidRPr="00F32B65">
              <w:rPr>
                <w:lang w:bidi="ar-EG"/>
              </w:rPr>
              <w:t>(ITU-R)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392D3" w14:textId="77777777" w:rsidR="00A87C7D" w:rsidRPr="00F32B65" w:rsidRDefault="00A87C7D" w:rsidP="00750709">
            <w:pPr>
              <w:pStyle w:val="TableHead"/>
              <w:rPr>
                <w:lang w:bidi="ar-EG"/>
              </w:rPr>
            </w:pPr>
            <w:r w:rsidRPr="00F32B65">
              <w:rPr>
                <w:rtl/>
                <w:lang w:bidi="ar-EG"/>
              </w:rPr>
              <w:t>العنوان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1832" w14:textId="365489DC" w:rsidR="00A87C7D" w:rsidRPr="00F32B65" w:rsidRDefault="00A87C7D" w:rsidP="00FD646E">
            <w:pPr>
              <w:pStyle w:val="TableHead"/>
              <w:rPr>
                <w:rtl/>
              </w:rPr>
            </w:pPr>
            <w:r w:rsidRPr="00F32B65">
              <w:rPr>
                <w:rtl/>
                <w:lang w:bidi="ar-EG"/>
              </w:rPr>
              <w:t>الوثيقة</w:t>
            </w:r>
          </w:p>
        </w:tc>
      </w:tr>
      <w:tr w:rsidR="00A87C7D" w:rsidRPr="00F32B65" w14:paraId="631564AC" w14:textId="0D97116E" w:rsidTr="00F32B65">
        <w:trPr>
          <w:cantSplit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E504" w14:textId="2AB97D8F" w:rsidR="00A87C7D" w:rsidRPr="00F32B65" w:rsidRDefault="00F02CA6" w:rsidP="00803933">
            <w:pPr>
              <w:pStyle w:val="Tabletext"/>
              <w:jc w:val="center"/>
              <w:rPr>
                <w:rFonts w:ascii="Dubai" w:hAnsi="Dubai" w:cs="Dubai"/>
                <w:position w:val="2"/>
                <w:sz w:val="20"/>
                <w:szCs w:val="26"/>
                <w:lang w:val="en-US" w:eastAsia="ja-JP"/>
              </w:rPr>
            </w:pPr>
            <w:r w:rsidRPr="00F32B65">
              <w:rPr>
                <w:rFonts w:ascii="Dubai" w:hAnsi="Dubai" w:cs="Dubai"/>
                <w:position w:val="2"/>
                <w:sz w:val="20"/>
                <w:szCs w:val="26"/>
                <w:lang w:val="en-US" w:eastAsia="ja-JP"/>
              </w:rPr>
              <w:t>M.632-3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90BD" w14:textId="5A64B531" w:rsidR="00A87C7D" w:rsidRPr="00F32B65" w:rsidRDefault="00F02CA6" w:rsidP="0007768D">
            <w:pPr>
              <w:pStyle w:val="Tabletexte"/>
              <w:rPr>
                <w:lang w:eastAsia="ja-JP"/>
              </w:rPr>
            </w:pPr>
            <w:r w:rsidRPr="00F32B65">
              <w:rPr>
                <w:rtl/>
                <w:lang w:eastAsia="ja-JP"/>
              </w:rPr>
              <w:t>خصائص الإرسال ل</w:t>
            </w:r>
            <w:r w:rsidR="00E96244">
              <w:rPr>
                <w:rFonts w:hint="cs"/>
                <w:rtl/>
                <w:lang w:eastAsia="ja-JP"/>
              </w:rPr>
              <w:t xml:space="preserve">نظام </w:t>
            </w:r>
            <w:r w:rsidRPr="00F32B65">
              <w:rPr>
                <w:rtl/>
                <w:lang w:eastAsia="ja-JP"/>
              </w:rPr>
              <w:t>منار</w:t>
            </w:r>
            <w:r w:rsidR="00E96244">
              <w:rPr>
                <w:rFonts w:hint="cs"/>
                <w:rtl/>
                <w:lang w:eastAsia="ja-JP"/>
              </w:rPr>
              <w:t>ات</w:t>
            </w:r>
            <w:r w:rsidRPr="00F32B65">
              <w:rPr>
                <w:rtl/>
                <w:lang w:eastAsia="ja-JP"/>
              </w:rPr>
              <w:t xml:space="preserve"> راديوي</w:t>
            </w:r>
            <w:r w:rsidR="00E96244">
              <w:rPr>
                <w:rFonts w:hint="cs"/>
                <w:rtl/>
                <w:lang w:eastAsia="ja-JP"/>
              </w:rPr>
              <w:t>ة</w:t>
            </w:r>
            <w:r w:rsidRPr="00F32B65">
              <w:rPr>
                <w:rtl/>
                <w:lang w:eastAsia="ja-JP"/>
              </w:rPr>
              <w:t xml:space="preserve"> للاستدلال على موقع الطوارئ بالساتل (منار</w:t>
            </w:r>
            <w:r w:rsidR="00E96244">
              <w:rPr>
                <w:rFonts w:hint="cs"/>
                <w:rtl/>
                <w:lang w:eastAsia="ja-JP"/>
              </w:rPr>
              <w:t xml:space="preserve">ات </w:t>
            </w:r>
            <w:r w:rsidRPr="00F32B65">
              <w:rPr>
                <w:lang w:eastAsia="ja-JP"/>
              </w:rPr>
              <w:t>EPIRB</w:t>
            </w:r>
            <w:r w:rsidRPr="00F32B65">
              <w:rPr>
                <w:rtl/>
                <w:lang w:eastAsia="ja-JP"/>
              </w:rPr>
              <w:t xml:space="preserve"> ساتلي</w:t>
            </w:r>
            <w:r w:rsidR="00E96244">
              <w:rPr>
                <w:rFonts w:hint="cs"/>
                <w:rtl/>
                <w:lang w:eastAsia="ja-JP"/>
              </w:rPr>
              <w:t>ة</w:t>
            </w:r>
            <w:r w:rsidRPr="00F32B65">
              <w:rPr>
                <w:rtl/>
                <w:lang w:eastAsia="ja-JP"/>
              </w:rPr>
              <w:t xml:space="preserve">) يعمل بواسطة سواتل مستقرة بالنسبة إلى الأرض في النطاق </w:t>
            </w:r>
            <w:r w:rsidRPr="00F32B65">
              <w:rPr>
                <w:lang w:eastAsia="ja-JP"/>
              </w:rPr>
              <w:t>GHz</w:t>
            </w:r>
            <w:r w:rsidR="00F32B65">
              <w:rPr>
                <w:lang w:eastAsia="ja-JP"/>
              </w:rPr>
              <w:t> 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593" w14:textId="0ED565F3" w:rsidR="00A87C7D" w:rsidRPr="00F32B65" w:rsidRDefault="00F32B65" w:rsidP="00FD646E">
            <w:pPr>
              <w:pStyle w:val="Tabletext"/>
              <w:jc w:val="center"/>
              <w:rPr>
                <w:rFonts w:ascii="Dubai" w:hAnsi="Dubai" w:cs="Dubai"/>
                <w:position w:val="2"/>
                <w:sz w:val="20"/>
                <w:szCs w:val="26"/>
                <w:lang w:eastAsia="ja-JP"/>
              </w:rPr>
            </w:pPr>
            <w:r w:rsidRPr="00F32B65">
              <w:rPr>
                <w:rFonts w:ascii="Dubai" w:hAnsi="Dubai" w:cs="Dubai"/>
                <w:position w:val="2"/>
                <w:sz w:val="20"/>
                <w:szCs w:val="26"/>
                <w:lang w:eastAsia="ja-JP"/>
              </w:rPr>
              <w:t>4/48</w:t>
            </w:r>
          </w:p>
        </w:tc>
      </w:tr>
    </w:tbl>
    <w:p w14:paraId="61ECFB88" w14:textId="512D8DC5" w:rsidR="00FC09E8" w:rsidRPr="00F32B65" w:rsidRDefault="00F32B65" w:rsidP="00F32B65">
      <w:pPr>
        <w:spacing w:before="600"/>
        <w:jc w:val="center"/>
        <w:rPr>
          <w:szCs w:val="24"/>
          <w:rtl/>
        </w:rPr>
      </w:pPr>
      <w:r w:rsidRPr="007D0027">
        <w:rPr>
          <w:rFonts w:hint="cs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C09E8" w:rsidRPr="00F32B65" w:rsidSect="006C3242">
      <w:head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175F" w14:textId="77777777" w:rsidR="002462A6" w:rsidRDefault="002462A6" w:rsidP="006C3242">
      <w:pPr>
        <w:spacing w:before="0" w:line="240" w:lineRule="auto"/>
      </w:pPr>
      <w:r>
        <w:separator/>
      </w:r>
    </w:p>
  </w:endnote>
  <w:endnote w:type="continuationSeparator" w:id="0">
    <w:p w14:paraId="0C9DC1DA" w14:textId="77777777" w:rsidR="002462A6" w:rsidRDefault="002462A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A3DC" w14:textId="7AD20D39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r w:rsidRPr="00A06C96">
      <w:rPr>
        <w:rFonts w:ascii="Calibri" w:eastAsia="Times New Roman" w:hAnsi="Calibri" w:cs="Calibri"/>
        <w:color w:val="0000FF"/>
        <w:sz w:val="19"/>
        <w:szCs w:val="19"/>
        <w:u w:val="single"/>
        <w:lang w:val="fr-CH" w:eastAsia="en-US"/>
      </w:rPr>
      <w:t>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0212" w14:textId="77777777" w:rsidR="002462A6" w:rsidRDefault="002462A6" w:rsidP="006C3242">
      <w:pPr>
        <w:spacing w:before="0" w:line="240" w:lineRule="auto"/>
      </w:pPr>
      <w:r>
        <w:separator/>
      </w:r>
    </w:p>
  </w:footnote>
  <w:footnote w:type="continuationSeparator" w:id="0">
    <w:p w14:paraId="01587C3E" w14:textId="77777777" w:rsidR="002462A6" w:rsidRDefault="002462A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2128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5192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43BE767" wp14:editId="692947BC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3205110">
    <w:abstractNumId w:val="9"/>
  </w:num>
  <w:num w:numId="2" w16cid:durableId="730273239">
    <w:abstractNumId w:val="7"/>
  </w:num>
  <w:num w:numId="3" w16cid:durableId="102379999">
    <w:abstractNumId w:val="6"/>
  </w:num>
  <w:num w:numId="4" w16cid:durableId="706563422">
    <w:abstractNumId w:val="5"/>
  </w:num>
  <w:num w:numId="5" w16cid:durableId="1078788838">
    <w:abstractNumId w:val="4"/>
  </w:num>
  <w:num w:numId="6" w16cid:durableId="309989797">
    <w:abstractNumId w:val="8"/>
  </w:num>
  <w:num w:numId="7" w16cid:durableId="335305495">
    <w:abstractNumId w:val="3"/>
  </w:num>
  <w:num w:numId="8" w16cid:durableId="1950351378">
    <w:abstractNumId w:val="2"/>
  </w:num>
  <w:num w:numId="9" w16cid:durableId="1477718119">
    <w:abstractNumId w:val="1"/>
  </w:num>
  <w:num w:numId="10" w16cid:durableId="380522006">
    <w:abstractNumId w:val="0"/>
  </w:num>
  <w:num w:numId="11" w16cid:durableId="1129325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0"/>
    <w:rsid w:val="0006468A"/>
    <w:rsid w:val="0007768D"/>
    <w:rsid w:val="0008016E"/>
    <w:rsid w:val="00090574"/>
    <w:rsid w:val="000A123A"/>
    <w:rsid w:val="000C1C0E"/>
    <w:rsid w:val="000C548A"/>
    <w:rsid w:val="000D03DD"/>
    <w:rsid w:val="000E35E9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462A6"/>
    <w:rsid w:val="0025180E"/>
    <w:rsid w:val="0026373E"/>
    <w:rsid w:val="00271C43"/>
    <w:rsid w:val="0027624E"/>
    <w:rsid w:val="00290728"/>
    <w:rsid w:val="002926AD"/>
    <w:rsid w:val="002978F4"/>
    <w:rsid w:val="002B028D"/>
    <w:rsid w:val="002E6541"/>
    <w:rsid w:val="002F5994"/>
    <w:rsid w:val="00334924"/>
    <w:rsid w:val="0034051A"/>
    <w:rsid w:val="003409BC"/>
    <w:rsid w:val="00357185"/>
    <w:rsid w:val="00383829"/>
    <w:rsid w:val="00394354"/>
    <w:rsid w:val="003D0CFA"/>
    <w:rsid w:val="003F4B29"/>
    <w:rsid w:val="004052FE"/>
    <w:rsid w:val="0042686F"/>
    <w:rsid w:val="004317D8"/>
    <w:rsid w:val="00434183"/>
    <w:rsid w:val="00443869"/>
    <w:rsid w:val="004456CC"/>
    <w:rsid w:val="00447F32"/>
    <w:rsid w:val="00465815"/>
    <w:rsid w:val="0049144C"/>
    <w:rsid w:val="004A51E2"/>
    <w:rsid w:val="004E11DC"/>
    <w:rsid w:val="00525DDD"/>
    <w:rsid w:val="005409AC"/>
    <w:rsid w:val="0055516A"/>
    <w:rsid w:val="0058491B"/>
    <w:rsid w:val="00592EA5"/>
    <w:rsid w:val="005A3170"/>
    <w:rsid w:val="0061632C"/>
    <w:rsid w:val="00677396"/>
    <w:rsid w:val="0069200F"/>
    <w:rsid w:val="0069496E"/>
    <w:rsid w:val="006A441B"/>
    <w:rsid w:val="006A65CB"/>
    <w:rsid w:val="006C3242"/>
    <w:rsid w:val="006C7CC0"/>
    <w:rsid w:val="006E5F73"/>
    <w:rsid w:val="006E6131"/>
    <w:rsid w:val="006F63F7"/>
    <w:rsid w:val="007025C7"/>
    <w:rsid w:val="00706D7A"/>
    <w:rsid w:val="00722F0D"/>
    <w:rsid w:val="007268BB"/>
    <w:rsid w:val="00741F38"/>
    <w:rsid w:val="0074420E"/>
    <w:rsid w:val="00746981"/>
    <w:rsid w:val="00746D66"/>
    <w:rsid w:val="00750709"/>
    <w:rsid w:val="00783E26"/>
    <w:rsid w:val="007A6CA4"/>
    <w:rsid w:val="007C3BC7"/>
    <w:rsid w:val="007C3BCD"/>
    <w:rsid w:val="007C55AB"/>
    <w:rsid w:val="007D4ACF"/>
    <w:rsid w:val="007D65D2"/>
    <w:rsid w:val="007F0787"/>
    <w:rsid w:val="00810B7B"/>
    <w:rsid w:val="0082358A"/>
    <w:rsid w:val="008235CD"/>
    <w:rsid w:val="008245CB"/>
    <w:rsid w:val="008247DE"/>
    <w:rsid w:val="00840B10"/>
    <w:rsid w:val="008428CA"/>
    <w:rsid w:val="008513CB"/>
    <w:rsid w:val="0086160E"/>
    <w:rsid w:val="0087306D"/>
    <w:rsid w:val="00875015"/>
    <w:rsid w:val="008A7F84"/>
    <w:rsid w:val="008C3511"/>
    <w:rsid w:val="008C6D2C"/>
    <w:rsid w:val="008E38E3"/>
    <w:rsid w:val="0091702E"/>
    <w:rsid w:val="00923B0C"/>
    <w:rsid w:val="0094021C"/>
    <w:rsid w:val="00952F86"/>
    <w:rsid w:val="00960ED3"/>
    <w:rsid w:val="0097718D"/>
    <w:rsid w:val="00982B28"/>
    <w:rsid w:val="0099060F"/>
    <w:rsid w:val="009D313F"/>
    <w:rsid w:val="00A06C96"/>
    <w:rsid w:val="00A47A5A"/>
    <w:rsid w:val="00A50ACE"/>
    <w:rsid w:val="00A6683B"/>
    <w:rsid w:val="00A87C7D"/>
    <w:rsid w:val="00A97F94"/>
    <w:rsid w:val="00AA7EA2"/>
    <w:rsid w:val="00AC6086"/>
    <w:rsid w:val="00AC60DA"/>
    <w:rsid w:val="00AE3221"/>
    <w:rsid w:val="00B03099"/>
    <w:rsid w:val="00B05BC8"/>
    <w:rsid w:val="00B05C8D"/>
    <w:rsid w:val="00B279C7"/>
    <w:rsid w:val="00B348B3"/>
    <w:rsid w:val="00B64B47"/>
    <w:rsid w:val="00B70757"/>
    <w:rsid w:val="00BA52FE"/>
    <w:rsid w:val="00BA6207"/>
    <w:rsid w:val="00BC25F4"/>
    <w:rsid w:val="00C002DE"/>
    <w:rsid w:val="00C05B3E"/>
    <w:rsid w:val="00C20652"/>
    <w:rsid w:val="00C53BF8"/>
    <w:rsid w:val="00C66157"/>
    <w:rsid w:val="00C674FE"/>
    <w:rsid w:val="00C67501"/>
    <w:rsid w:val="00C75633"/>
    <w:rsid w:val="00CD2EC7"/>
    <w:rsid w:val="00CD3BFA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2EB2"/>
    <w:rsid w:val="00DC5FB0"/>
    <w:rsid w:val="00DF16DC"/>
    <w:rsid w:val="00DF31CC"/>
    <w:rsid w:val="00E071D0"/>
    <w:rsid w:val="00E1458E"/>
    <w:rsid w:val="00E45211"/>
    <w:rsid w:val="00E473C5"/>
    <w:rsid w:val="00E61781"/>
    <w:rsid w:val="00E64AD3"/>
    <w:rsid w:val="00E74641"/>
    <w:rsid w:val="00E92863"/>
    <w:rsid w:val="00E96244"/>
    <w:rsid w:val="00EB796D"/>
    <w:rsid w:val="00F02CA6"/>
    <w:rsid w:val="00F058DC"/>
    <w:rsid w:val="00F16820"/>
    <w:rsid w:val="00F23E90"/>
    <w:rsid w:val="00F24FC4"/>
    <w:rsid w:val="00F2676C"/>
    <w:rsid w:val="00F268A4"/>
    <w:rsid w:val="00F32B65"/>
    <w:rsid w:val="00F84366"/>
    <w:rsid w:val="00F85089"/>
    <w:rsid w:val="00F974C5"/>
    <w:rsid w:val="00FA1CD4"/>
    <w:rsid w:val="00FA56BA"/>
    <w:rsid w:val="00FA6F46"/>
    <w:rsid w:val="00FC09E8"/>
    <w:rsid w:val="00FC29B4"/>
    <w:rsid w:val="00FC5CC9"/>
    <w:rsid w:val="00FD646E"/>
    <w:rsid w:val="00FE1CF4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4DA45"/>
  <w15:chartTrackingRefBased/>
  <w15:docId w15:val="{F777A180-55C0-4278-9EC9-AC2EE5E9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text">
    <w:name w:val="Table_text"/>
    <w:basedOn w:val="Normal"/>
    <w:link w:val="TabletextChar"/>
    <w:uiPriority w:val="99"/>
    <w:rsid w:val="00E071D0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E071D0"/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nnexNoTitle">
    <w:name w:val="Annex_No Title"/>
    <w:basedOn w:val="Annextitle"/>
    <w:qFormat/>
    <w:rsid w:val="00B279C7"/>
  </w:style>
  <w:style w:type="character" w:styleId="UnresolvedMention">
    <w:name w:val="Unresolved Mention"/>
    <w:basedOn w:val="DefaultParagraphFont"/>
    <w:uiPriority w:val="99"/>
    <w:semiHidden/>
    <w:unhideWhenUsed/>
    <w:rsid w:val="00A87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D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4-C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ar/ITU-T/ipr/Pages/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C/a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2709-0D1F-4F3D-925C-B79ACC87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Author</cp:lastModifiedBy>
  <cp:revision>4</cp:revision>
  <dcterms:created xsi:type="dcterms:W3CDTF">2025-12-15T15:44:00Z</dcterms:created>
  <dcterms:modified xsi:type="dcterms:W3CDTF">2025-12-16T07:38:00Z</dcterms:modified>
</cp:coreProperties>
</file>