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735682" w14:paraId="29ADE214" w14:textId="77777777" w:rsidTr="00153E23">
        <w:tc>
          <w:tcPr>
            <w:tcW w:w="5000" w:type="pct"/>
            <w:gridSpan w:val="3"/>
          </w:tcPr>
          <w:p w14:paraId="2D7F2FA2" w14:textId="77777777" w:rsidR="000F7BBE" w:rsidRPr="00735682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735682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735682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735682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735682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735682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735682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735682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035331E5" w14:textId="77777777" w:rsidR="000F7BBE" w:rsidRPr="00735682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735682" w14:paraId="138182B3" w14:textId="77777777" w:rsidTr="00153E23">
        <w:tc>
          <w:tcPr>
            <w:tcW w:w="2707" w:type="pct"/>
            <w:gridSpan w:val="2"/>
          </w:tcPr>
          <w:p w14:paraId="7EEB1831" w14:textId="387D2131" w:rsidR="000F7BBE" w:rsidRPr="00735682" w:rsidRDefault="000F7BBE" w:rsidP="00B42DEB">
            <w:pPr>
              <w:spacing w:before="80" w:line="300" w:lineRule="exact"/>
              <w:jc w:val="left"/>
              <w:rPr>
                <w:position w:val="2"/>
                <w:rtl/>
                <w:lang w:bidi="ar-SY"/>
              </w:rPr>
            </w:pPr>
            <w:r w:rsidRPr="00735682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  <w:r w:rsidR="00B42DEB">
              <w:rPr>
                <w:position w:val="2"/>
                <w:rtl/>
                <w:lang w:bidi="ar-EG"/>
              </w:rPr>
              <w:br/>
            </w:r>
            <w:r w:rsidRPr="00735682">
              <w:rPr>
                <w:b/>
                <w:bCs/>
                <w:position w:val="2"/>
                <w:lang w:val="en-GB" w:bidi="ar-EG"/>
              </w:rPr>
              <w:t>CACE/</w:t>
            </w:r>
            <w:r w:rsidR="00735682">
              <w:rPr>
                <w:b/>
                <w:bCs/>
                <w:position w:val="2"/>
                <w:lang w:bidi="ar-EG"/>
              </w:rPr>
              <w:t>1165</w:t>
            </w:r>
          </w:p>
        </w:tc>
        <w:tc>
          <w:tcPr>
            <w:tcW w:w="2293" w:type="pct"/>
          </w:tcPr>
          <w:p w14:paraId="1C0C00A5" w14:textId="73F090E0" w:rsidR="000F7BBE" w:rsidRPr="00735682" w:rsidRDefault="00735682" w:rsidP="00F16820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>
              <w:rPr>
                <w:position w:val="2"/>
                <w:lang w:val="fr-FR" w:bidi="ar-EG"/>
              </w:rPr>
              <w:t>1</w:t>
            </w:r>
            <w:r w:rsidR="00CC4BE3">
              <w:rPr>
                <w:position w:val="2"/>
                <w:lang w:val="fr-FR" w:bidi="ar-EG"/>
              </w:rPr>
              <w:t>6</w:t>
            </w:r>
            <w:r w:rsidR="00F16820" w:rsidRPr="00735682">
              <w:rPr>
                <w:rFonts w:hint="cs"/>
                <w:position w:val="2"/>
                <w:rtl/>
                <w:lang w:bidi="ar-SY"/>
              </w:rPr>
              <w:t xml:space="preserve"> </w:t>
            </w:r>
            <w:r>
              <w:rPr>
                <w:rFonts w:hint="cs"/>
                <w:position w:val="2"/>
                <w:rtl/>
                <w:lang w:bidi="ar-SY"/>
              </w:rPr>
              <w:t>ديسمبر</w:t>
            </w:r>
            <w:r w:rsidR="000F7BBE" w:rsidRPr="00735682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014A33" w:rsidRPr="00735682">
              <w:rPr>
                <w:position w:val="2"/>
                <w:lang w:bidi="ar-EG"/>
              </w:rPr>
              <w:t>2025</w:t>
            </w:r>
          </w:p>
        </w:tc>
      </w:tr>
      <w:tr w:rsidR="000F7BBE" w:rsidRPr="00735682" w14:paraId="442DEDD5" w14:textId="77777777" w:rsidTr="00153E23">
        <w:tc>
          <w:tcPr>
            <w:tcW w:w="5000" w:type="pct"/>
            <w:gridSpan w:val="3"/>
          </w:tcPr>
          <w:p w14:paraId="6A7FCED0" w14:textId="77777777" w:rsidR="000F7BBE" w:rsidRPr="00735682" w:rsidRDefault="000F7BBE" w:rsidP="008F2099">
            <w:pPr>
              <w:spacing w:before="0" w:after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735682" w14:paraId="65539CD9" w14:textId="77777777" w:rsidTr="00153E23">
        <w:tc>
          <w:tcPr>
            <w:tcW w:w="5000" w:type="pct"/>
            <w:gridSpan w:val="3"/>
          </w:tcPr>
          <w:p w14:paraId="3109F047" w14:textId="77777777" w:rsidR="000F7BBE" w:rsidRPr="00735682" w:rsidRDefault="000F7BBE" w:rsidP="008F2099">
            <w:pPr>
              <w:spacing w:before="0" w:after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735682" w14:paraId="63F9D38F" w14:textId="77777777" w:rsidTr="00153E23">
        <w:tc>
          <w:tcPr>
            <w:tcW w:w="5000" w:type="pct"/>
            <w:gridSpan w:val="3"/>
          </w:tcPr>
          <w:p w14:paraId="53B50E7E" w14:textId="64C8C88F" w:rsidR="000F7BBE" w:rsidRPr="00735682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735682">
              <w:rPr>
                <w:b/>
                <w:bCs/>
                <w:position w:val="2"/>
                <w:rtl/>
              </w:rPr>
              <w:t>إلى إدارات الدول الأعضاء في الاتحاد</w:t>
            </w:r>
            <w:r w:rsidR="00B1143A" w:rsidRPr="00735682">
              <w:rPr>
                <w:rFonts w:hint="cs"/>
                <w:b/>
                <w:bCs/>
                <w:position w:val="2"/>
                <w:rtl/>
              </w:rPr>
              <w:t xml:space="preserve"> الدولي للاتصالات</w:t>
            </w:r>
            <w:r w:rsidRPr="00735682">
              <w:rPr>
                <w:b/>
                <w:bCs/>
                <w:position w:val="2"/>
                <w:rtl/>
              </w:rPr>
              <w:t xml:space="preserve"> وأعضاء قطاع الاتصالات الراديوية</w:t>
            </w:r>
            <w:r w:rsidRPr="00735682">
              <w:rPr>
                <w:rFonts w:hint="cs"/>
                <w:b/>
                <w:bCs/>
                <w:position w:val="2"/>
                <w:rtl/>
              </w:rPr>
              <w:t xml:space="preserve"> و</w:t>
            </w:r>
            <w:r w:rsidRPr="00735682">
              <w:rPr>
                <w:b/>
                <w:bCs/>
                <w:position w:val="2"/>
                <w:rtl/>
              </w:rPr>
              <w:t>المنتسبين إليه</w:t>
            </w:r>
            <w:r w:rsidRPr="00735682">
              <w:rPr>
                <w:b/>
                <w:bCs/>
                <w:position w:val="2"/>
                <w:rtl/>
              </w:rPr>
              <w:br/>
            </w:r>
            <w:r w:rsidRPr="00735682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735682">
              <w:rPr>
                <w:b/>
                <w:bCs/>
                <w:position w:val="2"/>
                <w:lang w:val="en-GB" w:bidi="ar-EG"/>
              </w:rPr>
              <w:t>5</w:t>
            </w:r>
            <w:r w:rsidRPr="00735682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735682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735682" w14:paraId="6D04CB4C" w14:textId="77777777" w:rsidTr="00153E23">
        <w:tc>
          <w:tcPr>
            <w:tcW w:w="5000" w:type="pct"/>
            <w:gridSpan w:val="3"/>
          </w:tcPr>
          <w:p w14:paraId="02360259" w14:textId="77777777" w:rsidR="000F7BBE" w:rsidRPr="00735682" w:rsidRDefault="000F7BBE" w:rsidP="008F2099">
            <w:pPr>
              <w:spacing w:before="0" w:after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735682" w14:paraId="2914918C" w14:textId="77777777" w:rsidTr="00153E23">
        <w:tc>
          <w:tcPr>
            <w:tcW w:w="5000" w:type="pct"/>
            <w:gridSpan w:val="3"/>
          </w:tcPr>
          <w:p w14:paraId="6BF820F0" w14:textId="77777777" w:rsidR="000F7BBE" w:rsidRPr="00735682" w:rsidRDefault="000F7BBE" w:rsidP="008F2099">
            <w:pPr>
              <w:spacing w:before="0" w:after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735682" w14:paraId="1E4C4AA1" w14:textId="77777777" w:rsidTr="00153E23">
        <w:trPr>
          <w:trHeight w:val="452"/>
        </w:trPr>
        <w:tc>
          <w:tcPr>
            <w:tcW w:w="699" w:type="pct"/>
          </w:tcPr>
          <w:p w14:paraId="1520732A" w14:textId="77777777" w:rsidR="000F7BBE" w:rsidRPr="00735682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735682">
              <w:rPr>
                <w:position w:val="2"/>
                <w:rtl/>
              </w:rPr>
              <w:t>الموضوع</w:t>
            </w:r>
            <w:r w:rsidRPr="00735682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</w:tcPr>
          <w:p w14:paraId="7B860E93" w14:textId="77777777" w:rsidR="00735682" w:rsidRPr="00735682" w:rsidRDefault="00735682" w:rsidP="00735682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lang w:bidi="ar-EG"/>
              </w:rPr>
            </w:pPr>
            <w:r w:rsidRPr="00735682">
              <w:rPr>
                <w:b/>
                <w:bCs/>
                <w:position w:val="2"/>
                <w:rtl/>
                <w:lang w:bidi="ar-EG"/>
              </w:rPr>
              <w:t>لجنة الدراسات 5 للاتصالات الراديوية (خدمات الأرض)</w:t>
            </w:r>
          </w:p>
          <w:p w14:paraId="18EEDACB" w14:textId="662849A1" w:rsidR="000F7BBE" w:rsidRPr="00735682" w:rsidRDefault="00735682" w:rsidP="00735682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lang w:bidi="ar-EG"/>
              </w:rPr>
            </w:pPr>
            <w:r>
              <w:rPr>
                <w:b/>
                <w:bCs/>
                <w:position w:val="2"/>
                <w:rtl/>
                <w:lang w:bidi="ar-EG"/>
              </w:rPr>
              <w:t>‒</w:t>
            </w:r>
            <w:r w:rsidRPr="00735682">
              <w:rPr>
                <w:b/>
                <w:bCs/>
                <w:position w:val="2"/>
                <w:rtl/>
                <w:lang w:bidi="ar-EG"/>
              </w:rPr>
              <w:tab/>
              <w:t>اقتراح اعتماد مشروعي توصيتين جديدتين ومشروع مراجعة توصية لقطاع الاتصالات الراديوية عن طريق المراسلة</w:t>
            </w:r>
          </w:p>
        </w:tc>
      </w:tr>
      <w:tr w:rsidR="00FC09E8" w:rsidRPr="00735682" w14:paraId="08DEC7F3" w14:textId="77777777" w:rsidTr="00153E23">
        <w:trPr>
          <w:trHeight w:val="452"/>
        </w:trPr>
        <w:tc>
          <w:tcPr>
            <w:tcW w:w="699" w:type="pct"/>
          </w:tcPr>
          <w:p w14:paraId="6FD7D4C2" w14:textId="77777777" w:rsidR="00FC09E8" w:rsidRPr="00735682" w:rsidRDefault="00FC09E8" w:rsidP="000F7BBE">
            <w:pPr>
              <w:spacing w:before="80" w:after="60" w:line="300" w:lineRule="exact"/>
              <w:rPr>
                <w:position w:val="2"/>
                <w:rtl/>
              </w:rPr>
            </w:pPr>
          </w:p>
        </w:tc>
        <w:tc>
          <w:tcPr>
            <w:tcW w:w="4301" w:type="pct"/>
            <w:gridSpan w:val="2"/>
          </w:tcPr>
          <w:p w14:paraId="460A0140" w14:textId="77777777" w:rsidR="00FC09E8" w:rsidRPr="00735682" w:rsidRDefault="00FC09E8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</w:p>
        </w:tc>
      </w:tr>
    </w:tbl>
    <w:p w14:paraId="50631E07" w14:textId="798E59DB" w:rsidR="00735682" w:rsidRDefault="00735682" w:rsidP="00735682">
      <w:pPr>
        <w:spacing w:before="360"/>
        <w:rPr>
          <w:rtl/>
          <w:lang w:bidi="ar-EG"/>
        </w:rPr>
      </w:pPr>
      <w:r>
        <w:rPr>
          <w:rtl/>
          <w:lang w:bidi="ar-EG"/>
        </w:rPr>
        <w:t>قررت لجنة الدراسات 5 للاتصالات الراديوية في اجتماعها المنعقد في يوم</w:t>
      </w:r>
      <w:r w:rsidR="00282447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ي 1 و2 ديسمبر 2025، أن تلتمس اعتماد مشروعي توصيتين جديدتين ومشروع مراجعة توصية واحدة لقطاع الاتصالات الراديوية، وفقاً للفقرة </w:t>
      </w:r>
      <w:r>
        <w:rPr>
          <w:lang w:bidi="ar-EG"/>
        </w:rPr>
        <w:t>3.2.2.6.2A</w:t>
      </w:r>
      <w:r>
        <w:rPr>
          <w:rtl/>
          <w:lang w:bidi="ar-EG"/>
        </w:rPr>
        <w:t xml:space="preserve"> من القرار </w:t>
      </w:r>
      <w:r>
        <w:rPr>
          <w:lang w:bidi="ar-EG"/>
        </w:rPr>
        <w:t>ITU-R 1-9</w:t>
      </w:r>
      <w:r>
        <w:rPr>
          <w:rtl/>
          <w:lang w:bidi="ar-EG"/>
        </w:rPr>
        <w:t xml:space="preserve"> (اعتماد عن طريق المراسلة من جانب لجنة الدراسات). ويرد في الملحق بهذه الرسالة عناوين مشاريع التوصيات وملخصاتها</w:t>
      </w:r>
      <w:r>
        <w:rPr>
          <w:rFonts w:hint="cs"/>
          <w:rtl/>
          <w:lang w:bidi="ar-EG"/>
        </w:rPr>
        <w:t>.</w:t>
      </w:r>
    </w:p>
    <w:p w14:paraId="0583D587" w14:textId="316FBFF5" w:rsidR="00735682" w:rsidRDefault="00735682" w:rsidP="00735682">
      <w:pPr>
        <w:rPr>
          <w:rtl/>
          <w:lang w:bidi="ar-EG"/>
        </w:rPr>
      </w:pPr>
      <w:r>
        <w:rPr>
          <w:rtl/>
          <w:lang w:bidi="ar-EG"/>
        </w:rPr>
        <w:t xml:space="preserve">وتمتد فترة النظر لمدة شهرين تنتهي في </w:t>
      </w:r>
      <w:r w:rsidR="008F2099">
        <w:rPr>
          <w:u w:val="single"/>
          <w:lang w:val="en-GB" w:bidi="ar-EG"/>
        </w:rPr>
        <w:t>16</w:t>
      </w:r>
      <w:r w:rsidRPr="00735682">
        <w:rPr>
          <w:u w:val="single"/>
          <w:rtl/>
          <w:lang w:bidi="ar-EG"/>
        </w:rPr>
        <w:t xml:space="preserve"> فبراير 2026</w:t>
      </w:r>
      <w:r>
        <w:rPr>
          <w:rtl/>
          <w:lang w:bidi="ar-EG"/>
        </w:rPr>
        <w:t xml:space="preserve">. وإذا لم ترد أي اعتراضات من الدول الأعضاء خلال هذه الفترة، عندئذٍ يشرع في إجراء الموافقة بالتشاور المنصوص عليه الفقرة </w:t>
      </w:r>
      <w:r>
        <w:rPr>
          <w:lang w:bidi="ar-EG"/>
        </w:rPr>
        <w:t>3.2.6.2A</w:t>
      </w:r>
      <w:r>
        <w:rPr>
          <w:rtl/>
          <w:lang w:bidi="ar-EG"/>
        </w:rPr>
        <w:t xml:space="preserve"> من القرار </w:t>
      </w:r>
      <w:r>
        <w:rPr>
          <w:lang w:bidi="ar-EG"/>
        </w:rPr>
        <w:t>ITU-R 1-9</w:t>
      </w:r>
      <w:r>
        <w:rPr>
          <w:rFonts w:hint="cs"/>
          <w:rtl/>
          <w:lang w:bidi="ar-EG"/>
        </w:rPr>
        <w:t>.</w:t>
      </w:r>
    </w:p>
    <w:p w14:paraId="2DA34D7F" w14:textId="3D6CF991" w:rsidR="00735682" w:rsidRDefault="00735682" w:rsidP="00735682">
      <w:pPr>
        <w:rPr>
          <w:rtl/>
          <w:lang w:bidi="ar-EG"/>
        </w:rPr>
      </w:pPr>
      <w:r>
        <w:rPr>
          <w:rtl/>
          <w:lang w:bidi="ar-EG"/>
        </w:rPr>
        <w:t>وي</w:t>
      </w:r>
      <w:r w:rsidR="00773B18">
        <w:rPr>
          <w:rFonts w:hint="cs"/>
          <w:rtl/>
          <w:lang w:bidi="ar-EG"/>
        </w:rPr>
        <w:t>ُ</w:t>
      </w:r>
      <w:r>
        <w:rPr>
          <w:rtl/>
          <w:lang w:bidi="ar-EG"/>
        </w:rPr>
        <w:t>رجى من أي دولة عضو تعترض على اعتماد مشاريع التوصيات أن تخبر المدير ورئيس لجنة الدراسات بأسباب اعتراضها.</w:t>
      </w:r>
    </w:p>
    <w:p w14:paraId="65A964A1" w14:textId="5562769B" w:rsidR="00F16820" w:rsidRPr="00735682" w:rsidRDefault="00735682" w:rsidP="00735682">
      <w:pPr>
        <w:rPr>
          <w:rtl/>
        </w:rPr>
      </w:pPr>
      <w:r>
        <w:rPr>
          <w:rtl/>
          <w:lang w:bidi="ar-EG"/>
        </w:rPr>
        <w:t>وي</w:t>
      </w:r>
      <w:r w:rsidR="00773B18">
        <w:rPr>
          <w:rFonts w:hint="cs"/>
          <w:rtl/>
          <w:lang w:bidi="ar-EG"/>
        </w:rPr>
        <w:t>ُ</w:t>
      </w:r>
      <w:r>
        <w:rPr>
          <w:rtl/>
          <w:lang w:bidi="ar-EG"/>
        </w:rPr>
        <w:t>رجى من أي منظمة عضو في الاتحاد تعلم بوجود براءة اختراع لديها أو لدى غيرها تغطي كلياً أو جزئياً عناصر مشاريع التوصيات</w:t>
      </w:r>
      <w:r>
        <w:rPr>
          <w:rFonts w:hint="cs"/>
          <w:rtl/>
          <w:lang w:bidi="ar-EG"/>
        </w:rPr>
        <w:t> </w:t>
      </w:r>
      <w:r>
        <w:rPr>
          <w:rtl/>
          <w:lang w:bidi="ar-EG"/>
        </w:rPr>
        <w:t>المذكورة في هذه الرسالة أن تبلغ الأمانة بهذه المعلومات بأسرع ما يمكن. ويمكن الاطلاع على السياسة المشتركة للبراءات</w:t>
      </w:r>
      <w:r>
        <w:rPr>
          <w:rFonts w:hint="cs"/>
          <w:rtl/>
          <w:lang w:bidi="ar-EG"/>
        </w:rPr>
        <w:t> </w:t>
      </w:r>
      <w:r>
        <w:rPr>
          <w:lang w:bidi="ar-EG"/>
        </w:rPr>
        <w:t>ITU</w:t>
      </w:r>
      <w:r>
        <w:rPr>
          <w:lang w:bidi="ar-EG"/>
        </w:rPr>
        <w:noBreakHyphen/>
        <w:t>T/ITU-R/ISO/IEC</w:t>
      </w:r>
      <w:r>
        <w:rPr>
          <w:rtl/>
          <w:lang w:bidi="ar-EG"/>
        </w:rPr>
        <w:t xml:space="preserve"> في الموقع الإلكتروني: </w:t>
      </w:r>
      <w:hyperlink r:id="rId8" w:history="1">
        <w:r>
          <w:rPr>
            <w:rStyle w:val="Hyperlink"/>
            <w:lang w:bidi="ar-EG"/>
          </w:rPr>
          <w:t>http://www.itu.int/en/ITU-T/ipr/Pages/policy.aspx</w:t>
        </w:r>
      </w:hyperlink>
      <w:r>
        <w:rPr>
          <w:rFonts w:hint="cs"/>
          <w:rtl/>
        </w:rPr>
        <w:t>.</w:t>
      </w:r>
    </w:p>
    <w:p w14:paraId="760C896B" w14:textId="77777777" w:rsidR="00F16820" w:rsidRDefault="00F16820" w:rsidP="008F2099">
      <w:pPr>
        <w:spacing w:before="1200"/>
        <w:jc w:val="left"/>
      </w:pPr>
      <w:r w:rsidRPr="00735682">
        <w:rPr>
          <w:rtl/>
        </w:rPr>
        <w:t>ماريو مانيفيتش</w:t>
      </w:r>
      <w:r w:rsidRPr="00735682">
        <w:rPr>
          <w:rtl/>
        </w:rPr>
        <w:br/>
      </w:r>
      <w:r w:rsidRPr="00735682">
        <w:rPr>
          <w:rFonts w:hint="cs"/>
          <w:rtl/>
        </w:rPr>
        <w:t>المدير</w:t>
      </w:r>
    </w:p>
    <w:p w14:paraId="72380D32" w14:textId="12C7B514" w:rsidR="00735682" w:rsidRDefault="00735682" w:rsidP="00735682">
      <w:pPr>
        <w:spacing w:before="720"/>
        <w:jc w:val="left"/>
        <w:rPr>
          <w:rtl/>
        </w:rPr>
      </w:pPr>
      <w:r w:rsidRPr="00735682">
        <w:rPr>
          <w:b/>
          <w:bCs/>
          <w:rtl/>
        </w:rPr>
        <w:t>الملحق</w:t>
      </w:r>
      <w:r w:rsidRPr="00735682">
        <w:rPr>
          <w:rFonts w:hint="cs"/>
          <w:b/>
          <w:bCs/>
          <w:rtl/>
        </w:rPr>
        <w:t>:</w:t>
      </w:r>
      <w:r>
        <w:rPr>
          <w:rtl/>
        </w:rPr>
        <w:tab/>
        <w:t>عناوين مشاريع التوصيات وملخصاتها</w:t>
      </w:r>
    </w:p>
    <w:p w14:paraId="6B5F3C16" w14:textId="5FC98079" w:rsidR="00735682" w:rsidRDefault="00735682" w:rsidP="00735682">
      <w:pPr>
        <w:spacing w:before="480"/>
        <w:jc w:val="left"/>
        <w:rPr>
          <w:rtl/>
        </w:rPr>
      </w:pPr>
      <w:r w:rsidRPr="00735682">
        <w:rPr>
          <w:b/>
          <w:bCs/>
          <w:rtl/>
        </w:rPr>
        <w:t>الوثائق</w:t>
      </w:r>
      <w:r w:rsidRPr="00735682">
        <w:rPr>
          <w:rFonts w:hint="cs"/>
          <w:b/>
          <w:bCs/>
          <w:rtl/>
        </w:rPr>
        <w:t>:</w:t>
      </w:r>
      <w:r>
        <w:rPr>
          <w:rtl/>
        </w:rPr>
        <w:tab/>
      </w:r>
      <w:r>
        <w:t>5/85(Rev.1)</w:t>
      </w:r>
      <w:r>
        <w:rPr>
          <w:rtl/>
        </w:rPr>
        <w:t xml:space="preserve"> و</w:t>
      </w:r>
      <w:r>
        <w:t>5/86(Rev.1)</w:t>
      </w:r>
      <w:r>
        <w:rPr>
          <w:rtl/>
        </w:rPr>
        <w:t xml:space="preserve"> و</w:t>
      </w:r>
      <w:r>
        <w:t>5/106(Rev.1)</w:t>
      </w:r>
    </w:p>
    <w:p w14:paraId="5A00D437" w14:textId="70AFC5BC" w:rsidR="00FC09E8" w:rsidRPr="00735682" w:rsidRDefault="00735682" w:rsidP="00735682">
      <w:pPr>
        <w:rPr>
          <w:rtl/>
        </w:rPr>
      </w:pPr>
      <w:r>
        <w:rPr>
          <w:rtl/>
        </w:rPr>
        <w:t>تتاح هذه الوثائق في نسق إلكتروني في العنوان التالي</w:t>
      </w:r>
      <w:r>
        <w:rPr>
          <w:rFonts w:hint="cs"/>
          <w:rtl/>
        </w:rPr>
        <w:t>:</w:t>
      </w:r>
      <w:r>
        <w:rPr>
          <w:rtl/>
        </w:rPr>
        <w:tab/>
      </w:r>
      <w:r>
        <w:rPr>
          <w:rtl/>
        </w:rPr>
        <w:br/>
      </w:r>
      <w:hyperlink r:id="rId9" w:history="1">
        <w:r w:rsidRPr="00D23559">
          <w:rPr>
            <w:rStyle w:val="Hyperlink"/>
          </w:rPr>
          <w:t>https://www.itu.int/md/R23-SG05-C/en</w:t>
        </w:r>
      </w:hyperlink>
      <w:r w:rsidR="00FC09E8" w:rsidRPr="00735682">
        <w:rPr>
          <w:rtl/>
        </w:rPr>
        <w:br w:type="page"/>
      </w:r>
    </w:p>
    <w:p w14:paraId="6EE34464" w14:textId="3AE4CEB9" w:rsidR="00735682" w:rsidRPr="00735682" w:rsidRDefault="00735682" w:rsidP="00735682">
      <w:pPr>
        <w:pStyle w:val="Annextitle"/>
      </w:pPr>
      <w:r w:rsidRPr="00735682">
        <w:rPr>
          <w:rtl/>
        </w:rPr>
        <w:lastRenderedPageBreak/>
        <w:t>الملحق</w:t>
      </w:r>
      <w:r>
        <w:rPr>
          <w:rtl/>
        </w:rPr>
        <w:br/>
      </w:r>
      <w:r>
        <w:br/>
      </w:r>
      <w:r w:rsidRPr="00735682">
        <w:rPr>
          <w:rtl/>
        </w:rPr>
        <w:t>عناوين مشاريع التوصيات وملخصاتها</w:t>
      </w:r>
    </w:p>
    <w:p w14:paraId="1FC3A2BF" w14:textId="1A8DB739" w:rsidR="00735682" w:rsidRPr="00735682" w:rsidRDefault="00735682" w:rsidP="00735682">
      <w:pPr>
        <w:tabs>
          <w:tab w:val="clear" w:pos="794"/>
          <w:tab w:val="right" w:pos="9639"/>
        </w:tabs>
        <w:spacing w:before="480"/>
        <w:rPr>
          <w:lang w:val="ar-SA" w:bidi="ar-EG"/>
        </w:rPr>
      </w:pPr>
      <w:r w:rsidRPr="00735682">
        <w:rPr>
          <w:u w:val="single"/>
          <w:rtl/>
        </w:rPr>
        <w:t xml:space="preserve">مشروع التوصية الجديدة </w:t>
      </w:r>
      <w:r w:rsidRPr="00735682">
        <w:rPr>
          <w:u w:val="single"/>
          <w:lang w:val="en-GB" w:bidi="ar-EG"/>
        </w:rPr>
        <w:t xml:space="preserve">ITU-R </w:t>
      </w:r>
      <w:r w:rsidRPr="00735682">
        <w:rPr>
          <w:u w:val="single"/>
          <w:lang w:val="fr-CH" w:bidi="ar-EG"/>
        </w:rPr>
        <w:t>M.</w:t>
      </w:r>
      <w:r w:rsidR="008F71F9">
        <w:rPr>
          <w:u w:val="single"/>
          <w:lang w:val="fr-CH" w:bidi="ar-EG"/>
        </w:rPr>
        <w:t>[</w:t>
      </w:r>
      <w:proofErr w:type="spellStart"/>
      <w:r w:rsidR="008F71F9">
        <w:rPr>
          <w:u w:val="single"/>
          <w:lang w:val="fr-CH" w:bidi="ar-EG"/>
        </w:rPr>
        <w:t>IMT-2020.UNWANT.BS</w:t>
      </w:r>
      <w:proofErr w:type="spellEnd"/>
      <w:r w:rsidR="008F71F9">
        <w:rPr>
          <w:u w:val="single"/>
          <w:lang w:val="fr-CH" w:bidi="ar-EG"/>
        </w:rPr>
        <w:t>]</w:t>
      </w:r>
      <w:r w:rsidRPr="00735682">
        <w:rPr>
          <w:rtl/>
        </w:rPr>
        <w:tab/>
        <w:t xml:space="preserve">الوثيقة </w:t>
      </w:r>
      <w:r w:rsidRPr="00735682">
        <w:rPr>
          <w:lang w:val="fr-CH" w:bidi="ar-EG"/>
        </w:rPr>
        <w:t>5/85(</w:t>
      </w:r>
      <w:proofErr w:type="spellStart"/>
      <w:r w:rsidRPr="00735682">
        <w:rPr>
          <w:lang w:val="fr-CH" w:bidi="ar-EG"/>
        </w:rPr>
        <w:t>Rev.1</w:t>
      </w:r>
      <w:proofErr w:type="spellEnd"/>
      <w:r w:rsidRPr="00735682">
        <w:rPr>
          <w:lang w:val="fr-CH" w:bidi="ar-EG"/>
        </w:rPr>
        <w:t>)</w:t>
      </w:r>
    </w:p>
    <w:p w14:paraId="2F473AF3" w14:textId="3B824899" w:rsidR="00735682" w:rsidRPr="00735682" w:rsidRDefault="00735682" w:rsidP="00282447">
      <w:pPr>
        <w:pStyle w:val="Rectitle"/>
        <w:spacing w:before="240" w:after="240"/>
        <w:rPr>
          <w:lang w:val="ar-SA" w:bidi="ar-EG"/>
        </w:rPr>
      </w:pPr>
      <w:r w:rsidRPr="00735682">
        <w:rPr>
          <w:rtl/>
        </w:rPr>
        <w:t>الخصائص العامة للبث غير المرغوب فيه من محطات القاعدة التي تستعمل</w:t>
      </w:r>
      <w:r w:rsidR="009547CF">
        <w:rPr>
          <w:rtl/>
        </w:rPr>
        <w:br/>
      </w:r>
      <w:r w:rsidRPr="00735682">
        <w:rPr>
          <w:rtl/>
        </w:rPr>
        <w:t>السطوح البينية الراديوية للأرض للاتصالات المتنقلة الدولية-2020</w:t>
      </w:r>
    </w:p>
    <w:p w14:paraId="5AAD53A4" w14:textId="229BFDC0" w:rsidR="00735682" w:rsidRPr="00735682" w:rsidRDefault="00735682" w:rsidP="00735682">
      <w:pPr>
        <w:rPr>
          <w:lang w:val="ar-SA" w:bidi="ar-EG"/>
        </w:rPr>
      </w:pPr>
      <w:r w:rsidRPr="00735682">
        <w:rPr>
          <w:rtl/>
        </w:rPr>
        <w:t>تتناول هذه التوصية خصائص البث غير المرغوب فيه من محطات القاعدة التي تستعمل السطوح البينية الراديوية للمكون الأرضي للاتصالات المتنقلة الدولية-</w:t>
      </w:r>
      <w:r w:rsidRPr="00735682">
        <w:rPr>
          <w:lang w:val="fr-CH" w:bidi="ar-EG"/>
        </w:rPr>
        <w:t>2020</w:t>
      </w:r>
      <w:r w:rsidRPr="00735682">
        <w:rPr>
          <w:rtl/>
        </w:rPr>
        <w:t xml:space="preserve"> والتي تعمل على ترددات ضمن النطاقات المحددة للاتصالات المتنقلة الدولية، استنادا</w:t>
      </w:r>
      <w:r w:rsidR="00773B18">
        <w:rPr>
          <w:rFonts w:hint="cs"/>
          <w:rtl/>
        </w:rPr>
        <w:t>ً</w:t>
      </w:r>
      <w:r w:rsidRPr="00735682">
        <w:rPr>
          <w:rtl/>
        </w:rPr>
        <w:t xml:space="preserve"> إلى المادة المقدمة إلى الاتحاد من منظمات خارجية</w:t>
      </w:r>
      <w:r>
        <w:rPr>
          <w:rFonts w:hint="cs"/>
          <w:rtl/>
        </w:rPr>
        <w:t>.</w:t>
      </w:r>
    </w:p>
    <w:p w14:paraId="466EB2D7" w14:textId="77B03770" w:rsidR="00735682" w:rsidRPr="00735682" w:rsidRDefault="00735682" w:rsidP="004314BE">
      <w:pPr>
        <w:rPr>
          <w:lang w:val="ar-SA" w:bidi="ar-EG"/>
        </w:rPr>
      </w:pPr>
      <w:r w:rsidRPr="00735682">
        <w:rPr>
          <w:rtl/>
        </w:rPr>
        <w:t>ويمكن للإدارات أن تستخدم خصائص البث هذه لضمان التوافق الداخلي بين شبكات الاتصالات المتنقلة الدولية-</w:t>
      </w:r>
      <w:r w:rsidRPr="00735682">
        <w:rPr>
          <w:lang w:val="en-GB" w:bidi="ar-EG"/>
        </w:rPr>
        <w:t>2020</w:t>
      </w:r>
      <w:r w:rsidRPr="00735682">
        <w:rPr>
          <w:rtl/>
        </w:rPr>
        <w:t>، شريطة الامتثال للوائح الراديو</w:t>
      </w:r>
      <w:r>
        <w:rPr>
          <w:rFonts w:hint="cs"/>
          <w:rtl/>
        </w:rPr>
        <w:t>.</w:t>
      </w:r>
    </w:p>
    <w:p w14:paraId="1FCFAA0A" w14:textId="5C714E77" w:rsidR="00735682" w:rsidRPr="00735682" w:rsidRDefault="00735682" w:rsidP="00735682">
      <w:pPr>
        <w:tabs>
          <w:tab w:val="right" w:pos="9639"/>
        </w:tabs>
        <w:spacing w:before="480"/>
        <w:rPr>
          <w:lang w:val="ar-SA" w:bidi="ar-EG"/>
        </w:rPr>
      </w:pPr>
      <w:r w:rsidRPr="00735682">
        <w:rPr>
          <w:u w:val="single"/>
          <w:rtl/>
        </w:rPr>
        <w:t xml:space="preserve">مشروع التوصية الجديدة </w:t>
      </w:r>
      <w:r w:rsidRPr="00735682">
        <w:rPr>
          <w:u w:val="single"/>
          <w:lang w:val="en-GB" w:bidi="ar-EG"/>
        </w:rPr>
        <w:t xml:space="preserve">ITU-R </w:t>
      </w:r>
      <w:r w:rsidRPr="00735682">
        <w:rPr>
          <w:u w:val="single"/>
          <w:lang w:val="fr-CH" w:bidi="ar-EG"/>
        </w:rPr>
        <w:t>M.</w:t>
      </w:r>
      <w:r w:rsidR="008F71F9">
        <w:rPr>
          <w:u w:val="single"/>
          <w:lang w:val="fr-CH" w:bidi="ar-EG"/>
        </w:rPr>
        <w:t>[</w:t>
      </w:r>
      <w:proofErr w:type="spellStart"/>
      <w:r w:rsidR="008F71F9">
        <w:rPr>
          <w:u w:val="single"/>
          <w:lang w:val="fr-CH" w:bidi="ar-EG"/>
        </w:rPr>
        <w:t>IMT-2020.UNWANT.MS</w:t>
      </w:r>
      <w:proofErr w:type="spellEnd"/>
      <w:r w:rsidR="008F71F9">
        <w:rPr>
          <w:u w:val="single"/>
          <w:lang w:val="fr-CH" w:bidi="ar-EG"/>
        </w:rPr>
        <w:t>]</w:t>
      </w:r>
      <w:r w:rsidRPr="00735682">
        <w:rPr>
          <w:rtl/>
        </w:rPr>
        <w:tab/>
        <w:t xml:space="preserve">الوثيقة </w:t>
      </w:r>
      <w:r w:rsidRPr="00735682">
        <w:rPr>
          <w:lang w:val="fr-CH" w:bidi="ar-EG"/>
        </w:rPr>
        <w:t>5/86(</w:t>
      </w:r>
      <w:proofErr w:type="spellStart"/>
      <w:r w:rsidRPr="00735682">
        <w:rPr>
          <w:lang w:val="fr-CH" w:bidi="ar-EG"/>
        </w:rPr>
        <w:t>Rev.1</w:t>
      </w:r>
      <w:proofErr w:type="spellEnd"/>
      <w:r w:rsidRPr="00735682">
        <w:rPr>
          <w:lang w:val="fr-CH" w:bidi="ar-EG"/>
        </w:rPr>
        <w:t>)</w:t>
      </w:r>
    </w:p>
    <w:p w14:paraId="7CBB037E" w14:textId="2C352916" w:rsidR="00735682" w:rsidRPr="00735682" w:rsidRDefault="00735682" w:rsidP="00282447">
      <w:pPr>
        <w:pStyle w:val="Rectitle"/>
        <w:spacing w:before="240" w:after="240"/>
        <w:rPr>
          <w:lang w:val="ar-SA" w:bidi="ar-EG"/>
        </w:rPr>
      </w:pPr>
      <w:r w:rsidRPr="00735682">
        <w:rPr>
          <w:rtl/>
        </w:rPr>
        <w:t>الخصائص العامة للبث غير المرغوب فيه من المحطات المتنقلة</w:t>
      </w:r>
      <w:r w:rsidR="009547CF">
        <w:rPr>
          <w:rFonts w:hint="cs"/>
          <w:rtl/>
        </w:rPr>
        <w:t xml:space="preserve"> </w:t>
      </w:r>
      <w:r w:rsidRPr="00735682">
        <w:rPr>
          <w:rtl/>
        </w:rPr>
        <w:t>التي تستعمل</w:t>
      </w:r>
      <w:r w:rsidR="009547CF">
        <w:rPr>
          <w:rtl/>
        </w:rPr>
        <w:br/>
      </w:r>
      <w:r w:rsidRPr="00735682">
        <w:rPr>
          <w:rtl/>
        </w:rPr>
        <w:t>السطوح البينية الراديوية للأرض للاتصالات المتنقلة الدولية-</w:t>
      </w:r>
      <w:r w:rsidRPr="00735682">
        <w:rPr>
          <w:lang w:val="fr-CH" w:bidi="ar-EG"/>
        </w:rPr>
        <w:t>2020</w:t>
      </w:r>
    </w:p>
    <w:p w14:paraId="2D81EC04" w14:textId="61B5FCD3" w:rsidR="00735682" w:rsidRPr="00735682" w:rsidRDefault="00735682" w:rsidP="00735682">
      <w:pPr>
        <w:rPr>
          <w:lang w:val="ar-SA" w:bidi="ar-EG"/>
        </w:rPr>
      </w:pPr>
      <w:r w:rsidRPr="00735682">
        <w:rPr>
          <w:rtl/>
        </w:rPr>
        <w:t>تقدم هذه التوصية خصائص البث غير المرغوب فيه للمحطات المتنقلة (معدات المستعمل) التي تستعمل السطوح البينية الراديوية للمكون الأرضي للاتصالات المتنقلة الدولية-2020 والتي تعمل على ترددات ضمن النطاقات المحددة للاتصالات المتنقلة الدولية، استنادا</w:t>
      </w:r>
      <w:r w:rsidR="004314BE">
        <w:rPr>
          <w:rFonts w:hint="cs"/>
          <w:rtl/>
        </w:rPr>
        <w:t>ً</w:t>
      </w:r>
      <w:r w:rsidRPr="00735682">
        <w:rPr>
          <w:rtl/>
        </w:rPr>
        <w:t xml:space="preserve"> إلى المادة المقدمة إلى الاتحاد من منظمات خارجية</w:t>
      </w:r>
      <w:r>
        <w:rPr>
          <w:rFonts w:hint="cs"/>
          <w:rtl/>
        </w:rPr>
        <w:t>.</w:t>
      </w:r>
    </w:p>
    <w:p w14:paraId="6C481703" w14:textId="5304BF0D" w:rsidR="00735682" w:rsidRPr="00735682" w:rsidRDefault="00735682" w:rsidP="004314BE">
      <w:pPr>
        <w:rPr>
          <w:lang w:val="ar-SA" w:bidi="ar-EG"/>
        </w:rPr>
      </w:pPr>
      <w:bookmarkStart w:id="0" w:name="_Hlk215817832"/>
      <w:r w:rsidRPr="00735682">
        <w:rPr>
          <w:rtl/>
        </w:rPr>
        <w:t xml:space="preserve">ويمكن للإدارات أن تستخدم خصائص البث هذه لضمان التوافق الداخلي بين شبكات </w:t>
      </w:r>
      <w:r w:rsidR="004314BE" w:rsidRPr="00735682">
        <w:rPr>
          <w:rtl/>
        </w:rPr>
        <w:t>الاتصالات المتنقلة الدولية-2020</w:t>
      </w:r>
      <w:r w:rsidRPr="00735682">
        <w:rPr>
          <w:rtl/>
        </w:rPr>
        <w:t xml:space="preserve"> للأرض، شريطة الامتثال للوائح الراديو</w:t>
      </w:r>
      <w:bookmarkEnd w:id="0"/>
      <w:r>
        <w:rPr>
          <w:rFonts w:hint="cs"/>
          <w:rtl/>
        </w:rPr>
        <w:t>.</w:t>
      </w:r>
    </w:p>
    <w:p w14:paraId="24A7CBD2" w14:textId="68C3B737" w:rsidR="00735682" w:rsidRPr="00735682" w:rsidRDefault="00735682" w:rsidP="00735682">
      <w:pPr>
        <w:rPr>
          <w:lang w:val="ar-SA" w:bidi="ar-EG"/>
        </w:rPr>
      </w:pPr>
      <w:r w:rsidRPr="00735682">
        <w:rPr>
          <w:rtl/>
        </w:rPr>
        <w:t>ويمكن اعتبار هذه الخصائص أساسا</w:t>
      </w:r>
      <w:r w:rsidR="004314BE">
        <w:rPr>
          <w:rFonts w:hint="cs"/>
          <w:rtl/>
        </w:rPr>
        <w:t>ً</w:t>
      </w:r>
      <w:r w:rsidRPr="00735682">
        <w:rPr>
          <w:rtl/>
        </w:rPr>
        <w:t xml:space="preserve"> تقنيا</w:t>
      </w:r>
      <w:r w:rsidR="004314BE">
        <w:rPr>
          <w:rFonts w:hint="cs"/>
          <w:rtl/>
        </w:rPr>
        <w:t>ً</w:t>
      </w:r>
      <w:r w:rsidRPr="00735682">
        <w:rPr>
          <w:rtl/>
        </w:rPr>
        <w:t xml:space="preserve"> مشتركا</w:t>
      </w:r>
      <w:r w:rsidR="004314BE">
        <w:rPr>
          <w:rFonts w:hint="cs"/>
          <w:rtl/>
        </w:rPr>
        <w:t>ً</w:t>
      </w:r>
      <w:r w:rsidRPr="00735682">
        <w:rPr>
          <w:rtl/>
        </w:rPr>
        <w:t xml:space="preserve"> لتداول مطاريف الاتصالات المتنقلة الدولية-2020 على الصعيد العالمي، وقد تتيح أيضا</w:t>
      </w:r>
      <w:r w:rsidR="004314BE">
        <w:rPr>
          <w:rFonts w:hint="cs"/>
          <w:rtl/>
        </w:rPr>
        <w:t>ً</w:t>
      </w:r>
      <w:r w:rsidRPr="00735682">
        <w:rPr>
          <w:rtl/>
        </w:rPr>
        <w:t xml:space="preserve"> توجيهات للإدارات فيما يخص وضع اللوائح على المستوى الوطني</w:t>
      </w:r>
      <w:r>
        <w:rPr>
          <w:rFonts w:hint="cs"/>
          <w:rtl/>
        </w:rPr>
        <w:t>.</w:t>
      </w:r>
    </w:p>
    <w:p w14:paraId="54430956" w14:textId="77777777" w:rsidR="00735682" w:rsidRPr="00735682" w:rsidRDefault="00735682" w:rsidP="00735682">
      <w:pPr>
        <w:tabs>
          <w:tab w:val="right" w:pos="9639"/>
        </w:tabs>
        <w:spacing w:before="480"/>
        <w:rPr>
          <w:lang w:val="ar-SA" w:bidi="ar-EG"/>
        </w:rPr>
      </w:pPr>
      <w:r w:rsidRPr="00735682">
        <w:rPr>
          <w:u w:val="single"/>
          <w:rtl/>
        </w:rPr>
        <w:t xml:space="preserve">مشروع مراجعة التوصية </w:t>
      </w:r>
      <w:r w:rsidRPr="00735682">
        <w:rPr>
          <w:u w:val="single"/>
          <w:lang w:val="en-GB" w:bidi="ar-EG"/>
        </w:rPr>
        <w:t xml:space="preserve">ITU-R </w:t>
      </w:r>
      <w:r w:rsidRPr="00735682">
        <w:rPr>
          <w:u w:val="single"/>
          <w:lang w:val="fr-CH" w:bidi="ar-EG"/>
        </w:rPr>
        <w:t>M.585-9</w:t>
      </w:r>
      <w:r w:rsidRPr="00735682">
        <w:rPr>
          <w:rtl/>
        </w:rPr>
        <w:tab/>
        <w:t xml:space="preserve">الوثيقة </w:t>
      </w:r>
      <w:r w:rsidRPr="00735682">
        <w:rPr>
          <w:lang w:val="fr-CH" w:bidi="ar-EG"/>
        </w:rPr>
        <w:t>5/106(Rev.1)</w:t>
      </w:r>
    </w:p>
    <w:p w14:paraId="2AC9FE1D" w14:textId="77777777" w:rsidR="00735682" w:rsidRPr="00735682" w:rsidRDefault="00735682" w:rsidP="00282447">
      <w:pPr>
        <w:pStyle w:val="Rectitle"/>
        <w:spacing w:before="240" w:after="240"/>
        <w:rPr>
          <w:lang w:val="ar-SA" w:bidi="ar-EG"/>
        </w:rPr>
      </w:pPr>
      <w:r w:rsidRPr="00735682">
        <w:rPr>
          <w:rtl/>
        </w:rPr>
        <w:t>تخصيص الهويات واستعمالها في الخدمة المتنقلة البحرية</w:t>
      </w:r>
    </w:p>
    <w:p w14:paraId="22265828" w14:textId="3758B85C" w:rsidR="00735682" w:rsidRPr="00735682" w:rsidRDefault="00735682" w:rsidP="00735682">
      <w:pPr>
        <w:rPr>
          <w:lang w:val="ar-SA" w:bidi="ar-EG"/>
        </w:rPr>
      </w:pPr>
      <w:r w:rsidRPr="00735682">
        <w:rPr>
          <w:rtl/>
        </w:rPr>
        <w:t xml:space="preserve">تقدم هذه المراجعة نسق هوية إضافياً من 12 حرفاً للأجهزة التي تستعمل هويات بحرية حرة الشكل، أي </w:t>
      </w:r>
      <w:r w:rsidRPr="00735682">
        <w:rPr>
          <w:lang w:val="en-GB" w:bidi="ar-EG"/>
        </w:rPr>
        <w:t>AIS-SART</w:t>
      </w:r>
      <w:r w:rsidRPr="00735682">
        <w:rPr>
          <w:rtl/>
        </w:rPr>
        <w:t xml:space="preserve"> و</w:t>
      </w:r>
      <w:r w:rsidRPr="00735682">
        <w:rPr>
          <w:lang w:val="en-GB" w:bidi="ar-EG"/>
        </w:rPr>
        <w:t>MOB</w:t>
      </w:r>
      <w:r w:rsidRPr="00735682">
        <w:rPr>
          <w:rtl/>
        </w:rPr>
        <w:t xml:space="preserve"> و</w:t>
      </w:r>
      <w:r w:rsidRPr="00735682">
        <w:t>EPIRB-AIS</w:t>
      </w:r>
      <w:r w:rsidRPr="00735682">
        <w:rPr>
          <w:rtl/>
        </w:rPr>
        <w:t>. ومع تزايد عدد هذه الأجهزة، ما عادت هناك موارد لتعريف هوية المصنع الأصلية المكونة من رقمين والتي تشكل جزءا</w:t>
      </w:r>
      <w:r w:rsidR="004314BE">
        <w:rPr>
          <w:rFonts w:hint="cs"/>
          <w:rtl/>
        </w:rPr>
        <w:t>ً</w:t>
      </w:r>
      <w:r w:rsidRPr="00735682">
        <w:rPr>
          <w:rtl/>
        </w:rPr>
        <w:t xml:space="preserve"> من هوية الجهاز المكونة من تسعة أرقام. لذلك، أُدرجت معلومات تكميلية لتعريف هوية الجهاز </w:t>
      </w:r>
      <w:r w:rsidRPr="00735682">
        <w:t>(</w:t>
      </w:r>
      <w:r w:rsidRPr="00735682">
        <w:rPr>
          <w:lang w:val="fr-CH" w:bidi="ar-EG"/>
        </w:rPr>
        <w:t>MPP</w:t>
      </w:r>
      <w:r w:rsidRPr="00735682">
        <w:t>)</w:t>
      </w:r>
      <w:r w:rsidRPr="00735682">
        <w:rPr>
          <w:rtl/>
        </w:rPr>
        <w:t xml:space="preserve"> في الهوية المكونة من 9 أرقام لإنشاء هوية بحرية من 12 حرفاً بالنسق التالي:</w:t>
      </w:r>
    </w:p>
    <w:p w14:paraId="5774348B" w14:textId="77777777" w:rsidR="00735682" w:rsidRPr="00CE404B" w:rsidRDefault="00735682" w:rsidP="00282447">
      <w:pPr>
        <w:spacing w:line="240" w:lineRule="auto"/>
        <w:jc w:val="center"/>
      </w:pPr>
      <w:r w:rsidRPr="0021285D">
        <w:rPr>
          <w:bCs/>
        </w:rPr>
        <w:t>9</w:t>
      </w:r>
      <w:r w:rsidRPr="0021285D">
        <w:rPr>
          <w:bCs/>
          <w:vertAlign w:val="subscript"/>
        </w:rPr>
        <w:t>1</w:t>
      </w:r>
      <w:r w:rsidRPr="0021285D">
        <w:rPr>
          <w:bCs/>
        </w:rPr>
        <w:t>7</w:t>
      </w:r>
      <w:r w:rsidRPr="0021285D">
        <w:rPr>
          <w:bCs/>
          <w:vertAlign w:val="subscript"/>
        </w:rPr>
        <w:t>2</w:t>
      </w:r>
      <w:r w:rsidRPr="0021285D">
        <w:rPr>
          <w:bCs/>
        </w:rPr>
        <w:t>T</w:t>
      </w:r>
      <w:r w:rsidRPr="0021285D">
        <w:rPr>
          <w:bCs/>
          <w:vertAlign w:val="subscript"/>
        </w:rPr>
        <w:t>3</w:t>
      </w:r>
      <w:r w:rsidRPr="0021285D">
        <w:t>X</w:t>
      </w:r>
      <w:r w:rsidRPr="0021285D">
        <w:rPr>
          <w:vertAlign w:val="subscript"/>
        </w:rPr>
        <w:t>4</w:t>
      </w:r>
      <w:r w:rsidRPr="0021285D">
        <w:t>X</w:t>
      </w:r>
      <w:r w:rsidRPr="0021285D">
        <w:rPr>
          <w:vertAlign w:val="subscript"/>
        </w:rPr>
        <w:t>5</w:t>
      </w:r>
      <w:r w:rsidRPr="0021285D">
        <w:t>M</w:t>
      </w:r>
      <w:r w:rsidRPr="0021285D">
        <w:rPr>
          <w:vertAlign w:val="subscript"/>
        </w:rPr>
        <w:t>6</w:t>
      </w:r>
      <w:r w:rsidRPr="0021285D">
        <w:t>P</w:t>
      </w:r>
      <w:r w:rsidRPr="0021285D">
        <w:rPr>
          <w:vertAlign w:val="subscript"/>
        </w:rPr>
        <w:t>7</w:t>
      </w:r>
      <w:r w:rsidRPr="0021285D">
        <w:t>P</w:t>
      </w:r>
      <w:r w:rsidRPr="0021285D">
        <w:rPr>
          <w:vertAlign w:val="subscript"/>
        </w:rPr>
        <w:t>8</w:t>
      </w:r>
      <w:r w:rsidRPr="0021285D">
        <w:t>Y</w:t>
      </w:r>
      <w:r w:rsidRPr="0021285D">
        <w:rPr>
          <w:vertAlign w:val="subscript"/>
        </w:rPr>
        <w:t>9</w:t>
      </w:r>
      <w:r w:rsidRPr="0021285D">
        <w:t>Y</w:t>
      </w:r>
      <w:r w:rsidRPr="0021285D">
        <w:rPr>
          <w:vertAlign w:val="subscript"/>
        </w:rPr>
        <w:t>10</w:t>
      </w:r>
      <w:r w:rsidRPr="0021285D">
        <w:t>Y</w:t>
      </w:r>
      <w:r w:rsidRPr="0021285D">
        <w:rPr>
          <w:vertAlign w:val="subscript"/>
        </w:rPr>
        <w:t>11</w:t>
      </w:r>
      <w:r w:rsidRPr="0021285D">
        <w:t>Y</w:t>
      </w:r>
      <w:r w:rsidRPr="0021285D">
        <w:rPr>
          <w:vertAlign w:val="subscript"/>
        </w:rPr>
        <w:t>12</w:t>
      </w:r>
    </w:p>
    <w:p w14:paraId="02421345" w14:textId="61A5732B" w:rsidR="00735682" w:rsidRPr="00735682" w:rsidRDefault="00735682" w:rsidP="00735682">
      <w:pPr>
        <w:rPr>
          <w:lang w:val="ar-SA" w:bidi="ar-EG"/>
        </w:rPr>
      </w:pPr>
      <w:r w:rsidRPr="00735682">
        <w:rPr>
          <w:rtl/>
        </w:rPr>
        <w:t>حيث T</w:t>
      </w:r>
      <w:r w:rsidRPr="00735682">
        <w:rPr>
          <w:vertAlign w:val="subscript"/>
          <w:rtl/>
        </w:rPr>
        <w:t>3</w:t>
      </w:r>
      <w:r w:rsidRPr="00735682">
        <w:rPr>
          <w:rtl/>
        </w:rPr>
        <w:t xml:space="preserve"> = نوع الجهاز؛ X</w:t>
      </w:r>
      <w:r w:rsidRPr="00735682">
        <w:rPr>
          <w:vertAlign w:val="subscript"/>
          <w:rtl/>
        </w:rPr>
        <w:t>4</w:t>
      </w:r>
      <w:r w:rsidRPr="00735682">
        <w:rPr>
          <w:rtl/>
        </w:rPr>
        <w:t>X</w:t>
      </w:r>
      <w:r w:rsidRPr="00735682">
        <w:rPr>
          <w:vertAlign w:val="subscript"/>
          <w:rtl/>
        </w:rPr>
        <w:t>5</w:t>
      </w:r>
      <w:r w:rsidRPr="00735682">
        <w:rPr>
          <w:rtl/>
        </w:rPr>
        <w:t xml:space="preserve"> = معرف هوية الصانع من 01 إلى 99؛ M</w:t>
      </w:r>
      <w:r w:rsidRPr="00735682">
        <w:rPr>
          <w:vertAlign w:val="subscript"/>
          <w:rtl/>
        </w:rPr>
        <w:t>6</w:t>
      </w:r>
      <w:r w:rsidRPr="00735682">
        <w:rPr>
          <w:rtl/>
        </w:rPr>
        <w:t xml:space="preserve"> = لاحقة إضافية من حروف وأرقام لتعريف هوية المصنع؛ P</w:t>
      </w:r>
      <w:r w:rsidRPr="00735682">
        <w:rPr>
          <w:vertAlign w:val="subscript"/>
          <w:rtl/>
        </w:rPr>
        <w:t>7</w:t>
      </w:r>
      <w:r w:rsidRPr="00735682">
        <w:rPr>
          <w:rtl/>
        </w:rPr>
        <w:t>P</w:t>
      </w:r>
      <w:r w:rsidRPr="00735682">
        <w:rPr>
          <w:vertAlign w:val="subscript"/>
          <w:rtl/>
        </w:rPr>
        <w:t>8</w:t>
      </w:r>
      <w:r w:rsidRPr="00735682">
        <w:rPr>
          <w:rtl/>
        </w:rPr>
        <w:t xml:space="preserve"> = بادئة إضافية من حروف وأرقام متسلسلة؛ Y</w:t>
      </w:r>
      <w:r w:rsidRPr="00735682">
        <w:rPr>
          <w:vertAlign w:val="subscript"/>
          <w:rtl/>
        </w:rPr>
        <w:t>9</w:t>
      </w:r>
      <w:r w:rsidRPr="00735682">
        <w:rPr>
          <w:rtl/>
        </w:rPr>
        <w:t>Y</w:t>
      </w:r>
      <w:r w:rsidRPr="00735682">
        <w:rPr>
          <w:vertAlign w:val="subscript"/>
          <w:rtl/>
        </w:rPr>
        <w:t>10</w:t>
      </w:r>
      <w:r w:rsidRPr="00735682">
        <w:rPr>
          <w:rtl/>
        </w:rPr>
        <w:t>Y</w:t>
      </w:r>
      <w:r w:rsidRPr="00735682">
        <w:rPr>
          <w:vertAlign w:val="subscript"/>
          <w:rtl/>
        </w:rPr>
        <w:t>11</w:t>
      </w:r>
      <w:r w:rsidRPr="00735682">
        <w:rPr>
          <w:rtl/>
        </w:rPr>
        <w:t>Y</w:t>
      </w:r>
      <w:r w:rsidRPr="00735682">
        <w:rPr>
          <w:vertAlign w:val="subscript"/>
          <w:rtl/>
        </w:rPr>
        <w:t>12</w:t>
      </w:r>
      <w:r w:rsidRPr="00735682">
        <w:rPr>
          <w:rtl/>
        </w:rPr>
        <w:t xml:space="preserve"> = رقم متسلسل من 0000 إلى 9999. وتشمل المراجعات المقترحة أيضا</w:t>
      </w:r>
      <w:r w:rsidR="004314BE">
        <w:rPr>
          <w:rFonts w:hint="cs"/>
          <w:rtl/>
        </w:rPr>
        <w:t>ً</w:t>
      </w:r>
      <w:r w:rsidRPr="00735682">
        <w:rPr>
          <w:rtl/>
        </w:rPr>
        <w:t xml:space="preserve"> مراجعات صياغية لزيادة وضوح هذه التوصية.</w:t>
      </w:r>
    </w:p>
    <w:p w14:paraId="0A582BB3" w14:textId="2241AA52" w:rsidR="00BA4006" w:rsidRDefault="00BA4006" w:rsidP="00282447">
      <w:pPr>
        <w:spacing w:before="480"/>
        <w:jc w:val="center"/>
        <w:rPr>
          <w:lang w:bidi="ar-EG"/>
        </w:rPr>
      </w:pPr>
      <w:r w:rsidRPr="00735682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BA4006" w:rsidSect="006C3242">
      <w:headerReference w:type="default" r:id="rId10"/>
      <w:headerReference w:type="first" r:id="rId11"/>
      <w:footerReference w:type="first" r:id="rId12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815D" w14:textId="77777777" w:rsidR="00FF206D" w:rsidRDefault="00FF206D" w:rsidP="006C3242">
      <w:pPr>
        <w:spacing w:before="0" w:line="240" w:lineRule="auto"/>
      </w:pPr>
      <w:r>
        <w:separator/>
      </w:r>
    </w:p>
  </w:endnote>
  <w:endnote w:type="continuationSeparator" w:id="0">
    <w:p w14:paraId="37F69F9A" w14:textId="77777777" w:rsidR="00FF206D" w:rsidRDefault="00FF206D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1966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  <w:t xml:space="preserve">Tel: +41 22 730 5111 • E-mail: </w:t>
    </w:r>
    <w:hyperlink r:id="rId1" w:history="1">
      <w:proofErr w:type="spellStart"/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  <w:proofErr w:type="spellEnd"/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Fax: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•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www.itu.int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19BC" w14:textId="77777777" w:rsidR="00FF206D" w:rsidRDefault="00FF206D" w:rsidP="006C3242">
      <w:pPr>
        <w:spacing w:before="0" w:line="240" w:lineRule="auto"/>
      </w:pPr>
      <w:r>
        <w:separator/>
      </w:r>
    </w:p>
  </w:footnote>
  <w:footnote w:type="continuationSeparator" w:id="0">
    <w:p w14:paraId="59E21B81" w14:textId="77777777" w:rsidR="00FF206D" w:rsidRDefault="00FF206D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5597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E267" w14:textId="77777777" w:rsidR="004C39C6" w:rsidRDefault="00583181" w:rsidP="008F2099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BD3CFE9" wp14:editId="47DBE37A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90970">
    <w:abstractNumId w:val="9"/>
  </w:num>
  <w:num w:numId="2" w16cid:durableId="811025633">
    <w:abstractNumId w:val="7"/>
  </w:num>
  <w:num w:numId="3" w16cid:durableId="1277058861">
    <w:abstractNumId w:val="6"/>
  </w:num>
  <w:num w:numId="4" w16cid:durableId="2097970484">
    <w:abstractNumId w:val="5"/>
  </w:num>
  <w:num w:numId="5" w16cid:durableId="965625990">
    <w:abstractNumId w:val="4"/>
  </w:num>
  <w:num w:numId="6" w16cid:durableId="1089816412">
    <w:abstractNumId w:val="8"/>
  </w:num>
  <w:num w:numId="7" w16cid:durableId="394012498">
    <w:abstractNumId w:val="3"/>
  </w:num>
  <w:num w:numId="8" w16cid:durableId="746345294">
    <w:abstractNumId w:val="2"/>
  </w:num>
  <w:num w:numId="9" w16cid:durableId="1696803635">
    <w:abstractNumId w:val="1"/>
  </w:num>
  <w:num w:numId="10" w16cid:durableId="2140490306">
    <w:abstractNumId w:val="0"/>
  </w:num>
  <w:num w:numId="11" w16cid:durableId="1400130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28"/>
    <w:rsid w:val="00014A33"/>
    <w:rsid w:val="0006468A"/>
    <w:rsid w:val="00090574"/>
    <w:rsid w:val="000C1C0E"/>
    <w:rsid w:val="000C548A"/>
    <w:rsid w:val="000F7BBE"/>
    <w:rsid w:val="00150DB9"/>
    <w:rsid w:val="001C0169"/>
    <w:rsid w:val="001D1D50"/>
    <w:rsid w:val="001D6745"/>
    <w:rsid w:val="001E446E"/>
    <w:rsid w:val="002042A6"/>
    <w:rsid w:val="002154EE"/>
    <w:rsid w:val="002276D2"/>
    <w:rsid w:val="0023283D"/>
    <w:rsid w:val="0026373E"/>
    <w:rsid w:val="00271C43"/>
    <w:rsid w:val="00282447"/>
    <w:rsid w:val="00290728"/>
    <w:rsid w:val="002978F4"/>
    <w:rsid w:val="002B028D"/>
    <w:rsid w:val="002C4B10"/>
    <w:rsid w:val="002E6541"/>
    <w:rsid w:val="00334924"/>
    <w:rsid w:val="003409BC"/>
    <w:rsid w:val="00357185"/>
    <w:rsid w:val="003704CA"/>
    <w:rsid w:val="00383829"/>
    <w:rsid w:val="003B5733"/>
    <w:rsid w:val="003F4B29"/>
    <w:rsid w:val="004111FB"/>
    <w:rsid w:val="0042686F"/>
    <w:rsid w:val="004314BE"/>
    <w:rsid w:val="004317D8"/>
    <w:rsid w:val="00434183"/>
    <w:rsid w:val="00443869"/>
    <w:rsid w:val="00447F32"/>
    <w:rsid w:val="004563AF"/>
    <w:rsid w:val="00480666"/>
    <w:rsid w:val="004C39C6"/>
    <w:rsid w:val="004E11DC"/>
    <w:rsid w:val="00525DDD"/>
    <w:rsid w:val="005409AC"/>
    <w:rsid w:val="0055516A"/>
    <w:rsid w:val="00583181"/>
    <w:rsid w:val="0058491B"/>
    <w:rsid w:val="00592EA5"/>
    <w:rsid w:val="005A3170"/>
    <w:rsid w:val="00677396"/>
    <w:rsid w:val="0069200F"/>
    <w:rsid w:val="006A65CB"/>
    <w:rsid w:val="006C3242"/>
    <w:rsid w:val="006C7CC0"/>
    <w:rsid w:val="006E5F73"/>
    <w:rsid w:val="006F63F7"/>
    <w:rsid w:val="007025C7"/>
    <w:rsid w:val="00706D7A"/>
    <w:rsid w:val="00722F0D"/>
    <w:rsid w:val="00735682"/>
    <w:rsid w:val="0074420E"/>
    <w:rsid w:val="00773B18"/>
    <w:rsid w:val="00783E26"/>
    <w:rsid w:val="00790628"/>
    <w:rsid w:val="007C3BC7"/>
    <w:rsid w:val="007C3BCD"/>
    <w:rsid w:val="007D4ACF"/>
    <w:rsid w:val="007F0787"/>
    <w:rsid w:val="00810B7B"/>
    <w:rsid w:val="00816EE9"/>
    <w:rsid w:val="0082358A"/>
    <w:rsid w:val="008235CD"/>
    <w:rsid w:val="008247DE"/>
    <w:rsid w:val="00840B10"/>
    <w:rsid w:val="008513CB"/>
    <w:rsid w:val="008A4A32"/>
    <w:rsid w:val="008A7F84"/>
    <w:rsid w:val="008F2099"/>
    <w:rsid w:val="008F71F9"/>
    <w:rsid w:val="0091702E"/>
    <w:rsid w:val="00923B0C"/>
    <w:rsid w:val="0094021C"/>
    <w:rsid w:val="00952F86"/>
    <w:rsid w:val="009547CF"/>
    <w:rsid w:val="00982B28"/>
    <w:rsid w:val="00986D2A"/>
    <w:rsid w:val="009D2048"/>
    <w:rsid w:val="009D313F"/>
    <w:rsid w:val="009D706B"/>
    <w:rsid w:val="00A47A5A"/>
    <w:rsid w:val="00A6683B"/>
    <w:rsid w:val="00A7177B"/>
    <w:rsid w:val="00A837DA"/>
    <w:rsid w:val="00A97F94"/>
    <w:rsid w:val="00AA7EA2"/>
    <w:rsid w:val="00B03099"/>
    <w:rsid w:val="00B05BC8"/>
    <w:rsid w:val="00B1143A"/>
    <w:rsid w:val="00B42DEB"/>
    <w:rsid w:val="00B64B47"/>
    <w:rsid w:val="00B74B14"/>
    <w:rsid w:val="00BA4006"/>
    <w:rsid w:val="00C002DE"/>
    <w:rsid w:val="00C502CD"/>
    <w:rsid w:val="00C53BF8"/>
    <w:rsid w:val="00C66157"/>
    <w:rsid w:val="00C674FE"/>
    <w:rsid w:val="00C67501"/>
    <w:rsid w:val="00C75633"/>
    <w:rsid w:val="00CC4BE3"/>
    <w:rsid w:val="00CE2EE1"/>
    <w:rsid w:val="00CE3349"/>
    <w:rsid w:val="00CE36E5"/>
    <w:rsid w:val="00CF27F5"/>
    <w:rsid w:val="00CF3FFD"/>
    <w:rsid w:val="00D10CCF"/>
    <w:rsid w:val="00D77D0F"/>
    <w:rsid w:val="00D84456"/>
    <w:rsid w:val="00DA1CF0"/>
    <w:rsid w:val="00DC1E02"/>
    <w:rsid w:val="00DC24B4"/>
    <w:rsid w:val="00DC5FB0"/>
    <w:rsid w:val="00DF16DC"/>
    <w:rsid w:val="00E45211"/>
    <w:rsid w:val="00E473C5"/>
    <w:rsid w:val="00E92863"/>
    <w:rsid w:val="00EA202B"/>
    <w:rsid w:val="00EB796D"/>
    <w:rsid w:val="00F058DC"/>
    <w:rsid w:val="00F16820"/>
    <w:rsid w:val="00F24FC4"/>
    <w:rsid w:val="00F2676C"/>
    <w:rsid w:val="00F84366"/>
    <w:rsid w:val="00F85089"/>
    <w:rsid w:val="00F96749"/>
    <w:rsid w:val="00F974C5"/>
    <w:rsid w:val="00FA6F46"/>
    <w:rsid w:val="00FC09E8"/>
    <w:rsid w:val="00FE5872"/>
    <w:rsid w:val="00FE7FCA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3F86D"/>
  <w15:chartTrackingRefBased/>
  <w15:docId w15:val="{8B54B5D6-6C64-4B9F-9BFD-727238F0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A6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2042A6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2042A6"/>
    <w:pPr>
      <w:spacing w:before="80" w:after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2042A6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Questiondate">
    <w:name w:val="Question_date"/>
    <w:basedOn w:val="Normal"/>
    <w:qFormat/>
    <w:rsid w:val="00816EE9"/>
    <w:pPr>
      <w:jc w:val="right"/>
    </w:pPr>
  </w:style>
  <w:style w:type="paragraph" w:customStyle="1" w:styleId="QuestionNo">
    <w:name w:val="Question_No"/>
    <w:basedOn w:val="AnnexNo"/>
    <w:qFormat/>
    <w:rsid w:val="00816EE9"/>
    <w:rPr>
      <w:sz w:val="28"/>
      <w:szCs w:val="28"/>
      <w:lang w:bidi="ar-EG"/>
    </w:rPr>
  </w:style>
  <w:style w:type="paragraph" w:customStyle="1" w:styleId="Questiontitle">
    <w:name w:val="Question_title"/>
    <w:basedOn w:val="Annextitle"/>
    <w:qFormat/>
    <w:rsid w:val="00816EE9"/>
  </w:style>
  <w:style w:type="character" w:styleId="UnresolvedMention">
    <w:name w:val="Unresolved Mention"/>
    <w:basedOn w:val="DefaultParagraphFont"/>
    <w:uiPriority w:val="99"/>
    <w:semiHidden/>
    <w:unhideWhenUsed/>
    <w:rsid w:val="00735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ar/ITU-T/ipr/Pages/policy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23-SG05-C/e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ITU\00%20Template\Arabic%20Templates%202025\ITU-R%20(BR)\PA_BR_CR_C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PA_BR_CR_CACE.dotx</Template>
  <TotalTime>8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Arabic_AK</dc:creator>
  <cp:keywords/>
  <dc:description/>
  <cp:lastModifiedBy>Fernandez Jimenez, Virginia</cp:lastModifiedBy>
  <cp:revision>4</cp:revision>
  <dcterms:created xsi:type="dcterms:W3CDTF">2025-12-15T09:56:00Z</dcterms:created>
  <dcterms:modified xsi:type="dcterms:W3CDTF">2025-12-15T10:18:00Z</dcterms:modified>
</cp:coreProperties>
</file>