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24E1F6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077603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2A471281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39DA84C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58E0E722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A16E026" w14:textId="2080514A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7AA1DAB5" w14:textId="588A5878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AE2575">
              <w:rPr>
                <w:b/>
                <w:bCs/>
                <w:szCs w:val="24"/>
                <w:lang w:val="es-ES"/>
              </w:rPr>
              <w:t>1156</w:t>
            </w:r>
          </w:p>
        </w:tc>
        <w:tc>
          <w:tcPr>
            <w:tcW w:w="2835" w:type="dxa"/>
            <w:shd w:val="clear" w:color="auto" w:fill="auto"/>
          </w:tcPr>
          <w:p w14:paraId="2E5047D8" w14:textId="1A2CAA4A" w:rsidR="00E53DCE" w:rsidRPr="002B7EE0" w:rsidRDefault="00AE2575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 xml:space="preserve">5 de </w:t>
            </w:r>
            <w:proofErr w:type="spellStart"/>
            <w:r>
              <w:rPr>
                <w:bCs/>
                <w:szCs w:val="24"/>
                <w:lang w:val="fr-FR"/>
              </w:rPr>
              <w:t>septiembre</w:t>
            </w:r>
            <w:proofErr w:type="spellEnd"/>
            <w:r>
              <w:rPr>
                <w:bCs/>
                <w:szCs w:val="24"/>
                <w:lang w:val="fr-FR"/>
              </w:rPr>
              <w:t xml:space="preserve"> de 2025</w:t>
            </w:r>
          </w:p>
        </w:tc>
      </w:tr>
      <w:tr w:rsidR="00E53DCE" w:rsidRPr="0033029C" w14:paraId="4976F20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70FEFFF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7580787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2F37E6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AE2575" w14:paraId="122E229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1030D5" w14:textId="2A7A4489" w:rsidR="00E53DCE" w:rsidRPr="0033029C" w:rsidRDefault="00FE4822" w:rsidP="00AE2575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  <w:r w:rsidR="00AE2575">
              <w:rPr>
                <w:b/>
                <w:szCs w:val="24"/>
                <w:lang w:val="es-ES"/>
              </w:rPr>
              <w:t xml:space="preserve">, </w:t>
            </w:r>
            <w:r w:rsidR="00AE2575" w:rsidRPr="00D4146A">
              <w:rPr>
                <w:b/>
                <w:bCs/>
                <w:szCs w:val="24"/>
                <w:lang w:val="es-ES"/>
              </w:rPr>
              <w:t>a los Miembros del Sector de Radiocomunicaciones, a los Asociados del UIT-R y a las Instituciones Académicas de la UIT que participan en los trabajos de la Comisión de Estudio 1 de Radiocomunicaciones</w:t>
            </w:r>
          </w:p>
        </w:tc>
      </w:tr>
      <w:tr w:rsidR="00E53DCE" w:rsidRPr="00AE2575" w14:paraId="43B1AF1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F0B739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E2575" w14:paraId="2005CE8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960335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E2575" w14:paraId="2BE7A12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9D14626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18B3773" w14:textId="77777777" w:rsidR="00AE2575" w:rsidRPr="00D4146A" w:rsidRDefault="00AE2575" w:rsidP="00AE25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s-ES"/>
              </w:rPr>
            </w:pPr>
            <w:r w:rsidRPr="00D4146A">
              <w:rPr>
                <w:b/>
                <w:bCs/>
                <w:lang w:val="es-ES"/>
              </w:rPr>
              <w:t>Comisión de Estudio 1 de Radiocomunicaciones (Gestión del espectro)</w:t>
            </w:r>
          </w:p>
          <w:p w14:paraId="0C7CD442" w14:textId="24DADFB1" w:rsidR="00E53DCE" w:rsidRPr="000575A9" w:rsidRDefault="00AE2575" w:rsidP="000575A9">
            <w:pPr>
              <w:pStyle w:val="enumlev1"/>
              <w:rPr>
                <w:b/>
                <w:bCs/>
                <w:szCs w:val="24"/>
                <w:lang w:val="es-ES"/>
              </w:rPr>
            </w:pPr>
            <w:r w:rsidRPr="000575A9">
              <w:rPr>
                <w:b/>
                <w:bCs/>
                <w:lang w:val="es-ES"/>
              </w:rPr>
              <w:t>–</w:t>
            </w:r>
            <w:r w:rsidRPr="000575A9">
              <w:rPr>
                <w:b/>
                <w:bCs/>
                <w:lang w:val="es-ES"/>
              </w:rPr>
              <w:tab/>
              <w:t>Adopción de dos Recomendaciones UIT-R revisadas y su aprobación simultánea por correspondencia de conformidad con el § A2.6.2.4 de la Resolución UIT-R 1-9 (Procedimiento para la adopción y aprobación simultáneas por correspondencia)</w:t>
            </w:r>
          </w:p>
        </w:tc>
      </w:tr>
      <w:tr w:rsidR="00E53DCE" w:rsidRPr="00AE2575" w14:paraId="2E69B45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01DF8FB" w14:textId="77777777" w:rsidR="00E53DCE" w:rsidRPr="00AE257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8E5AEA4" w14:textId="77777777" w:rsidR="00E53DCE" w:rsidRPr="00AE257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AE2575" w14:paraId="6478D283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838B451" w14:textId="77777777" w:rsidR="00E53DCE" w:rsidRPr="00AE257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26A562D" w14:textId="77777777" w:rsidR="00E53DCE" w:rsidRPr="00AE257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AE2575" w14:paraId="112BE3E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A30E773" w14:textId="77777777" w:rsidR="00E53DCE" w:rsidRPr="00AE257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E2575" w14:paraId="5E5F42C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BD3909A" w14:textId="77777777" w:rsidR="00E53DCE" w:rsidRPr="00AE2575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762967F5" w14:textId="1CFF5436" w:rsidR="00AE2575" w:rsidRPr="00D4146A" w:rsidRDefault="00AE2575" w:rsidP="00AE2575">
      <w:pPr>
        <w:pStyle w:val="Normalaftertitle"/>
        <w:spacing w:before="240"/>
        <w:rPr>
          <w:lang w:val="es-ES"/>
        </w:rPr>
      </w:pPr>
      <w:r w:rsidRPr="00D4146A">
        <w:rPr>
          <w:lang w:val="es-ES"/>
        </w:rPr>
        <w:t xml:space="preserve">Mediante la Circular Administrativa </w:t>
      </w:r>
      <w:hyperlink r:id="rId8" w:history="1">
        <w:r w:rsidRPr="00D4146A">
          <w:rPr>
            <w:rStyle w:val="Hyperlink"/>
            <w:lang w:val="es-ES"/>
          </w:rPr>
          <w:t>CACE/1149</w:t>
        </w:r>
      </w:hyperlink>
      <w:r w:rsidRPr="00D4146A">
        <w:rPr>
          <w:lang w:val="es-ES"/>
        </w:rPr>
        <w:t xml:space="preserve"> de 1 de julio de 2025, se presentaron dos proyectos de Recomendaciones UIT-R revisadas</w:t>
      </w:r>
      <w:r>
        <w:rPr>
          <w:lang w:val="es-ES"/>
        </w:rPr>
        <w:t xml:space="preserve"> </w:t>
      </w:r>
      <w:r w:rsidRPr="00D4146A">
        <w:rPr>
          <w:lang w:val="es-ES"/>
        </w:rPr>
        <w:t xml:space="preserve">para </w:t>
      </w:r>
      <w:r>
        <w:rPr>
          <w:lang w:val="es-ES"/>
        </w:rPr>
        <w:t xml:space="preserve">su </w:t>
      </w:r>
      <w:r w:rsidRPr="00D4146A">
        <w:rPr>
          <w:lang w:val="es-ES"/>
        </w:rPr>
        <w:t>adopción y aprobación simultáneas por correspondencia (PAAS), con arreglo al procedimiento de la Resolución UIT-R 1-9 (§ A2.6.2.4)</w:t>
      </w:r>
      <w:r w:rsidR="000575A9">
        <w:rPr>
          <w:lang w:val="es-ES"/>
        </w:rPr>
        <w:t>.</w:t>
      </w:r>
    </w:p>
    <w:p w14:paraId="274946D2" w14:textId="36451A17" w:rsidR="00FE4822" w:rsidRPr="00AE2575" w:rsidRDefault="00AE2575" w:rsidP="00031E64">
      <w:pPr>
        <w:rPr>
          <w:rFonts w:asciiTheme="minorHAnsi" w:hAnsiTheme="minorHAnsi" w:cstheme="minorHAnsi"/>
          <w:szCs w:val="24"/>
          <w:lang w:val="es-ES"/>
        </w:rPr>
      </w:pPr>
      <w:r w:rsidRPr="00D4146A">
        <w:rPr>
          <w:lang w:val="es-ES"/>
        </w:rPr>
        <w:t>Las condiciones que rigen este procedimiento se cumplieron el 1 de septiembre de 2025.</w:t>
      </w:r>
    </w:p>
    <w:p w14:paraId="412EAB39" w14:textId="019D1427" w:rsidR="00FE4822" w:rsidRPr="00AE2575" w:rsidRDefault="00AE2575" w:rsidP="00031E64">
      <w:pPr>
        <w:rPr>
          <w:rFonts w:asciiTheme="minorHAnsi" w:hAnsiTheme="minorHAnsi" w:cstheme="minorHAnsi"/>
          <w:szCs w:val="24"/>
          <w:lang w:val="es-ES"/>
        </w:rPr>
      </w:pPr>
      <w:r w:rsidRPr="00D4146A">
        <w:rPr>
          <w:lang w:val="es-ES"/>
        </w:rPr>
        <w:t>Las Recomendaciones aprobadas serán publicadas por la UIT y en el Anexo a la presente Circular figuran sus títulos junto con los números que se les han asignado.</w:t>
      </w:r>
    </w:p>
    <w:p w14:paraId="5917D48C" w14:textId="03047713" w:rsidR="00031E64" w:rsidRDefault="001B3D4D" w:rsidP="00AE2575">
      <w:pPr>
        <w:spacing w:before="1200" w:line="240" w:lineRule="auto"/>
        <w:jc w:val="left"/>
        <w:rPr>
          <w:szCs w:val="24"/>
          <w:lang w:val="es-ES"/>
        </w:rPr>
      </w:pPr>
      <w:r w:rsidRPr="00A62B6A">
        <w:rPr>
          <w:rFonts w:asciiTheme="minorHAnsi" w:hAnsiTheme="minorHAnsi" w:cstheme="minorHAnsi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0241EBCF" w14:textId="390C83E2" w:rsidR="00AE2575" w:rsidRDefault="00AE2575" w:rsidP="0056008D">
      <w:pPr>
        <w:spacing w:before="24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  <w:r w:rsidRPr="00AE2575">
        <w:rPr>
          <w:rFonts w:asciiTheme="minorHAnsi" w:hAnsiTheme="minorHAnsi" w:cstheme="minorHAnsi"/>
          <w:b/>
          <w:bCs/>
          <w:szCs w:val="24"/>
          <w:lang w:val="es-ES"/>
        </w:rPr>
        <w:t>Anexo:</w:t>
      </w:r>
      <w:r w:rsidR="00BB7C7A">
        <w:rPr>
          <w:rFonts w:asciiTheme="minorHAnsi" w:hAnsiTheme="minorHAnsi" w:cstheme="minorHAnsi"/>
          <w:szCs w:val="24"/>
          <w:lang w:val="es-ES"/>
        </w:rPr>
        <w:tab/>
      </w:r>
      <w:r>
        <w:rPr>
          <w:rFonts w:asciiTheme="minorHAnsi" w:hAnsiTheme="minorHAnsi" w:cstheme="minorHAnsi"/>
          <w:szCs w:val="24"/>
          <w:lang w:val="es-ES"/>
        </w:rPr>
        <w:t>1</w:t>
      </w:r>
    </w:p>
    <w:p w14:paraId="4FE595C9" w14:textId="4AE84B67" w:rsidR="000575A9" w:rsidRDefault="000575A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br w:type="page"/>
      </w:r>
    </w:p>
    <w:p w14:paraId="70FF2521" w14:textId="77777777" w:rsidR="00AE2575" w:rsidRPr="00D4146A" w:rsidRDefault="00AE2575" w:rsidP="00AE2575">
      <w:pPr>
        <w:pStyle w:val="AnnexNotitle0"/>
        <w:spacing w:after="480"/>
        <w:rPr>
          <w:rFonts w:asciiTheme="minorHAnsi" w:hAnsiTheme="minorHAnsi" w:cstheme="minorHAnsi"/>
          <w:lang w:val="es-ES"/>
        </w:rPr>
      </w:pPr>
      <w:r w:rsidRPr="00D4146A">
        <w:rPr>
          <w:rFonts w:asciiTheme="minorHAnsi" w:hAnsiTheme="minorHAnsi" w:cstheme="minorHAnsi"/>
          <w:lang w:val="es-ES"/>
        </w:rPr>
        <w:lastRenderedPageBreak/>
        <w:t>Anexo</w:t>
      </w:r>
      <w:r w:rsidRPr="00D4146A">
        <w:rPr>
          <w:rFonts w:asciiTheme="minorHAnsi" w:hAnsiTheme="minorHAnsi" w:cstheme="minorHAnsi"/>
          <w:lang w:val="es-ES"/>
        </w:rPr>
        <w:br/>
      </w:r>
      <w:r w:rsidRPr="00D4146A">
        <w:rPr>
          <w:rFonts w:asciiTheme="minorHAnsi" w:hAnsiTheme="minorHAnsi" w:cstheme="minorHAnsi"/>
          <w:lang w:val="es-ES"/>
        </w:rPr>
        <w:br/>
        <w:t>Títulos de las Recomendaciones UIT-R aprobadas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AE2575" w:rsidRPr="00D4146A" w14:paraId="24370749" w14:textId="77777777" w:rsidTr="00705931">
        <w:trPr>
          <w:jc w:val="center"/>
        </w:trPr>
        <w:tc>
          <w:tcPr>
            <w:tcW w:w="2377" w:type="dxa"/>
            <w:vAlign w:val="center"/>
          </w:tcPr>
          <w:p w14:paraId="07405170" w14:textId="77777777" w:rsidR="00AE2575" w:rsidRPr="00D4146A" w:rsidRDefault="00AE2575" w:rsidP="00705931">
            <w:pPr>
              <w:pStyle w:val="Tablehead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lang w:val="es-ES"/>
              </w:rPr>
              <w:t>Recomendación</w:t>
            </w:r>
            <w:r w:rsidRPr="00D4146A">
              <w:rPr>
                <w:rFonts w:asciiTheme="minorHAnsi" w:hAnsiTheme="minorHAnsi" w:cstheme="minorHAnsi"/>
                <w:lang w:val="es-ES"/>
              </w:rPr>
              <w:br/>
              <w:t>UIT-R</w:t>
            </w:r>
          </w:p>
        </w:tc>
        <w:tc>
          <w:tcPr>
            <w:tcW w:w="5274" w:type="dxa"/>
            <w:vAlign w:val="center"/>
          </w:tcPr>
          <w:p w14:paraId="4980DF46" w14:textId="77777777" w:rsidR="00AE2575" w:rsidRPr="00D4146A" w:rsidRDefault="00AE2575" w:rsidP="00705931">
            <w:pPr>
              <w:pStyle w:val="Tablehead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bCs/>
                <w:lang w:val="es-ES"/>
              </w:rPr>
              <w:t>Título</w:t>
            </w:r>
          </w:p>
        </w:tc>
        <w:tc>
          <w:tcPr>
            <w:tcW w:w="1842" w:type="dxa"/>
            <w:vAlign w:val="center"/>
          </w:tcPr>
          <w:p w14:paraId="70025300" w14:textId="77777777" w:rsidR="00AE2575" w:rsidRPr="00D4146A" w:rsidRDefault="00AE2575" w:rsidP="00705931">
            <w:pPr>
              <w:pStyle w:val="Tablehead"/>
              <w:rPr>
                <w:rFonts w:asciiTheme="minorHAnsi" w:hAnsiTheme="minorHAnsi" w:cstheme="minorHAnsi"/>
                <w:bCs/>
                <w:lang w:val="es-ES"/>
              </w:rPr>
            </w:pPr>
            <w:r w:rsidRPr="00D4146A">
              <w:rPr>
                <w:rFonts w:asciiTheme="minorHAnsi" w:hAnsiTheme="minorHAnsi" w:cstheme="minorHAnsi"/>
                <w:bCs/>
                <w:lang w:val="es-ES"/>
              </w:rPr>
              <w:t>Documento</w:t>
            </w:r>
          </w:p>
        </w:tc>
      </w:tr>
      <w:tr w:rsidR="00AE2575" w:rsidRPr="00D4146A" w14:paraId="3E472929" w14:textId="77777777" w:rsidTr="00705931">
        <w:trPr>
          <w:jc w:val="center"/>
        </w:trPr>
        <w:tc>
          <w:tcPr>
            <w:tcW w:w="2377" w:type="dxa"/>
            <w:vAlign w:val="center"/>
          </w:tcPr>
          <w:p w14:paraId="6E1F3EBA" w14:textId="77777777" w:rsidR="00AE2575" w:rsidRPr="00D4146A" w:rsidRDefault="00AE2575" w:rsidP="00705931">
            <w:pPr>
              <w:pStyle w:val="Tabletex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lang w:val="es-ES"/>
              </w:rPr>
              <w:t>SM.328-12</w:t>
            </w:r>
          </w:p>
        </w:tc>
        <w:tc>
          <w:tcPr>
            <w:tcW w:w="5274" w:type="dxa"/>
            <w:vAlign w:val="center"/>
          </w:tcPr>
          <w:p w14:paraId="3FB66327" w14:textId="77777777" w:rsidR="00AE2575" w:rsidRPr="00D4146A" w:rsidRDefault="00AE2575" w:rsidP="00705931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bCs/>
                <w:lang w:val="es-ES"/>
              </w:rPr>
              <w:t>Espectros y anchuras de banda de las emisiones</w:t>
            </w:r>
          </w:p>
        </w:tc>
        <w:tc>
          <w:tcPr>
            <w:tcW w:w="1842" w:type="dxa"/>
            <w:vAlign w:val="center"/>
          </w:tcPr>
          <w:p w14:paraId="53069321" w14:textId="77777777" w:rsidR="00AE2575" w:rsidRPr="00D4146A" w:rsidRDefault="00AE2575" w:rsidP="00705931">
            <w:pPr>
              <w:pStyle w:val="Tabletex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lang w:val="es-ES"/>
              </w:rPr>
              <w:t>1/49</w:t>
            </w:r>
          </w:p>
        </w:tc>
      </w:tr>
      <w:tr w:rsidR="00AE2575" w:rsidRPr="00D4146A" w14:paraId="6B5B932C" w14:textId="77777777" w:rsidTr="00705931">
        <w:trPr>
          <w:jc w:val="center"/>
        </w:trPr>
        <w:tc>
          <w:tcPr>
            <w:tcW w:w="2377" w:type="dxa"/>
            <w:vAlign w:val="center"/>
          </w:tcPr>
          <w:p w14:paraId="4B02F15F" w14:textId="77777777" w:rsidR="00AE2575" w:rsidRPr="00D4146A" w:rsidRDefault="00AE2575" w:rsidP="00705931">
            <w:pPr>
              <w:pStyle w:val="Tabletex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lang w:val="es-ES"/>
              </w:rPr>
              <w:t>SM.2110-2</w:t>
            </w:r>
          </w:p>
        </w:tc>
        <w:tc>
          <w:tcPr>
            <w:tcW w:w="5274" w:type="dxa"/>
            <w:vAlign w:val="center"/>
          </w:tcPr>
          <w:p w14:paraId="4AF29D6E" w14:textId="77777777" w:rsidR="00AE2575" w:rsidRPr="00D4146A" w:rsidRDefault="00AE2575" w:rsidP="00705931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lang w:val="es-ES"/>
              </w:rPr>
              <w:t>Directrices sobre gamas de frecuencias para la explotación de sistemas de transmisión inalámbrica de potencia sin haces para vehículos eléctricos</w:t>
            </w:r>
          </w:p>
        </w:tc>
        <w:tc>
          <w:tcPr>
            <w:tcW w:w="1842" w:type="dxa"/>
            <w:vAlign w:val="center"/>
          </w:tcPr>
          <w:p w14:paraId="588E6F95" w14:textId="77777777" w:rsidR="00AE2575" w:rsidRPr="00D4146A" w:rsidRDefault="00AE2575" w:rsidP="00705931">
            <w:pPr>
              <w:pStyle w:val="Tabletex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D4146A">
              <w:rPr>
                <w:rFonts w:asciiTheme="minorHAnsi" w:hAnsiTheme="minorHAnsi" w:cstheme="minorHAnsi"/>
                <w:lang w:val="es-ES"/>
              </w:rPr>
              <w:t>1/52(Rev.1)</w:t>
            </w:r>
          </w:p>
        </w:tc>
      </w:tr>
    </w:tbl>
    <w:p w14:paraId="7F0AB70E" w14:textId="77777777" w:rsidR="00AE2575" w:rsidRDefault="00AE2575" w:rsidP="00411C49">
      <w:pPr>
        <w:pStyle w:val="Reasons"/>
      </w:pPr>
    </w:p>
    <w:p w14:paraId="7DDF4219" w14:textId="5F36F2ED" w:rsidR="00D239B4" w:rsidRPr="00AE2575" w:rsidRDefault="00AE2575" w:rsidP="00AE2575">
      <w:pPr>
        <w:jc w:val="center"/>
      </w:pPr>
      <w:r>
        <w:t>______________</w:t>
      </w:r>
    </w:p>
    <w:sectPr w:rsidR="00D239B4" w:rsidRPr="00AE2575" w:rsidSect="00D31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A84B" w14:textId="77777777" w:rsidR="00AE2575" w:rsidRDefault="00AE2575">
      <w:r>
        <w:separator/>
      </w:r>
    </w:p>
  </w:endnote>
  <w:endnote w:type="continuationSeparator" w:id="0">
    <w:p w14:paraId="1735B6C4" w14:textId="77777777" w:rsidR="00AE2575" w:rsidRDefault="00AE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3B9A" w14:textId="77777777" w:rsidR="0082526C" w:rsidRDefault="00825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F2EF" w14:textId="77777777" w:rsidR="0082526C" w:rsidRDefault="00825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FF4D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r w:rsidRPr="00353E34">
      <w:fldChar w:fldCharType="begin"/>
    </w:r>
    <w:r w:rsidRPr="00353E34">
      <w:rPr>
        <w:sz w:val="19"/>
        <w:szCs w:val="19"/>
        <w:lang w:val="es-ES"/>
        <w:rPrChange w:id="0" w:author="Fernandez Jimenez, Virginia" w:date="2022-10-18T15:06:00Z">
          <w:rPr/>
        </w:rPrChange>
      </w:rPr>
      <w:instrText xml:space="preserve"> HYPERLINK "http://www.itu.int" </w:instrText>
    </w:r>
    <w:r w:rsidRPr="00353E34">
      <w:fldChar w:fldCharType="separate"/>
    </w:r>
    <w:r w:rsidRPr="00353E34">
      <w:rPr>
        <w:rStyle w:val="Hyperlink"/>
        <w:sz w:val="19"/>
        <w:szCs w:val="19"/>
        <w:lang w:val="es-ES"/>
      </w:rPr>
      <w:t>www.itu.int</w:t>
    </w:r>
    <w:r w:rsidRPr="00353E34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1BB9" w14:textId="77777777" w:rsidR="00AE2575" w:rsidRDefault="00AE2575">
      <w:r>
        <w:t>____________________</w:t>
      </w:r>
    </w:p>
  </w:footnote>
  <w:footnote w:type="continuationSeparator" w:id="0">
    <w:p w14:paraId="1B4F49CF" w14:textId="77777777" w:rsidR="00AE2575" w:rsidRDefault="00AE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88B9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A910" w14:textId="77777777" w:rsidR="00D316C8" w:rsidRPr="00D239B4" w:rsidRDefault="00D316C8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3220EDFB" w14:textId="77777777" w:rsidTr="002A3F03">
      <w:tc>
        <w:tcPr>
          <w:tcW w:w="9862" w:type="dxa"/>
          <w:tcMar>
            <w:left w:w="0" w:type="dxa"/>
          </w:tcMar>
        </w:tcPr>
        <w:p w14:paraId="1887F078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E0939A2" wp14:editId="62F4C3C8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568D7A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75A9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2EC6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008D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575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7C7A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625FB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AE2575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AE2575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AE2575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AE2575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AE257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9/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1642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Chamova, Alisa</cp:lastModifiedBy>
  <cp:revision>4</cp:revision>
  <cp:lastPrinted>2013-03-08T10:15:00Z</cp:lastPrinted>
  <dcterms:created xsi:type="dcterms:W3CDTF">2025-09-02T12:56:00Z</dcterms:created>
  <dcterms:modified xsi:type="dcterms:W3CDTF">2025-09-05T07:19:00Z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