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Pr="00953A80" w:rsidRDefault="00A96D3A" w:rsidP="00953A80">
            <w:pPr>
              <w:spacing w:before="0"/>
              <w:rPr>
                <w:b/>
                <w:bCs/>
                <w:color w:val="808080"/>
                <w:sz w:val="28"/>
                <w:szCs w:val="28"/>
                <w:lang w:val="en-GB"/>
              </w:rPr>
            </w:pPr>
            <w:r w:rsidRPr="00953A80">
              <w:rPr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Pr="00953A80" w:rsidRDefault="00E53DCE" w:rsidP="00953A80">
            <w:pPr>
              <w:spacing w:before="0"/>
              <w:rPr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B9488A" w14:textId="77777777" w:rsidR="00E53DCE" w:rsidRPr="00953A80" w:rsidRDefault="00E53DCE" w:rsidP="00953A80">
            <w:pPr>
              <w:spacing w:before="0"/>
              <w:rPr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363759A7" w:rsidR="00E53DCE" w:rsidRPr="003969C9" w:rsidRDefault="00A96D3A" w:rsidP="003969C9">
            <w:pPr>
              <w:spacing w:before="0"/>
              <w:rPr>
                <w:lang w:val="pt-BR"/>
              </w:rPr>
            </w:pPr>
            <w:r w:rsidRPr="003969C9">
              <w:rPr>
                <w:lang w:val="pt-BR"/>
              </w:rPr>
              <w:t>Circular Administrativa</w:t>
            </w:r>
          </w:p>
          <w:p w14:paraId="69D58805" w14:textId="68998F17" w:rsidR="00E53DCE" w:rsidRPr="003969C9" w:rsidRDefault="001B3D4D" w:rsidP="003969C9">
            <w:pPr>
              <w:spacing w:before="0"/>
              <w:rPr>
                <w:b/>
                <w:bCs/>
                <w:lang w:val="pt-BR"/>
              </w:rPr>
            </w:pPr>
            <w:r w:rsidRPr="003969C9">
              <w:rPr>
                <w:b/>
                <w:bCs/>
                <w:lang w:val="pt-BR"/>
              </w:rPr>
              <w:t>CACE/</w:t>
            </w:r>
            <w:r w:rsidR="005C2802">
              <w:rPr>
                <w:b/>
                <w:bCs/>
                <w:lang w:val="pt-BR"/>
              </w:rPr>
              <w:t>1152</w:t>
            </w:r>
          </w:p>
        </w:tc>
        <w:tc>
          <w:tcPr>
            <w:tcW w:w="2835" w:type="dxa"/>
            <w:shd w:val="clear" w:color="auto" w:fill="auto"/>
          </w:tcPr>
          <w:p w14:paraId="3FD01BE1" w14:textId="3B929AD5" w:rsidR="00E53DCE" w:rsidRPr="005C2802" w:rsidRDefault="000B141F" w:rsidP="003969C9">
            <w:pPr>
              <w:spacing w:before="0"/>
              <w:jc w:val="right"/>
              <w:rPr>
                <w:lang w:val="es-ES"/>
              </w:rPr>
            </w:pPr>
            <w:r>
              <w:rPr>
                <w:lang w:val="es-ES"/>
              </w:rPr>
              <w:t>20</w:t>
            </w:r>
            <w:r w:rsidR="005C2802" w:rsidRPr="005C2802">
              <w:rPr>
                <w:lang w:val="es-ES"/>
              </w:rPr>
              <w:t xml:space="preserve"> de agosto de 2025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3969C9" w:rsidRDefault="00E53DCE" w:rsidP="003969C9">
            <w:pPr>
              <w:spacing w:before="0"/>
              <w:rPr>
                <w:lang w:val="es-ES"/>
              </w:rPr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3969C9" w:rsidRDefault="00E53DCE" w:rsidP="003969C9">
            <w:pPr>
              <w:spacing w:before="0"/>
              <w:rPr>
                <w:lang w:val="es-ES"/>
              </w:rPr>
            </w:pPr>
          </w:p>
        </w:tc>
      </w:tr>
      <w:tr w:rsidR="00E53DCE" w:rsidRPr="000B141F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65B10412" w:rsidR="00E53DCE" w:rsidRPr="003969C9" w:rsidRDefault="005C2802" w:rsidP="00400D46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5C2802">
              <w:rPr>
                <w:b/>
                <w:bCs/>
                <w:lang w:val="es-ES"/>
              </w:rPr>
              <w:t>A las Administraciones de los Estados Miembros de la UIT, a los Miembros del Sector de Radiocomunicaciones, a los Asociados del UIT-R y a las Instituciones Académicas de la UIT que participan en los trabajos del Comité de Coordinación de la Terminología de la UIT</w:t>
            </w:r>
          </w:p>
        </w:tc>
      </w:tr>
      <w:tr w:rsidR="00E53DCE" w:rsidRPr="000B141F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33029C" w:rsidRDefault="00E53DCE" w:rsidP="003969C9">
            <w:pPr>
              <w:spacing w:before="0"/>
              <w:rPr>
                <w:lang w:val="es-ES"/>
              </w:rPr>
            </w:pPr>
          </w:p>
        </w:tc>
      </w:tr>
      <w:tr w:rsidR="00E53DCE" w:rsidRPr="000B141F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33029C" w:rsidRDefault="00E53DCE" w:rsidP="003969C9">
            <w:pPr>
              <w:spacing w:before="0"/>
              <w:rPr>
                <w:lang w:val="es-ES"/>
              </w:rPr>
            </w:pPr>
          </w:p>
        </w:tc>
      </w:tr>
      <w:tr w:rsidR="00E53DCE" w:rsidRPr="000B141F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833DCF" w:rsidRDefault="00311970" w:rsidP="003A359E">
            <w:pPr>
              <w:spacing w:before="40" w:after="40"/>
              <w:rPr>
                <w:lang w:val="es-ES_tradnl"/>
              </w:rPr>
            </w:pPr>
            <w:r w:rsidRPr="00833DCF">
              <w:rPr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86271D1" w14:textId="77777777" w:rsidR="005C2802" w:rsidRPr="005C2802" w:rsidRDefault="005C2802" w:rsidP="003A359E">
            <w:pPr>
              <w:spacing w:before="40" w:after="40"/>
              <w:rPr>
                <w:b/>
                <w:bCs/>
                <w:lang w:val="es-ES_tradnl"/>
              </w:rPr>
            </w:pPr>
            <w:r w:rsidRPr="005C2802">
              <w:rPr>
                <w:b/>
                <w:bCs/>
                <w:lang w:val="es-ES_tradnl"/>
              </w:rPr>
              <w:t>Comité de Coordinación de la Terminología de la UIT</w:t>
            </w:r>
          </w:p>
          <w:p w14:paraId="3612960C" w14:textId="0D7355DA" w:rsidR="00E53DCE" w:rsidRPr="00833DCF" w:rsidRDefault="005C2802" w:rsidP="003A359E">
            <w:pPr>
              <w:spacing w:before="40" w:after="4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5C2802">
              <w:rPr>
                <w:b/>
                <w:bCs/>
                <w:lang w:val="es-ES_tradnl"/>
              </w:rPr>
              <w:t>–</w:t>
            </w:r>
            <w:r w:rsidRPr="005C2802">
              <w:rPr>
                <w:b/>
                <w:bCs/>
                <w:lang w:val="es-ES_tradnl"/>
              </w:rPr>
              <w:tab/>
              <w:t xml:space="preserve">Propuesta de adopción de </w:t>
            </w:r>
            <w:r>
              <w:rPr>
                <w:b/>
                <w:bCs/>
                <w:lang w:val="es-ES_tradnl"/>
              </w:rPr>
              <w:t>un</w:t>
            </w:r>
            <w:r w:rsidRPr="005C2802">
              <w:rPr>
                <w:b/>
                <w:bCs/>
                <w:lang w:val="es-ES_tradnl"/>
              </w:rPr>
              <w:t xml:space="preserve"> proyecto de Recomendación</w:t>
            </w:r>
            <w:r w:rsidR="003A4CCA">
              <w:rPr>
                <w:b/>
                <w:bCs/>
                <w:lang w:val="es-ES_tradnl"/>
              </w:rPr>
              <w:t> </w:t>
            </w:r>
            <w:r w:rsidRPr="005C2802">
              <w:rPr>
                <w:b/>
                <w:bCs/>
                <w:lang w:val="es-ES_tradnl"/>
              </w:rPr>
              <w:t>UIT</w:t>
            </w:r>
            <w:r w:rsidR="003A4CCA">
              <w:rPr>
                <w:b/>
                <w:bCs/>
                <w:lang w:val="es-ES_tradnl"/>
              </w:rPr>
              <w:noBreakHyphen/>
            </w:r>
            <w:r w:rsidRPr="005C2802">
              <w:rPr>
                <w:b/>
                <w:bCs/>
                <w:lang w:val="es-ES_tradnl"/>
              </w:rPr>
              <w:t>R revisada y su aprobación simultánea por correspondencia de conformidad con el §</w:t>
            </w:r>
            <w:r>
              <w:rPr>
                <w:b/>
                <w:bCs/>
                <w:lang w:val="es-ES_tradnl"/>
              </w:rPr>
              <w:t> </w:t>
            </w:r>
            <w:r w:rsidRPr="005C2802">
              <w:rPr>
                <w:b/>
                <w:bCs/>
                <w:lang w:val="es-ES_tradnl"/>
              </w:rPr>
              <w:t>A2.6.2.4 de la Resolución</w:t>
            </w:r>
            <w:r>
              <w:rPr>
                <w:b/>
                <w:bCs/>
                <w:lang w:val="es-ES_tradnl"/>
              </w:rPr>
              <w:t> </w:t>
            </w:r>
            <w:r w:rsidRPr="005C2802">
              <w:rPr>
                <w:b/>
                <w:bCs/>
                <w:lang w:val="es-ES_tradnl"/>
              </w:rPr>
              <w:t>UIT</w:t>
            </w:r>
            <w:r>
              <w:rPr>
                <w:b/>
                <w:bCs/>
                <w:lang w:val="es-ES_tradnl"/>
              </w:rPr>
              <w:noBreakHyphen/>
            </w:r>
            <w:r w:rsidRPr="005C2802">
              <w:rPr>
                <w:b/>
                <w:bCs/>
                <w:lang w:val="es-ES_tradnl"/>
              </w:rPr>
              <w:t>R</w:t>
            </w:r>
            <w:r>
              <w:rPr>
                <w:b/>
                <w:bCs/>
                <w:lang w:val="es-ES_tradnl"/>
              </w:rPr>
              <w:t> </w:t>
            </w:r>
            <w:r w:rsidRPr="005C2802">
              <w:rPr>
                <w:b/>
                <w:bCs/>
                <w:lang w:val="es-ES_tradnl"/>
              </w:rPr>
              <w:t>1</w:t>
            </w:r>
            <w:r>
              <w:rPr>
                <w:b/>
                <w:bCs/>
                <w:lang w:val="es-ES_tradnl"/>
              </w:rPr>
              <w:noBreakHyphen/>
            </w:r>
            <w:r w:rsidRPr="005C2802">
              <w:rPr>
                <w:b/>
                <w:bCs/>
                <w:lang w:val="es-ES_tradnl"/>
              </w:rPr>
              <w:t>9 (Procedimiento de adopción y aprobación simultáneas por correspondencia)</w:t>
            </w:r>
          </w:p>
        </w:tc>
      </w:tr>
      <w:tr w:rsidR="00E53DCE" w:rsidRPr="000B141F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833DCF" w:rsidRDefault="00E53DCE" w:rsidP="003969C9">
            <w:pPr>
              <w:spacing w:before="0"/>
              <w:rPr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833DC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B141F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833DCF" w:rsidRDefault="00E53DCE" w:rsidP="003969C9">
            <w:pPr>
              <w:spacing w:before="0"/>
              <w:rPr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833DC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B141F" w14:paraId="6F081EF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1A3FA3" w14:textId="77777777" w:rsidR="00E53DCE" w:rsidRPr="00833DCF" w:rsidRDefault="00E53DCE" w:rsidP="003969C9">
            <w:pPr>
              <w:spacing w:before="0"/>
              <w:rPr>
                <w:lang w:val="es-ES_tradnl"/>
              </w:rPr>
            </w:pPr>
          </w:p>
        </w:tc>
      </w:tr>
    </w:tbl>
    <w:p w14:paraId="06E7A987" w14:textId="3D5A9FB7" w:rsidR="005C2802" w:rsidRPr="005C2802" w:rsidRDefault="005C2802" w:rsidP="005C2802">
      <w:pPr>
        <w:pStyle w:val="Normalaftertitle"/>
        <w:rPr>
          <w:lang w:val="es-ES_tradnl"/>
        </w:rPr>
      </w:pPr>
      <w:r w:rsidRPr="005C2802">
        <w:rPr>
          <w:lang w:val="es-ES_tradnl"/>
        </w:rPr>
        <w:t>En la reunión del Comité de Coordinación de la Terminología (CCT) celebrada el 5 de agosto de</w:t>
      </w:r>
      <w:r>
        <w:rPr>
          <w:lang w:val="es-ES_tradnl"/>
        </w:rPr>
        <w:t> </w:t>
      </w:r>
      <w:r w:rsidRPr="005C2802">
        <w:rPr>
          <w:lang w:val="es-ES_tradnl"/>
        </w:rPr>
        <w:t>2025, el</w:t>
      </w:r>
      <w:r w:rsidR="00400D46">
        <w:rPr>
          <w:lang w:val="es-ES_tradnl"/>
        </w:rPr>
        <w:t> </w:t>
      </w:r>
      <w:r w:rsidRPr="005C2802">
        <w:rPr>
          <w:lang w:val="es-ES_tradnl"/>
        </w:rPr>
        <w:t xml:space="preserve">CCT decidió solicitar la adopción de </w:t>
      </w:r>
      <w:r>
        <w:rPr>
          <w:lang w:val="es-ES_tradnl"/>
        </w:rPr>
        <w:t>un</w:t>
      </w:r>
      <w:r w:rsidRPr="005C2802">
        <w:rPr>
          <w:lang w:val="es-ES_tradnl"/>
        </w:rPr>
        <w:t xml:space="preserve"> proyecto de Recomendación</w:t>
      </w:r>
      <w:r w:rsidR="00400D46">
        <w:rPr>
          <w:lang w:val="es-ES_tradnl"/>
        </w:rPr>
        <w:t> </w:t>
      </w:r>
      <w:r w:rsidRPr="005C2802">
        <w:rPr>
          <w:lang w:val="es-ES_tradnl"/>
        </w:rPr>
        <w:t>UIT</w:t>
      </w:r>
      <w:r w:rsidR="00400D46">
        <w:rPr>
          <w:lang w:val="es-ES_tradnl"/>
        </w:rPr>
        <w:noBreakHyphen/>
      </w:r>
      <w:r w:rsidRPr="005C2802">
        <w:rPr>
          <w:lang w:val="es-ES_tradnl"/>
        </w:rPr>
        <w:t>R revisada por correspondencia (§ A2.6.2 de la Resolución </w:t>
      </w:r>
      <w:hyperlink r:id="rId8" w:history="1">
        <w:r w:rsidRPr="005C2802">
          <w:rPr>
            <w:rStyle w:val="Hyperlink"/>
            <w:lang w:val="es-ES"/>
          </w:rPr>
          <w:t>UIT-R</w:t>
        </w:r>
        <w:r w:rsidR="008B5B12">
          <w:rPr>
            <w:rStyle w:val="Hyperlink"/>
            <w:lang w:val="es-ES"/>
          </w:rPr>
          <w:t> </w:t>
        </w:r>
        <w:r w:rsidRPr="005C2802">
          <w:rPr>
            <w:rStyle w:val="Hyperlink"/>
            <w:lang w:val="es-ES"/>
          </w:rPr>
          <w:t>1-9</w:t>
        </w:r>
      </w:hyperlink>
      <w:r w:rsidRPr="005C2802">
        <w:rPr>
          <w:lang w:val="es-ES_tradnl"/>
        </w:rPr>
        <w:t>) y además decidió aplicar el procedimiento de adopción y aprobación simultáneas por correspondencia (PAAS, § A2.6.2.4 de la Resolución UIT</w:t>
      </w:r>
      <w:r w:rsidRPr="005C2802">
        <w:rPr>
          <w:lang w:val="es-ES_tradnl"/>
        </w:rPr>
        <w:noBreakHyphen/>
        <w:t>R 1</w:t>
      </w:r>
      <w:r w:rsidRPr="005C2802">
        <w:rPr>
          <w:lang w:val="es-ES_tradnl"/>
        </w:rPr>
        <w:noBreakHyphen/>
        <w:t>9). El título y resumen del proyecto de Recomendación figuran en el Anexo a la presente Carta. Todo Estado Miembro que objete la adopción de un proyecto de Recomendación debe informar al Director y a los Presidentes del</w:t>
      </w:r>
      <w:r w:rsidR="003A359E">
        <w:rPr>
          <w:lang w:val="es-ES_tradnl"/>
        </w:rPr>
        <w:t> </w:t>
      </w:r>
      <w:r w:rsidRPr="005C2802">
        <w:rPr>
          <w:lang w:val="es-ES_tradnl"/>
        </w:rPr>
        <w:t>CCT de los motivos de dicha objeción.</w:t>
      </w:r>
    </w:p>
    <w:p w14:paraId="36969F5F" w14:textId="04F046D9" w:rsidR="005C2802" w:rsidRPr="005C2802" w:rsidRDefault="005C2802" w:rsidP="005C2802">
      <w:pPr>
        <w:rPr>
          <w:lang w:val="es-ES_tradnl"/>
        </w:rPr>
      </w:pPr>
      <w:r w:rsidRPr="005C2802">
        <w:rPr>
          <w:lang w:val="es-ES_tradnl"/>
        </w:rPr>
        <w:t>El periodo de consideración se extenderá durante dos</w:t>
      </w:r>
      <w:r>
        <w:rPr>
          <w:lang w:val="es-ES_tradnl"/>
        </w:rPr>
        <w:t> </w:t>
      </w:r>
      <w:r w:rsidRPr="005C2802">
        <w:rPr>
          <w:lang w:val="es-ES_tradnl"/>
        </w:rPr>
        <w:t xml:space="preserve">meses y finalizará el </w:t>
      </w:r>
      <w:r w:rsidR="000B141F">
        <w:rPr>
          <w:u w:val="single"/>
          <w:lang w:val="es-ES_tradnl"/>
        </w:rPr>
        <w:t>20</w:t>
      </w:r>
      <w:r w:rsidRPr="005C2802">
        <w:rPr>
          <w:u w:val="single"/>
          <w:lang w:val="es-ES_tradnl"/>
        </w:rPr>
        <w:t xml:space="preserve"> de octubre de</w:t>
      </w:r>
      <w:r>
        <w:rPr>
          <w:u w:val="single"/>
          <w:lang w:val="es-ES_tradnl"/>
        </w:rPr>
        <w:t> </w:t>
      </w:r>
      <w:r w:rsidRPr="005C2802">
        <w:rPr>
          <w:u w:val="single"/>
          <w:lang w:val="es-ES_tradnl"/>
        </w:rPr>
        <w:t>2025</w:t>
      </w:r>
      <w:r w:rsidRPr="005C2802">
        <w:rPr>
          <w:lang w:val="es-ES_tradnl"/>
        </w:rPr>
        <w:t>. Si durante este periodo no se reciben objeciones de los Estados Miembros, se considerará adoptado el proyecto de Recomendación por el</w:t>
      </w:r>
      <w:r w:rsidR="003A359E">
        <w:rPr>
          <w:lang w:val="es-ES_tradnl"/>
        </w:rPr>
        <w:t> </w:t>
      </w:r>
      <w:r w:rsidRPr="005C2802">
        <w:rPr>
          <w:lang w:val="es-ES_tradnl"/>
        </w:rPr>
        <w:t>CCT. Además, dado que se ha seguido el procedimiento de</w:t>
      </w:r>
      <w:r w:rsidR="00C40A2B">
        <w:rPr>
          <w:lang w:val="es-ES_tradnl"/>
        </w:rPr>
        <w:t> </w:t>
      </w:r>
      <w:r w:rsidRPr="005C2802">
        <w:rPr>
          <w:lang w:val="es-ES_tradnl"/>
        </w:rPr>
        <w:t>PAAS, el proyecto de Recomendación también se considerará aprobado.</w:t>
      </w:r>
    </w:p>
    <w:p w14:paraId="4B6CD8FA" w14:textId="77777777" w:rsidR="005C2802" w:rsidRPr="005C2802" w:rsidRDefault="005C2802" w:rsidP="005C2802">
      <w:pPr>
        <w:rPr>
          <w:lang w:val="es-ES_tradnl"/>
        </w:rPr>
      </w:pPr>
      <w:r w:rsidRPr="005C2802">
        <w:rPr>
          <w:lang w:val="es-ES_tradnl"/>
        </w:rPr>
        <w:t xml:space="preserve">Tras la fecha límite mencionada, los resultados de los procedimientos arriba citados se comunicarán mediante Circular Administrativa y la Recomendación aprobada se publicará tan pronto como sea posible (véase </w:t>
      </w:r>
      <w:hyperlink r:id="rId9" w:history="1">
        <w:r w:rsidRPr="005C2802">
          <w:rPr>
            <w:rStyle w:val="Hyperlink"/>
            <w:lang w:val="es-ES_tradnl"/>
          </w:rPr>
          <w:t>https://www.itu.int/pub/R-REC/es</w:t>
        </w:r>
      </w:hyperlink>
      <w:r w:rsidRPr="005C2802">
        <w:rPr>
          <w:lang w:val="es-ES_tradnl"/>
        </w:rPr>
        <w:t>).</w:t>
      </w:r>
    </w:p>
    <w:p w14:paraId="5919272A" w14:textId="4A6F3BC8" w:rsidR="005C2802" w:rsidRPr="005C2802" w:rsidRDefault="005C2802" w:rsidP="005C2802">
      <w:pPr>
        <w:keepNext/>
        <w:keepLines/>
        <w:rPr>
          <w:lang w:val="es-ES_tradnl"/>
        </w:rPr>
      </w:pPr>
      <w:r w:rsidRPr="005C2802">
        <w:rPr>
          <w:lang w:val="es-ES_tradnl"/>
        </w:rPr>
        <w:lastRenderedPageBreak/>
        <w:t>Se solicita a toda organización miembro de la</w:t>
      </w:r>
      <w:r>
        <w:rPr>
          <w:lang w:val="es-ES_tradnl"/>
        </w:rPr>
        <w:t> </w:t>
      </w:r>
      <w:r w:rsidRPr="005C2802">
        <w:rPr>
          <w:lang w:val="es-ES_tradnl"/>
        </w:rPr>
        <w:t>UIT que tenga conocimiento de una patente, de su propiedad o de propiedad ajena, que cubra total o parcialmente elementos del proyecto de Recomendación mencionado en esta carta, que comunique dicha información a la Secretaría tan pronto como sea posible. La Política común en materia de patentes para UIT</w:t>
      </w:r>
      <w:r w:rsidRPr="005C2802">
        <w:rPr>
          <w:lang w:val="es-ES_tradnl"/>
        </w:rPr>
        <w:noBreakHyphen/>
        <w:t>T/UIT</w:t>
      </w:r>
      <w:r w:rsidRPr="005C2802">
        <w:rPr>
          <w:lang w:val="es-ES_tradnl"/>
        </w:rPr>
        <w:noBreakHyphen/>
        <w:t xml:space="preserve">R/ISO/CEI puede consultarse en </w:t>
      </w:r>
      <w:hyperlink r:id="rId10" w:history="1">
        <w:r w:rsidR="00C40A2B">
          <w:rPr>
            <w:rStyle w:val="Hyperlink"/>
            <w:lang w:val="es-ES_tradnl"/>
          </w:rPr>
          <w:t>https://www.itu.int/es/ITU-T/ipr/Pages/policy.aspx</w:t>
        </w:r>
      </w:hyperlink>
      <w:r w:rsidRPr="005C2802">
        <w:rPr>
          <w:lang w:val="es-ES_tradnl"/>
        </w:rPr>
        <w:t>.</w:t>
      </w:r>
    </w:p>
    <w:p w14:paraId="6635E23D" w14:textId="6FF1A9EB" w:rsidR="00D239B4" w:rsidRDefault="001B3D4D" w:rsidP="005C2802">
      <w:pPr>
        <w:keepNext/>
        <w:keepLines/>
        <w:spacing w:before="1200"/>
        <w:jc w:val="left"/>
        <w:rPr>
          <w:szCs w:val="24"/>
          <w:lang w:val="es-ES"/>
        </w:rPr>
      </w:pPr>
      <w:r w:rsidRPr="00493BCF">
        <w:rPr>
          <w:lang w:val="es-ES"/>
        </w:rPr>
        <w:t>Mario Maniewicz</w:t>
      </w:r>
      <w:r w:rsidR="00E53DCE"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>Director</w:t>
      </w:r>
    </w:p>
    <w:p w14:paraId="6A298068" w14:textId="5C826E2D" w:rsidR="005C2802" w:rsidRPr="005C2802" w:rsidRDefault="005C2802" w:rsidP="005C2802">
      <w:pPr>
        <w:tabs>
          <w:tab w:val="clear" w:pos="794"/>
          <w:tab w:val="clear" w:pos="1191"/>
        </w:tabs>
        <w:spacing w:before="2400"/>
        <w:rPr>
          <w:lang w:val="es-ES_tradnl"/>
        </w:rPr>
      </w:pPr>
      <w:r w:rsidRPr="005C2802">
        <w:rPr>
          <w:b/>
          <w:bCs/>
          <w:lang w:val="es-ES_tradnl"/>
        </w:rPr>
        <w:t>Anexo:</w:t>
      </w:r>
      <w:r w:rsidRPr="005C2802">
        <w:rPr>
          <w:lang w:val="es-ES_tradnl"/>
        </w:rPr>
        <w:tab/>
        <w:t>Título y resumen del proyecto de Recomendación</w:t>
      </w:r>
    </w:p>
    <w:p w14:paraId="5530184E" w14:textId="46DCC985" w:rsidR="005C2802" w:rsidRPr="000B141F" w:rsidRDefault="005C2802" w:rsidP="005C2802">
      <w:pPr>
        <w:spacing w:before="960"/>
        <w:rPr>
          <w:lang w:val="es-ES_tradnl"/>
        </w:rPr>
      </w:pPr>
      <w:r w:rsidRPr="005C2802">
        <w:rPr>
          <w:b/>
          <w:bCs/>
          <w:lang w:val="es-ES_tradnl"/>
        </w:rPr>
        <w:t>Documento:</w:t>
      </w:r>
      <w:r w:rsidRPr="005C2802">
        <w:rPr>
          <w:lang w:val="es-ES_tradnl"/>
        </w:rPr>
        <w:tab/>
      </w:r>
      <w:r w:rsidRPr="000B141F">
        <w:rPr>
          <w:lang w:val="es-ES_tradnl"/>
        </w:rPr>
        <w:t>Documento</w:t>
      </w:r>
      <w:r w:rsidR="00E72230" w:rsidRPr="000B141F">
        <w:rPr>
          <w:lang w:val="es-ES_tradnl"/>
        </w:rPr>
        <w:t> </w:t>
      </w:r>
      <w:hyperlink r:id="rId11" w:history="1">
        <w:r w:rsidRPr="000B141F">
          <w:rPr>
            <w:rStyle w:val="Hyperlink"/>
            <w:lang w:val="es-ES_tradnl"/>
          </w:rPr>
          <w:t>CCT/186</w:t>
        </w:r>
      </w:hyperlink>
    </w:p>
    <w:p w14:paraId="31215236" w14:textId="5FFB07A4" w:rsidR="005C2802" w:rsidRPr="005C2802" w:rsidRDefault="005C2802" w:rsidP="005C2802">
      <w:pPr>
        <w:rPr>
          <w:lang w:val="es-ES_tradnl"/>
        </w:rPr>
      </w:pPr>
      <w:r w:rsidRPr="000B141F">
        <w:rPr>
          <w:lang w:val="es-ES_tradnl"/>
        </w:rPr>
        <w:t xml:space="preserve">Dicho documento está disponible en formato electrónico en </w:t>
      </w:r>
      <w:hyperlink r:id="rId12" w:history="1">
        <w:r w:rsidRPr="000B141F">
          <w:rPr>
            <w:rStyle w:val="Hyperlink"/>
            <w:lang w:val="es-ES_tradnl"/>
          </w:rPr>
          <w:t>SharePoint</w:t>
        </w:r>
      </w:hyperlink>
      <w:r w:rsidRPr="000B141F">
        <w:rPr>
          <w:lang w:val="es-ES_tradnl"/>
        </w:rPr>
        <w:t>.</w:t>
      </w:r>
    </w:p>
    <w:p w14:paraId="2510826D" w14:textId="03CD8F73" w:rsidR="005C2802" w:rsidRDefault="005C28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6C9395C" w14:textId="77777777" w:rsidR="005C2802" w:rsidRPr="005C2802" w:rsidRDefault="005C2802" w:rsidP="005C2802">
      <w:pPr>
        <w:pStyle w:val="AnnexNotitle0"/>
      </w:pPr>
      <w:r w:rsidRPr="005C2802">
        <w:lastRenderedPageBreak/>
        <w:t>Anexo</w:t>
      </w:r>
      <w:r w:rsidRPr="005C2802">
        <w:br/>
      </w:r>
      <w:r w:rsidRPr="005C2802">
        <w:br/>
        <w:t>Título y resumen del proyecto de Recomendación UIT-R</w:t>
      </w:r>
    </w:p>
    <w:p w14:paraId="10AA4AA1" w14:textId="77777777" w:rsidR="005C2802" w:rsidRPr="005C2802" w:rsidRDefault="005C2802" w:rsidP="005C2802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es-ES_tradnl"/>
        </w:rPr>
      </w:pPr>
      <w:r w:rsidRPr="005C2802">
        <w:rPr>
          <w:u w:val="single"/>
          <w:lang w:val="es-ES_tradnl"/>
        </w:rPr>
        <w:t>Proyecto de revisión de la Recomendación UIT-R V.431-8</w:t>
      </w:r>
      <w:r w:rsidRPr="005C2802">
        <w:rPr>
          <w:lang w:val="es-ES_tradnl"/>
        </w:rPr>
        <w:tab/>
        <w:t>Doc. CCT/186</w:t>
      </w:r>
    </w:p>
    <w:p w14:paraId="6FFDAB8C" w14:textId="021054C6" w:rsidR="005C2802" w:rsidRPr="005C2802" w:rsidRDefault="005C2802" w:rsidP="005C2802">
      <w:pPr>
        <w:pStyle w:val="Rectitle"/>
        <w:rPr>
          <w:lang w:val="es-ES_tradnl"/>
        </w:rPr>
      </w:pPr>
      <w:r w:rsidRPr="005C2802">
        <w:rPr>
          <w:lang w:val="es-ES_tradnl"/>
        </w:rPr>
        <w:t xml:space="preserve">Nomenclatura de las bandas de frecuencias y de las longitudes de onda </w:t>
      </w:r>
      <w:r w:rsidR="00E72230">
        <w:rPr>
          <w:lang w:val="es-ES_tradnl"/>
        </w:rPr>
        <w:br/>
      </w:r>
      <w:r w:rsidRPr="005C2802">
        <w:rPr>
          <w:lang w:val="es-ES_tradnl"/>
        </w:rPr>
        <w:t>empleadas en telecomunicaciones</w:t>
      </w:r>
    </w:p>
    <w:p w14:paraId="71AB0860" w14:textId="77777777" w:rsidR="005C2802" w:rsidRPr="005C2802" w:rsidRDefault="005C2802" w:rsidP="005C2802">
      <w:pPr>
        <w:pStyle w:val="Normalaftertitle"/>
        <w:rPr>
          <w:lang w:val="es-ES_tradnl"/>
        </w:rPr>
      </w:pPr>
      <w:r w:rsidRPr="005C2802">
        <w:rPr>
          <w:lang w:val="es-ES_tradnl"/>
        </w:rPr>
        <w:t>Resumen de la revisión:</w:t>
      </w:r>
    </w:p>
    <w:p w14:paraId="496D4814" w14:textId="77777777" w:rsidR="005C2802" w:rsidRPr="005C2802" w:rsidRDefault="005C2802" w:rsidP="005C2802">
      <w:pPr>
        <w:pStyle w:val="enumlev1"/>
        <w:rPr>
          <w:lang w:val="es-ES_tradnl"/>
        </w:rPr>
      </w:pPr>
      <w:r w:rsidRPr="005C2802">
        <w:rPr>
          <w:lang w:val="es-ES_tradnl"/>
        </w:rPr>
        <w:t>–</w:t>
      </w:r>
      <w:r w:rsidRPr="005C2802">
        <w:rPr>
          <w:lang w:val="es-ES_tradnl"/>
        </w:rPr>
        <w:tab/>
      </w:r>
      <w:bookmarkStart w:id="0" w:name="ddistribution"/>
      <w:bookmarkEnd w:id="0"/>
      <w:r w:rsidRPr="005C2802">
        <w:rPr>
          <w:lang w:val="es-ES_tradnl"/>
        </w:rPr>
        <w:t>se añaden los símbolos TLF, SLF y THF que faltaban y se ajusta la gama de frecuencias ELF correspondiente a la práctica actual;</w:t>
      </w:r>
    </w:p>
    <w:p w14:paraId="00731531" w14:textId="77777777" w:rsidR="005C2802" w:rsidRPr="005C2802" w:rsidRDefault="005C2802" w:rsidP="005C2802">
      <w:pPr>
        <w:pStyle w:val="enumlev1"/>
        <w:rPr>
          <w:lang w:val="es-ES_tradnl"/>
        </w:rPr>
      </w:pPr>
      <w:r w:rsidRPr="005C2802">
        <w:rPr>
          <w:lang w:val="es-ES_tradnl"/>
        </w:rPr>
        <w:t>–</w:t>
      </w:r>
      <w:r w:rsidRPr="005C2802">
        <w:rPr>
          <w:lang w:val="es-ES_tradnl"/>
        </w:rPr>
        <w:tab/>
        <w:t>se añaden las designaciones de los símbolos;</w:t>
      </w:r>
    </w:p>
    <w:p w14:paraId="5A0097D2" w14:textId="3C294B4B" w:rsidR="005C2802" w:rsidRPr="005C2802" w:rsidRDefault="005C2802" w:rsidP="005C2802">
      <w:pPr>
        <w:pStyle w:val="enumlev1"/>
        <w:rPr>
          <w:lang w:val="es-ES_tradnl"/>
        </w:rPr>
      </w:pPr>
      <w:r w:rsidRPr="005C2802">
        <w:rPr>
          <w:lang w:val="es-ES_tradnl"/>
        </w:rPr>
        <w:t>–</w:t>
      </w:r>
      <w:r w:rsidRPr="005C2802">
        <w:rPr>
          <w:lang w:val="es-ES_tradnl"/>
        </w:rPr>
        <w:tab/>
        <w:t xml:space="preserve">se añade un </w:t>
      </w:r>
      <w:r w:rsidRPr="005C2802">
        <w:rPr>
          <w:i/>
          <w:iCs/>
          <w:lang w:val="es-ES_tradnl"/>
        </w:rPr>
        <w:t>considerando</w:t>
      </w:r>
      <w:r w:rsidR="003A4CCA">
        <w:rPr>
          <w:i/>
          <w:iCs/>
          <w:lang w:val="es-ES_tradnl"/>
        </w:rPr>
        <w:t> </w:t>
      </w:r>
      <w:r w:rsidRPr="005C2802">
        <w:rPr>
          <w:i/>
          <w:iCs/>
          <w:lang w:val="es-ES_tradnl"/>
        </w:rPr>
        <w:t>c)</w:t>
      </w:r>
      <w:r w:rsidRPr="005C2802">
        <w:rPr>
          <w:lang w:val="es-ES_tradnl"/>
        </w:rPr>
        <w:t>;</w:t>
      </w:r>
    </w:p>
    <w:p w14:paraId="63CD34C5" w14:textId="06E24EED" w:rsidR="005C2802" w:rsidRPr="005C2802" w:rsidRDefault="005C2802" w:rsidP="005C2802">
      <w:pPr>
        <w:pStyle w:val="enumlev1"/>
        <w:rPr>
          <w:lang w:val="es-ES_tradnl"/>
        </w:rPr>
      </w:pPr>
      <w:r w:rsidRPr="005C2802">
        <w:rPr>
          <w:lang w:val="es-ES_tradnl"/>
        </w:rPr>
        <w:t>–</w:t>
      </w:r>
      <w:r w:rsidRPr="005C2802">
        <w:rPr>
          <w:lang w:val="es-ES_tradnl"/>
        </w:rPr>
        <w:tab/>
        <w:t>se ajusta el texto a la subdivisión métrica y los prefijos del Cuadro</w:t>
      </w:r>
      <w:r w:rsidR="003A4CCA">
        <w:rPr>
          <w:lang w:val="es-ES_tradnl"/>
        </w:rPr>
        <w:t> </w:t>
      </w:r>
      <w:r w:rsidRPr="005C2802">
        <w:rPr>
          <w:lang w:val="es-ES_tradnl"/>
        </w:rPr>
        <w:t>7, «Prefijos SI», del folleto del Sistema Internacional de Unidades (SI);</w:t>
      </w:r>
    </w:p>
    <w:p w14:paraId="526E5AEF" w14:textId="77777777" w:rsidR="005C2802" w:rsidRPr="005C2802" w:rsidRDefault="005C2802" w:rsidP="005C2802">
      <w:pPr>
        <w:pStyle w:val="enumlev1"/>
        <w:rPr>
          <w:lang w:val="es-ES_tradnl"/>
        </w:rPr>
      </w:pPr>
      <w:r w:rsidRPr="005C2802">
        <w:rPr>
          <w:lang w:val="es-ES_tradnl"/>
        </w:rPr>
        <w:t>–</w:t>
      </w:r>
      <w:r w:rsidRPr="005C2802">
        <w:rPr>
          <w:lang w:val="es-ES_tradnl"/>
        </w:rPr>
        <w:tab/>
        <w:t>se evita el uso del prefijo obsoleto «miria»;</w:t>
      </w:r>
    </w:p>
    <w:p w14:paraId="6EA355D8" w14:textId="1EFC2FDF" w:rsidR="005C2802" w:rsidRPr="005C2802" w:rsidRDefault="005C2802" w:rsidP="00E72230">
      <w:pPr>
        <w:pStyle w:val="enumlev1"/>
        <w:rPr>
          <w:lang w:val="es-ES_tradnl"/>
        </w:rPr>
      </w:pPr>
      <w:r w:rsidRPr="005C2802">
        <w:rPr>
          <w:lang w:val="es-ES_tradnl"/>
        </w:rPr>
        <w:t>–</w:t>
      </w:r>
      <w:r w:rsidRPr="005C2802">
        <w:rPr>
          <w:lang w:val="es-ES_tradnl"/>
        </w:rPr>
        <w:tab/>
        <w:t>se suprime la columna «Abreviaturas métricas para las bandas» en aras de la armonización del texto con el Cuadro del número </w:t>
      </w:r>
      <w:r w:rsidRPr="005C2802">
        <w:rPr>
          <w:b/>
          <w:bCs/>
          <w:lang w:val="es-ES_tradnl"/>
        </w:rPr>
        <w:t>2.1</w:t>
      </w:r>
      <w:r w:rsidRPr="005C2802">
        <w:rPr>
          <w:lang w:val="es-ES_tradnl"/>
        </w:rPr>
        <w:t xml:space="preserve"> del</w:t>
      </w:r>
      <w:r w:rsidR="00E72230">
        <w:rPr>
          <w:lang w:val="es-ES_tradnl"/>
        </w:rPr>
        <w:t> </w:t>
      </w:r>
      <w:r w:rsidRPr="005C2802">
        <w:rPr>
          <w:lang w:val="es-ES_tradnl"/>
        </w:rPr>
        <w:t>RR, modificado por la</w:t>
      </w:r>
      <w:r w:rsidR="00E72230">
        <w:rPr>
          <w:lang w:val="es-ES_tradnl"/>
        </w:rPr>
        <w:t> </w:t>
      </w:r>
      <w:r w:rsidRPr="005C2802">
        <w:rPr>
          <w:lang w:val="es-ES_tradnl"/>
        </w:rPr>
        <w:t>CMR</w:t>
      </w:r>
      <w:r w:rsidR="00E72230">
        <w:rPr>
          <w:lang w:val="es-ES_tradnl"/>
        </w:rPr>
        <w:noBreakHyphen/>
      </w:r>
      <w:r w:rsidRPr="005C2802">
        <w:rPr>
          <w:lang w:val="es-ES_tradnl"/>
        </w:rPr>
        <w:t>15;</w:t>
      </w:r>
    </w:p>
    <w:p w14:paraId="0B212334" w14:textId="35612C04" w:rsidR="005C2802" w:rsidRPr="005C2802" w:rsidRDefault="005C2802" w:rsidP="005C2802">
      <w:pPr>
        <w:pStyle w:val="enumlev1"/>
        <w:rPr>
          <w:lang w:val="es-ES_tradnl"/>
        </w:rPr>
      </w:pPr>
      <w:r w:rsidRPr="005C2802">
        <w:rPr>
          <w:lang w:val="es-ES_tradnl"/>
        </w:rPr>
        <w:t>–</w:t>
      </w:r>
      <w:r w:rsidRPr="005C2802">
        <w:rPr>
          <w:lang w:val="es-ES_tradnl"/>
        </w:rPr>
        <w:tab/>
        <w:t>se revisa el Cuadro</w:t>
      </w:r>
      <w:r w:rsidR="003A4CCA">
        <w:rPr>
          <w:lang w:val="es-ES_tradnl"/>
        </w:rPr>
        <w:t> </w:t>
      </w:r>
      <w:r w:rsidRPr="005C2802">
        <w:rPr>
          <w:lang w:val="es-ES_tradnl"/>
        </w:rPr>
        <w:t>2; y</w:t>
      </w:r>
    </w:p>
    <w:p w14:paraId="11502C61" w14:textId="68C60290" w:rsidR="005C2802" w:rsidRPr="005C2802" w:rsidRDefault="005C2802" w:rsidP="005C2802">
      <w:pPr>
        <w:pStyle w:val="enumlev1"/>
        <w:rPr>
          <w:lang w:val="es-ES_tradnl"/>
        </w:rPr>
      </w:pPr>
      <w:r w:rsidRPr="005C2802">
        <w:rPr>
          <w:lang w:val="es-ES_tradnl"/>
        </w:rPr>
        <w:t>–</w:t>
      </w:r>
      <w:r w:rsidRPr="005C2802">
        <w:rPr>
          <w:lang w:val="es-ES_tradnl"/>
        </w:rPr>
        <w:tab/>
        <w:t>en el Cuadro</w:t>
      </w:r>
      <w:r w:rsidR="003A4CCA">
        <w:rPr>
          <w:lang w:val="es-ES_tradnl"/>
        </w:rPr>
        <w:t> </w:t>
      </w:r>
      <w:r w:rsidRPr="005C2802">
        <w:rPr>
          <w:lang w:val="es-ES_tradnl"/>
        </w:rPr>
        <w:t>4, se sustituye «Gama del espectro» por «Gama de frecuencias».</w:t>
      </w:r>
    </w:p>
    <w:p w14:paraId="503569BE" w14:textId="77777777" w:rsidR="005C2802" w:rsidRPr="00493BCF" w:rsidRDefault="005C2802" w:rsidP="00493BCF">
      <w:pPr>
        <w:rPr>
          <w:lang w:val="es-ES_tradnl"/>
        </w:rPr>
      </w:pPr>
    </w:p>
    <w:p w14:paraId="2C267CCF" w14:textId="77777777" w:rsidR="005C2802" w:rsidRDefault="005C2802">
      <w:pPr>
        <w:jc w:val="center"/>
      </w:pPr>
      <w:r>
        <w:t>______________</w:t>
      </w:r>
    </w:p>
    <w:sectPr w:rsidR="005C2802" w:rsidSect="00D316C8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8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ACD3" w14:textId="77777777" w:rsidR="00F914BD" w:rsidRDefault="00F914BD">
      <w:r>
        <w:separator/>
      </w:r>
    </w:p>
  </w:endnote>
  <w:endnote w:type="continuationSeparator" w:id="0">
    <w:p w14:paraId="159FBCF4" w14:textId="77777777" w:rsidR="00F914BD" w:rsidRDefault="00F9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B5DD" w14:textId="18239458" w:rsidR="005370F0" w:rsidRPr="00AA0773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82526C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="00AA0773" w:rsidRPr="0052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FF5F9" w14:textId="77777777" w:rsidR="00F914BD" w:rsidRDefault="00F914BD">
      <w:r>
        <w:t>____________________</w:t>
      </w:r>
    </w:p>
  </w:footnote>
  <w:footnote w:type="continuationSeparator" w:id="0">
    <w:p w14:paraId="49148481" w14:textId="77777777" w:rsidR="00F914BD" w:rsidRDefault="00F9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0409C569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8C66" w14:textId="0C44C4F9" w:rsidR="00D316C8" w:rsidRPr="00E72230" w:rsidRDefault="00E72230" w:rsidP="00E72230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Pr="000E64C9">
      <w:rPr>
        <w:iCs/>
        <w:sz w:val="18"/>
        <w:szCs w:val="16"/>
      </w:rPr>
      <w:fldChar w:fldCharType="begin"/>
    </w:r>
    <w:r w:rsidRPr="000E64C9">
      <w:rPr>
        <w:iCs/>
        <w:sz w:val="18"/>
        <w:szCs w:val="16"/>
      </w:rPr>
      <w:instrText xml:space="preserve"> PAGE  \* MERGEFORMAT </w:instrText>
    </w:r>
    <w:r w:rsidRPr="000E64C9">
      <w:rPr>
        <w:iCs/>
        <w:sz w:val="18"/>
        <w:szCs w:val="16"/>
      </w:rPr>
      <w:fldChar w:fldCharType="separate"/>
    </w:r>
    <w:r>
      <w:rPr>
        <w:iCs/>
        <w:sz w:val="18"/>
        <w:szCs w:val="16"/>
      </w:rPr>
      <w:t>3</w:t>
    </w:r>
    <w:r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2A3F03" w14:paraId="17DCC20F" w14:textId="77777777" w:rsidTr="002A3F03">
      <w:tc>
        <w:tcPr>
          <w:tcW w:w="9862" w:type="dxa"/>
          <w:tcMar>
            <w:left w:w="0" w:type="dxa"/>
          </w:tcMar>
        </w:tcPr>
        <w:p w14:paraId="0EDA5A65" w14:textId="77777777" w:rsidR="002A3F03" w:rsidRDefault="002A3F03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54BBB77" wp14:editId="2563B30D">
                <wp:extent cx="765175" cy="765175"/>
                <wp:effectExtent l="0" t="0" r="0" b="0"/>
                <wp:docPr id="1350946514" name="Picture 135094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0D68E2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880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AA0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C0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E021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C2D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47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6B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FA9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2C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101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15"/>
  </w:num>
  <w:num w:numId="3" w16cid:durableId="1024330495">
    <w:abstractNumId w:val="9"/>
  </w:num>
  <w:num w:numId="4" w16cid:durableId="51926699">
    <w:abstractNumId w:val="7"/>
  </w:num>
  <w:num w:numId="5" w16cid:durableId="1098527487">
    <w:abstractNumId w:val="6"/>
  </w:num>
  <w:num w:numId="6" w16cid:durableId="1643001254">
    <w:abstractNumId w:val="5"/>
  </w:num>
  <w:num w:numId="7" w16cid:durableId="1525904458">
    <w:abstractNumId w:val="4"/>
  </w:num>
  <w:num w:numId="8" w16cid:durableId="2081830850">
    <w:abstractNumId w:val="8"/>
  </w:num>
  <w:num w:numId="9" w16cid:durableId="1069766190">
    <w:abstractNumId w:val="3"/>
  </w:num>
  <w:num w:numId="10" w16cid:durableId="1024556800">
    <w:abstractNumId w:val="2"/>
  </w:num>
  <w:num w:numId="11" w16cid:durableId="966622586">
    <w:abstractNumId w:val="1"/>
  </w:num>
  <w:num w:numId="12" w16cid:durableId="186536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141F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3F03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1B9"/>
    <w:rsid w:val="00353E34"/>
    <w:rsid w:val="003666FF"/>
    <w:rsid w:val="0037309C"/>
    <w:rsid w:val="00380A6E"/>
    <w:rsid w:val="003836D4"/>
    <w:rsid w:val="003969C9"/>
    <w:rsid w:val="003974CD"/>
    <w:rsid w:val="003A1F49"/>
    <w:rsid w:val="003A359E"/>
    <w:rsid w:val="003A4CCA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0D46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3BCF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4B2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802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526C"/>
    <w:rsid w:val="00833DCF"/>
    <w:rsid w:val="00854131"/>
    <w:rsid w:val="0085652D"/>
    <w:rsid w:val="0087694B"/>
    <w:rsid w:val="00880F4D"/>
    <w:rsid w:val="008B35A3"/>
    <w:rsid w:val="008B37E1"/>
    <w:rsid w:val="008B45F8"/>
    <w:rsid w:val="008B5B12"/>
    <w:rsid w:val="008C2E74"/>
    <w:rsid w:val="008D5409"/>
    <w:rsid w:val="008D6955"/>
    <w:rsid w:val="008E006D"/>
    <w:rsid w:val="008E38B4"/>
    <w:rsid w:val="008E6F33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53A80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0773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0A2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16C8"/>
    <w:rsid w:val="00D35AB9"/>
    <w:rsid w:val="00D41571"/>
    <w:rsid w:val="00D416A0"/>
    <w:rsid w:val="00D47672"/>
    <w:rsid w:val="00D5123C"/>
    <w:rsid w:val="00D55560"/>
    <w:rsid w:val="00D57B71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32F9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2230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BD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5C28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C2802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C2802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5C2802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s-ES"/>
    </w:rPr>
  </w:style>
  <w:style w:type="paragraph" w:styleId="Revision">
    <w:name w:val="Revision"/>
    <w:hidden/>
    <w:uiPriority w:val="99"/>
    <w:semiHidden/>
    <w:rsid w:val="003A4CC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S-R.1-9-2023/e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tranet.itu.int/rsg-meetings/ccv/Share/CCT%20meeting%202025-08-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tranet.itu.int/rsg-meetings/ccv/Share/CCT%20meeting%202025-08-05/Input%20contributions/186e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s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C/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531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3870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Panoussopoulos, Sonia</dc:creator>
  <cp:lastModifiedBy>Editors</cp:lastModifiedBy>
  <cp:revision>9</cp:revision>
  <cp:lastPrinted>2013-03-08T10:15:00Z</cp:lastPrinted>
  <dcterms:created xsi:type="dcterms:W3CDTF">2025-08-12T12:44:00Z</dcterms:created>
  <dcterms:modified xsi:type="dcterms:W3CDTF">2025-08-18T13:59:00Z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