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CD2A5A" w14:paraId="072F84B0" w14:textId="77777777" w:rsidTr="00153E23">
        <w:tc>
          <w:tcPr>
            <w:tcW w:w="5000" w:type="pct"/>
            <w:gridSpan w:val="3"/>
            <w:shd w:val="clear" w:color="auto" w:fill="auto"/>
          </w:tcPr>
          <w:p w14:paraId="5921BB65" w14:textId="77777777" w:rsidR="000F7BBE" w:rsidRPr="00CD2A5A" w:rsidRDefault="000F7BBE" w:rsidP="00F16820">
            <w:pPr>
              <w:spacing w:before="240" w:line="340" w:lineRule="exact"/>
              <w:rPr>
                <w:b/>
                <w:bCs/>
                <w:color w:val="808080" w:themeColor="background1" w:themeShade="80"/>
                <w:sz w:val="28"/>
                <w:szCs w:val="28"/>
                <w:rtl/>
                <w:lang w:bidi="ar-EG"/>
              </w:rPr>
            </w:pPr>
            <w:r w:rsidRPr="00CD2A5A">
              <w:rPr>
                <w:b/>
                <w:bCs/>
                <w:color w:val="808080" w:themeColor="background1" w:themeShade="80"/>
                <w:sz w:val="28"/>
                <w:szCs w:val="28"/>
                <w:rtl/>
              </w:rPr>
              <w:t>مكتب</w:t>
            </w:r>
            <w:r w:rsidRPr="00CD2A5A">
              <w:rPr>
                <w:rFonts w:hint="cs"/>
                <w:b/>
                <w:bCs/>
                <w:color w:val="808080" w:themeColor="background1" w:themeShade="80"/>
                <w:sz w:val="28"/>
                <w:szCs w:val="28"/>
                <w:rtl/>
              </w:rPr>
              <w:t xml:space="preserve"> </w:t>
            </w:r>
            <w:r w:rsidRPr="00CD2A5A">
              <w:rPr>
                <w:b/>
                <w:bCs/>
                <w:color w:val="808080" w:themeColor="background1" w:themeShade="80"/>
                <w:sz w:val="28"/>
                <w:szCs w:val="28"/>
                <w:rtl/>
              </w:rPr>
              <w:t>الاتصالات</w:t>
            </w:r>
            <w:r w:rsidRPr="00CD2A5A">
              <w:rPr>
                <w:rFonts w:hint="cs"/>
                <w:b/>
                <w:bCs/>
                <w:color w:val="808080" w:themeColor="background1" w:themeShade="80"/>
                <w:sz w:val="28"/>
                <w:szCs w:val="28"/>
                <w:rtl/>
              </w:rPr>
              <w:t xml:space="preserve"> </w:t>
            </w:r>
            <w:r w:rsidRPr="00CD2A5A">
              <w:rPr>
                <w:b/>
                <w:bCs/>
                <w:color w:val="808080" w:themeColor="background1" w:themeShade="80"/>
                <w:sz w:val="28"/>
                <w:szCs w:val="28"/>
                <w:rtl/>
              </w:rPr>
              <w:t>الراديوية</w:t>
            </w:r>
            <w:r w:rsidRPr="00CD2A5A">
              <w:rPr>
                <w:rFonts w:hint="cs"/>
                <w:b/>
                <w:bCs/>
                <w:color w:val="808080" w:themeColor="background1" w:themeShade="80"/>
                <w:sz w:val="28"/>
                <w:szCs w:val="28"/>
                <w:rtl/>
              </w:rPr>
              <w:t xml:space="preserve"> </w:t>
            </w:r>
            <w:r w:rsidRPr="00CD2A5A">
              <w:rPr>
                <w:b/>
                <w:bCs/>
                <w:color w:val="808080" w:themeColor="background1" w:themeShade="80"/>
                <w:sz w:val="28"/>
                <w:szCs w:val="28"/>
                <w:lang w:bidi="ar-EG"/>
              </w:rPr>
              <w:t>(BR)</w:t>
            </w:r>
          </w:p>
          <w:p w14:paraId="7E1F05D4" w14:textId="77777777" w:rsidR="000F7BBE" w:rsidRPr="00CD2A5A" w:rsidRDefault="000F7BBE" w:rsidP="000F7BBE">
            <w:pPr>
              <w:rPr>
                <w:b/>
                <w:bCs/>
                <w:rtl/>
                <w:lang w:bidi="ar-EG"/>
              </w:rPr>
            </w:pPr>
          </w:p>
        </w:tc>
      </w:tr>
      <w:tr w:rsidR="000F7BBE" w:rsidRPr="00CD2A5A" w14:paraId="3AE5EE5A" w14:textId="77777777" w:rsidTr="00153E23">
        <w:tc>
          <w:tcPr>
            <w:tcW w:w="2707" w:type="pct"/>
            <w:gridSpan w:val="2"/>
            <w:shd w:val="clear" w:color="auto" w:fill="auto"/>
          </w:tcPr>
          <w:p w14:paraId="4502125A" w14:textId="56685805" w:rsidR="000F7BBE" w:rsidRPr="00CD2A5A" w:rsidRDefault="000F7BBE" w:rsidP="004111FB">
            <w:pPr>
              <w:spacing w:before="80" w:line="300" w:lineRule="exact"/>
              <w:rPr>
                <w:position w:val="2"/>
                <w:lang w:bidi="ar-EG"/>
              </w:rPr>
            </w:pPr>
            <w:r w:rsidRPr="00CD2A5A">
              <w:rPr>
                <w:rFonts w:hint="cs"/>
                <w:position w:val="2"/>
                <w:rtl/>
                <w:lang w:bidi="ar-AE"/>
              </w:rPr>
              <w:t>الرسالة الإدارية المعممة</w:t>
            </w:r>
          </w:p>
          <w:p w14:paraId="7B86EC4B" w14:textId="61725B3A" w:rsidR="000F7BBE" w:rsidRPr="00CD2A5A" w:rsidRDefault="000F7BBE" w:rsidP="004111FB">
            <w:pPr>
              <w:spacing w:before="0" w:after="60" w:line="300" w:lineRule="exact"/>
              <w:rPr>
                <w:position w:val="2"/>
                <w:rtl/>
                <w:lang w:bidi="ar-SY"/>
              </w:rPr>
            </w:pPr>
            <w:r w:rsidRPr="00CD2A5A">
              <w:rPr>
                <w:b/>
                <w:bCs/>
                <w:position w:val="2"/>
                <w:lang w:val="en-GB" w:bidi="ar-EG"/>
              </w:rPr>
              <w:t>CACE/</w:t>
            </w:r>
            <w:r w:rsidR="00CD2A5A">
              <w:rPr>
                <w:b/>
                <w:bCs/>
                <w:position w:val="2"/>
                <w:lang w:val="en-GB" w:bidi="ar-EG"/>
              </w:rPr>
              <w:t>1152</w:t>
            </w:r>
          </w:p>
        </w:tc>
        <w:tc>
          <w:tcPr>
            <w:tcW w:w="2293" w:type="pct"/>
            <w:shd w:val="clear" w:color="auto" w:fill="auto"/>
          </w:tcPr>
          <w:p w14:paraId="02240524" w14:textId="4A9E27C1" w:rsidR="000F7BBE" w:rsidRPr="00CD2A5A" w:rsidRDefault="00E30B65" w:rsidP="00CD2A5A">
            <w:pPr>
              <w:spacing w:before="80" w:after="60" w:line="300" w:lineRule="exact"/>
              <w:jc w:val="right"/>
              <w:rPr>
                <w:position w:val="2"/>
                <w:rtl/>
              </w:rPr>
            </w:pPr>
            <w:r>
              <w:rPr>
                <w:position w:val="2"/>
                <w:rtl/>
                <w:lang w:val="fr-FR"/>
              </w:rPr>
              <w:t>20</w:t>
            </w:r>
            <w:r w:rsidR="00CD2A5A" w:rsidRPr="00274C3A">
              <w:rPr>
                <w:position w:val="2"/>
                <w:rtl/>
                <w:lang w:val="fr-FR"/>
              </w:rPr>
              <w:t xml:space="preserve"> أغسطس</w:t>
            </w:r>
            <w:r w:rsidR="00CD2A5A" w:rsidRPr="00274C3A">
              <w:rPr>
                <w:rFonts w:hint="cs"/>
                <w:position w:val="2"/>
                <w:rtl/>
                <w:lang w:val="fr-FR" w:bidi="ar-SY"/>
              </w:rPr>
              <w:t xml:space="preserve"> </w:t>
            </w:r>
            <w:r w:rsidR="00014A33" w:rsidRPr="00274C3A">
              <w:rPr>
                <w:position w:val="2"/>
                <w:lang w:bidi="ar-EG"/>
              </w:rPr>
              <w:t>2025</w:t>
            </w:r>
          </w:p>
        </w:tc>
      </w:tr>
      <w:tr w:rsidR="000F7BBE" w:rsidRPr="00CD2A5A" w14:paraId="6A53535F" w14:textId="77777777" w:rsidTr="00153E23">
        <w:tc>
          <w:tcPr>
            <w:tcW w:w="5000" w:type="pct"/>
            <w:gridSpan w:val="3"/>
            <w:shd w:val="clear" w:color="auto" w:fill="auto"/>
          </w:tcPr>
          <w:p w14:paraId="21F5B5FC" w14:textId="77777777" w:rsidR="000F7BBE" w:rsidRPr="00CD2A5A" w:rsidRDefault="000F7BBE" w:rsidP="004111FB">
            <w:pPr>
              <w:spacing w:before="0" w:line="260" w:lineRule="exact"/>
              <w:rPr>
                <w:position w:val="2"/>
                <w:rtl/>
                <w:lang w:bidi="ar-SY"/>
              </w:rPr>
            </w:pPr>
          </w:p>
        </w:tc>
      </w:tr>
      <w:tr w:rsidR="000F7BBE" w:rsidRPr="00CD2A5A" w14:paraId="6666F1AD" w14:textId="77777777" w:rsidTr="00153E23">
        <w:tc>
          <w:tcPr>
            <w:tcW w:w="5000" w:type="pct"/>
            <w:gridSpan w:val="3"/>
            <w:shd w:val="clear" w:color="auto" w:fill="auto"/>
          </w:tcPr>
          <w:p w14:paraId="19B240A6" w14:textId="77777777" w:rsidR="000F7BBE" w:rsidRPr="00CD2A5A" w:rsidRDefault="000F7BBE" w:rsidP="004111FB">
            <w:pPr>
              <w:spacing w:before="0" w:line="260" w:lineRule="exact"/>
              <w:rPr>
                <w:position w:val="2"/>
                <w:rtl/>
                <w:lang w:bidi="ar-SY"/>
              </w:rPr>
            </w:pPr>
          </w:p>
        </w:tc>
      </w:tr>
      <w:tr w:rsidR="000F7BBE" w:rsidRPr="00CD2A5A" w14:paraId="70E28747" w14:textId="77777777" w:rsidTr="00153E23">
        <w:tc>
          <w:tcPr>
            <w:tcW w:w="5000" w:type="pct"/>
            <w:gridSpan w:val="3"/>
            <w:shd w:val="clear" w:color="auto" w:fill="auto"/>
          </w:tcPr>
          <w:p w14:paraId="16525DBB" w14:textId="50FFDFC3" w:rsidR="000F7BBE" w:rsidRPr="00CD2A5A" w:rsidRDefault="0038416F" w:rsidP="0038416F">
            <w:pPr>
              <w:spacing w:before="80" w:after="60" w:line="300" w:lineRule="exact"/>
              <w:jc w:val="left"/>
              <w:rPr>
                <w:b/>
                <w:bCs/>
                <w:position w:val="2"/>
                <w:lang w:bidi="ar-EG"/>
              </w:rPr>
            </w:pPr>
            <w:r w:rsidRPr="0038416F">
              <w:rPr>
                <w:b/>
                <w:bCs/>
                <w:position w:val="2"/>
                <w:rtl/>
              </w:rPr>
              <w:t>إلى إدارات الدول الأعضاء في الاتحاد وأعضاء قطاع الاتصالات الراديوية والمنتسبين إليه والهيئات الأكاديمية المنضمة إليه المشاركين في أعمال لجنة تنسيق المصطلحات بالاتحاد</w:t>
            </w:r>
          </w:p>
        </w:tc>
      </w:tr>
      <w:tr w:rsidR="000F7BBE" w:rsidRPr="00CD2A5A" w14:paraId="0B2C5949" w14:textId="77777777" w:rsidTr="00153E23">
        <w:tc>
          <w:tcPr>
            <w:tcW w:w="5000" w:type="pct"/>
            <w:gridSpan w:val="3"/>
            <w:shd w:val="clear" w:color="auto" w:fill="auto"/>
          </w:tcPr>
          <w:p w14:paraId="3D6C9F69" w14:textId="77777777" w:rsidR="000F7BBE" w:rsidRPr="00CD2A5A" w:rsidRDefault="000F7BBE" w:rsidP="004111FB">
            <w:pPr>
              <w:spacing w:before="0" w:line="260" w:lineRule="exact"/>
              <w:rPr>
                <w:position w:val="2"/>
                <w:rtl/>
                <w:lang w:bidi="ar-SY"/>
              </w:rPr>
            </w:pPr>
          </w:p>
        </w:tc>
      </w:tr>
      <w:tr w:rsidR="000F7BBE" w:rsidRPr="00CD2A5A" w14:paraId="62761E4B" w14:textId="77777777" w:rsidTr="00153E23">
        <w:tc>
          <w:tcPr>
            <w:tcW w:w="5000" w:type="pct"/>
            <w:gridSpan w:val="3"/>
            <w:shd w:val="clear" w:color="auto" w:fill="auto"/>
          </w:tcPr>
          <w:p w14:paraId="3F6A0CB4" w14:textId="77777777" w:rsidR="000F7BBE" w:rsidRPr="00CD2A5A" w:rsidRDefault="000F7BBE" w:rsidP="004111FB">
            <w:pPr>
              <w:spacing w:before="0" w:line="260" w:lineRule="exact"/>
              <w:rPr>
                <w:position w:val="2"/>
                <w:rtl/>
                <w:lang w:bidi="ar-SY"/>
              </w:rPr>
            </w:pPr>
          </w:p>
        </w:tc>
      </w:tr>
      <w:tr w:rsidR="000F7BBE" w:rsidRPr="00E30B65" w14:paraId="5FA471ED" w14:textId="77777777" w:rsidTr="00153E23">
        <w:trPr>
          <w:trHeight w:val="452"/>
        </w:trPr>
        <w:tc>
          <w:tcPr>
            <w:tcW w:w="699" w:type="pct"/>
            <w:shd w:val="clear" w:color="auto" w:fill="auto"/>
          </w:tcPr>
          <w:p w14:paraId="68751955" w14:textId="77777777" w:rsidR="000F7BBE" w:rsidRPr="00CD2A5A" w:rsidRDefault="000F7BBE" w:rsidP="000F7BBE">
            <w:pPr>
              <w:spacing w:before="80" w:after="60" w:line="300" w:lineRule="exact"/>
              <w:rPr>
                <w:position w:val="2"/>
                <w:lang w:val="fr-FR" w:bidi="ar-EG"/>
              </w:rPr>
            </w:pPr>
            <w:r w:rsidRPr="00CD2A5A">
              <w:rPr>
                <w:position w:val="2"/>
                <w:rtl/>
              </w:rPr>
              <w:t>الموضوع</w:t>
            </w:r>
            <w:r w:rsidRPr="00CD2A5A">
              <w:rPr>
                <w:position w:val="2"/>
                <w:lang w:val="en-GB" w:bidi="ar-EG"/>
              </w:rPr>
              <w:t>:</w:t>
            </w:r>
          </w:p>
        </w:tc>
        <w:tc>
          <w:tcPr>
            <w:tcW w:w="4301" w:type="pct"/>
            <w:gridSpan w:val="2"/>
            <w:shd w:val="clear" w:color="auto" w:fill="auto"/>
          </w:tcPr>
          <w:p w14:paraId="018ED535" w14:textId="77777777" w:rsidR="000F7BBE" w:rsidRPr="007B1214" w:rsidRDefault="00C97E8A" w:rsidP="00C97E8A">
            <w:pPr>
              <w:rPr>
                <w:b/>
                <w:bCs/>
                <w:lang w:val="fr-FR"/>
              </w:rPr>
            </w:pPr>
            <w:r w:rsidRPr="00274C3A">
              <w:rPr>
                <w:b/>
                <w:bCs/>
                <w:rtl/>
              </w:rPr>
              <w:t>لجنة تنسيق المصطلحات في الاتحاد</w:t>
            </w:r>
          </w:p>
          <w:p w14:paraId="6F59B5E8" w14:textId="27716E5F" w:rsidR="00C97E8A" w:rsidRPr="007B1214" w:rsidRDefault="00C97E8A" w:rsidP="00C97E8A">
            <w:pPr>
              <w:ind w:left="794" w:hanging="794"/>
              <w:rPr>
                <w:b/>
                <w:bCs/>
                <w:lang w:val="fr-FR" w:bidi="ar-EG"/>
              </w:rPr>
            </w:pPr>
            <w:r w:rsidRPr="00274C3A">
              <w:rPr>
                <w:rFonts w:hint="cs"/>
                <w:b/>
                <w:bCs/>
                <w:color w:val="000000"/>
                <w:rtl/>
              </w:rPr>
              <w:t>-</w:t>
            </w:r>
            <w:r w:rsidRPr="00274C3A">
              <w:rPr>
                <w:b/>
                <w:bCs/>
                <w:color w:val="000000"/>
                <w:rtl/>
              </w:rPr>
              <w:tab/>
              <w:t xml:space="preserve">اقتراح اعتماد مشروع مراجعة توصية صادرة عن قطاع الاتصالات الراديوية والموافقة عليها في نفس الوقت عن طريق المراسلة وفقاً للفقرة </w:t>
            </w:r>
            <w:r w:rsidRPr="007B1214">
              <w:rPr>
                <w:b/>
                <w:bCs/>
                <w:color w:val="000000"/>
                <w:lang w:val="fr-FR"/>
              </w:rPr>
              <w:t>4.2.6.A2</w:t>
            </w:r>
            <w:r w:rsidRPr="00274C3A">
              <w:rPr>
                <w:b/>
                <w:bCs/>
                <w:color w:val="000000"/>
                <w:rtl/>
              </w:rPr>
              <w:t xml:space="preserve"> من القرار </w:t>
            </w:r>
            <w:r w:rsidRPr="007B1214">
              <w:rPr>
                <w:b/>
                <w:bCs/>
                <w:color w:val="000000"/>
                <w:lang w:val="fr-FR"/>
              </w:rPr>
              <w:t>ITU-R 1-9</w:t>
            </w:r>
            <w:r w:rsidRPr="00274C3A">
              <w:rPr>
                <w:b/>
                <w:bCs/>
                <w:color w:val="000000"/>
                <w:rtl/>
              </w:rPr>
              <w:t xml:space="preserve"> (إجراء الاعتماد والموافقة في نفس الوقت عن طريق المراسلة)</w:t>
            </w:r>
          </w:p>
        </w:tc>
      </w:tr>
    </w:tbl>
    <w:p w14:paraId="6ECDA402" w14:textId="622B0903" w:rsidR="00C97E8A" w:rsidRPr="00274C3A" w:rsidRDefault="00C97E8A" w:rsidP="00274C3A">
      <w:pPr>
        <w:spacing w:before="600"/>
        <w:rPr>
          <w:lang w:val="ar-SA" w:bidi="ar-EG"/>
        </w:rPr>
      </w:pPr>
      <w:r w:rsidRPr="00C97E8A">
        <w:rPr>
          <w:rtl/>
        </w:rPr>
        <w:t xml:space="preserve">قررت لجنة تنسيق المصطلحات </w:t>
      </w:r>
      <w:r w:rsidRPr="00E30B65">
        <w:rPr>
          <w:lang w:bidi="ar-EG"/>
        </w:rPr>
        <w:t>(CCT</w:t>
      </w:r>
      <w:r w:rsidR="00CD4527" w:rsidRPr="00E30B65">
        <w:t>)</w:t>
      </w:r>
      <w:r w:rsidRPr="00C97E8A">
        <w:rPr>
          <w:rtl/>
        </w:rPr>
        <w:t xml:space="preserve">، في اجتماعها المنعقد في 5 أغسطس 2025، أن تلتمس اعتماد مشروع توصية جديدة من قطاع الاتصالات الراديوية عن طريق المراسلة (الفقرة </w:t>
      </w:r>
      <w:r w:rsidR="00CD4527" w:rsidRPr="00E30B65">
        <w:t>2.6.A2</w:t>
      </w:r>
      <w:r w:rsidRPr="00C97E8A">
        <w:rPr>
          <w:rtl/>
        </w:rPr>
        <w:t xml:space="preserve"> من القرار </w:t>
      </w:r>
      <w:hyperlink r:id="rId8" w:history="1">
        <w:r w:rsidR="00CD4527" w:rsidRPr="00E30B65">
          <w:rPr>
            <w:rStyle w:val="Hyperlink"/>
          </w:rPr>
          <w:t xml:space="preserve">ITU-R </w:t>
        </w:r>
        <w:r w:rsidR="00BD5429" w:rsidRPr="00E30B65">
          <w:rPr>
            <w:rStyle w:val="Hyperlink"/>
          </w:rPr>
          <w:t>1-9</w:t>
        </w:r>
      </w:hyperlink>
      <w:r w:rsidRPr="00C97E8A">
        <w:rPr>
          <w:rtl/>
        </w:rPr>
        <w:t>) وقررت كذلك تطبيق إجراء الاعتماد والموافقة في نفس الوقت عن طريق المراسلة (</w:t>
      </w:r>
      <w:r w:rsidRPr="00E30B65">
        <w:rPr>
          <w:lang w:bidi="ar-EG"/>
        </w:rPr>
        <w:t>PSAA</w:t>
      </w:r>
      <w:r w:rsidRPr="00C97E8A">
        <w:rPr>
          <w:rtl/>
        </w:rPr>
        <w:t xml:space="preserve">) (الفقرة </w:t>
      </w:r>
      <w:r w:rsidR="00BD5429" w:rsidRPr="00E30B65">
        <w:t>4.2.6.2A</w:t>
      </w:r>
      <w:r w:rsidRPr="00C97E8A">
        <w:rPr>
          <w:rtl/>
        </w:rPr>
        <w:t xml:space="preserve"> من القرار </w:t>
      </w:r>
      <w:r w:rsidR="00BD5429" w:rsidRPr="00E30B65">
        <w:t>ITU-R 1-9</w:t>
      </w:r>
      <w:r w:rsidRPr="00C97E8A">
        <w:rPr>
          <w:rtl/>
        </w:rPr>
        <w:t>). ويرد في ملحق هذه الرسالة عنوان وملخص مشروع التوصية. ويرجى من أي دولة عضو تبدي اعتراضا</w:t>
      </w:r>
      <w:r w:rsidR="00A27E64">
        <w:rPr>
          <w:rFonts w:hint="cs"/>
          <w:rtl/>
        </w:rPr>
        <w:t>ً</w:t>
      </w:r>
      <w:r w:rsidRPr="00C97E8A">
        <w:rPr>
          <w:rtl/>
        </w:rPr>
        <w:t xml:space="preserve"> على اعتماد مشروع توصية أن تخبر المدير ورؤساء لجنة تنسيق المصطلحات بأسباب </w:t>
      </w:r>
      <w:r w:rsidRPr="00274C3A">
        <w:rPr>
          <w:rtl/>
        </w:rPr>
        <w:t>اعتراضها.</w:t>
      </w:r>
      <w:hyperlink r:id="rId9" w:history="1"/>
      <w:bookmarkStart w:id="0" w:name="_Hlk116571750"/>
      <w:bookmarkEnd w:id="0"/>
    </w:p>
    <w:p w14:paraId="6219D83C" w14:textId="415264D6" w:rsidR="00C97E8A" w:rsidRPr="00C97E8A" w:rsidRDefault="00C97E8A" w:rsidP="00C97E8A">
      <w:pPr>
        <w:rPr>
          <w:lang w:val="ar-SA" w:bidi="ar-EG"/>
        </w:rPr>
      </w:pPr>
      <w:r w:rsidRPr="00274C3A">
        <w:rPr>
          <w:rtl/>
        </w:rPr>
        <w:t xml:space="preserve">وتمتد فترة النظر لمدة شهرين تنتهي في </w:t>
      </w:r>
      <w:r w:rsidR="00E30B65">
        <w:rPr>
          <w:u w:val="single"/>
          <w:lang w:val="es-ES"/>
        </w:rPr>
        <w:t>20</w:t>
      </w:r>
      <w:r w:rsidRPr="00274C3A">
        <w:rPr>
          <w:u w:val="single"/>
          <w:rtl/>
        </w:rPr>
        <w:t xml:space="preserve"> أكتوبر 2025</w:t>
      </w:r>
      <w:r w:rsidRPr="00274C3A">
        <w:rPr>
          <w:rtl/>
        </w:rPr>
        <w:t>. وإذا لم ترد أي اعتراضات من الدول الأعضاء خلال هذه الفترة، فإن مشروع التوصية يُعتبر معتمدا</w:t>
      </w:r>
      <w:r w:rsidR="00BA3913" w:rsidRPr="00274C3A">
        <w:rPr>
          <w:rFonts w:hint="cs"/>
          <w:rtl/>
        </w:rPr>
        <w:t>ً</w:t>
      </w:r>
      <w:r w:rsidRPr="00274C3A">
        <w:rPr>
          <w:rtl/>
        </w:rPr>
        <w:t xml:space="preserve"> من جانب لجنة</w:t>
      </w:r>
      <w:r w:rsidRPr="00C97E8A">
        <w:rPr>
          <w:rtl/>
        </w:rPr>
        <w:t xml:space="preserve"> تنسيق المصطلحات. وعلاوةً على ذلك، ونظراً لاتباع إجراء الاعتماد والموافقة في</w:t>
      </w:r>
      <w:r w:rsidR="00BA3913">
        <w:rPr>
          <w:rFonts w:hint="cs"/>
          <w:rtl/>
        </w:rPr>
        <w:t> </w:t>
      </w:r>
      <w:r w:rsidRPr="00C97E8A">
        <w:rPr>
          <w:rtl/>
        </w:rPr>
        <w:t>نفس الوقت عن طريق المراسلة، فإن مشروع التوصية سيعتبر أيضاً بحكم الموافَق عليه.</w:t>
      </w:r>
    </w:p>
    <w:p w14:paraId="14896B36" w14:textId="489F68A2" w:rsidR="00C97E8A" w:rsidRPr="00C97E8A" w:rsidRDefault="00C97E8A" w:rsidP="00BA3913">
      <w:pPr>
        <w:rPr>
          <w:lang w:val="ar-SA" w:bidi="ar-EG"/>
        </w:rPr>
      </w:pPr>
      <w:r w:rsidRPr="00C97E8A">
        <w:rPr>
          <w:rtl/>
        </w:rPr>
        <w:t>وبعد المهلة المحددة أعلاه، ستُعلن نتائج الإجراءات المذكورة أعلاه في رسالة إدارية معممة وستُنشر التوصية الموافَق عليها في</w:t>
      </w:r>
      <w:r w:rsidR="00BA3913">
        <w:rPr>
          <w:rFonts w:hint="cs"/>
          <w:rtl/>
        </w:rPr>
        <w:t> </w:t>
      </w:r>
      <w:r w:rsidRPr="00C97E8A">
        <w:rPr>
          <w:rtl/>
        </w:rPr>
        <w:t xml:space="preserve">أقرب وقت ممكن (انظر </w:t>
      </w:r>
      <w:hyperlink r:id="rId10" w:history="1">
        <w:r w:rsidR="00BA3913">
          <w:rPr>
            <w:rStyle w:val="Hyperlink"/>
            <w:lang w:val="en-GB"/>
          </w:rPr>
          <w:t>https://www.itu.int/pub/R-REC</w:t>
        </w:r>
      </w:hyperlink>
      <w:r w:rsidRPr="00C97E8A">
        <w:rPr>
          <w:rtl/>
        </w:rPr>
        <w:t>).</w:t>
      </w:r>
      <w:hyperlink r:id="rId11" w:history="1"/>
    </w:p>
    <w:p w14:paraId="39773A1B" w14:textId="2B14A8BF" w:rsidR="00F16820" w:rsidRPr="00CD2A5A" w:rsidRDefault="00C97E8A" w:rsidP="00524913">
      <w:pPr>
        <w:keepNext/>
        <w:rPr>
          <w:rtl/>
          <w:lang w:bidi="ar-EG"/>
        </w:rPr>
      </w:pPr>
      <w:r w:rsidRPr="00C97E8A">
        <w:rPr>
          <w:rtl/>
        </w:rPr>
        <w:lastRenderedPageBreak/>
        <w:t>ويرجى من أي منظمة عضو في الاتحاد تعلم بوجود براءة اختراع لديها أو لدى غيرها تغطي كلياً أو جزئياً عناصر مشروع التوصية المذكورة في هذه الرسالة أن تبلغ الأمانة بهذه المعلومات بأسرع ما يمكن. ويمكن الاطلاع على السياسة المشتركة للبراءات "</w:t>
      </w:r>
      <w:r w:rsidRPr="00C97E8A">
        <w:rPr>
          <w:lang w:val="fr-CH" w:bidi="ar-EG"/>
        </w:rPr>
        <w:t>ITU-T/ITU-R/ISO/IEC</w:t>
      </w:r>
      <w:r w:rsidR="00C80742">
        <w:rPr>
          <w:rFonts w:hint="cs"/>
          <w:rtl/>
          <w:lang w:val="fr-CH" w:bidi="ar-EG"/>
        </w:rPr>
        <w:t>"</w:t>
      </w:r>
      <w:r w:rsidRPr="00C97E8A">
        <w:rPr>
          <w:rtl/>
        </w:rPr>
        <w:t xml:space="preserve"> في الموقع </w:t>
      </w:r>
      <w:hyperlink r:id="rId12" w:history="1">
        <w:r w:rsidR="00274C3A" w:rsidRPr="004E66FB">
          <w:rPr>
            <w:rStyle w:val="Hyperlink"/>
            <w:lang w:val="en-GB"/>
          </w:rPr>
          <w:t>http://www.itu.int/ar/ITU-T/ipr/Pages/policy.aspx</w:t>
        </w:r>
      </w:hyperlink>
      <w:r w:rsidRPr="00C97E8A">
        <w:rPr>
          <w:rtl/>
        </w:rPr>
        <w:t>.</w:t>
      </w:r>
    </w:p>
    <w:p w14:paraId="2DFCF0D5" w14:textId="77777777" w:rsidR="00F16820" w:rsidRPr="00CD2A5A" w:rsidRDefault="00F16820" w:rsidP="00524913">
      <w:pPr>
        <w:keepNext/>
        <w:spacing w:before="240"/>
        <w:rPr>
          <w:rtl/>
          <w:lang w:bidi="ar-EG"/>
        </w:rPr>
      </w:pPr>
      <w:r w:rsidRPr="00CD2A5A">
        <w:rPr>
          <w:rFonts w:hint="cs"/>
          <w:rtl/>
          <w:lang w:bidi="ar-EG"/>
        </w:rPr>
        <w:t>وتفضلوا بقبول فائق التقدير والاحترام.</w:t>
      </w:r>
    </w:p>
    <w:p w14:paraId="5BAFD8BE" w14:textId="12B59C72" w:rsidR="00F16820" w:rsidRDefault="00F16820" w:rsidP="007B1214">
      <w:pPr>
        <w:keepNext/>
        <w:spacing w:before="1200"/>
        <w:jc w:val="left"/>
      </w:pPr>
      <w:r w:rsidRPr="00CD2A5A">
        <w:rPr>
          <w:rtl/>
        </w:rPr>
        <w:t>ماريو مانيفيتش</w:t>
      </w:r>
      <w:r w:rsidRPr="00CD2A5A">
        <w:rPr>
          <w:rtl/>
        </w:rPr>
        <w:br/>
      </w:r>
      <w:r w:rsidRPr="00CD2A5A">
        <w:rPr>
          <w:rFonts w:hint="cs"/>
          <w:rtl/>
        </w:rPr>
        <w:t>المدير</w:t>
      </w:r>
    </w:p>
    <w:p w14:paraId="720D088A" w14:textId="68E64198" w:rsidR="00C97E8A" w:rsidRPr="00C97E8A" w:rsidRDefault="00C97E8A" w:rsidP="007B1214">
      <w:pPr>
        <w:keepNext/>
        <w:spacing w:before="2400"/>
        <w:jc w:val="left"/>
      </w:pPr>
      <w:r w:rsidRPr="00C97E8A">
        <w:rPr>
          <w:b/>
          <w:bCs/>
          <w:rtl/>
        </w:rPr>
        <w:t>الملحق</w:t>
      </w:r>
      <w:r w:rsidR="00524913">
        <w:rPr>
          <w:rFonts w:hint="cs"/>
          <w:b/>
          <w:bCs/>
          <w:rtl/>
          <w:lang w:val="fr-CH"/>
        </w:rPr>
        <w:t>:</w:t>
      </w:r>
      <w:r w:rsidRPr="00C97E8A">
        <w:rPr>
          <w:rtl/>
        </w:rPr>
        <w:t xml:space="preserve"> عنوان وملخص مشروع التوصية</w:t>
      </w:r>
    </w:p>
    <w:p w14:paraId="790D9A27" w14:textId="1A6530B9" w:rsidR="00C97E8A" w:rsidRPr="00274C3A" w:rsidRDefault="00C97E8A" w:rsidP="007B1214">
      <w:pPr>
        <w:spacing w:before="960"/>
        <w:jc w:val="left"/>
      </w:pPr>
      <w:r w:rsidRPr="00274C3A">
        <w:rPr>
          <w:b/>
          <w:bCs/>
          <w:rtl/>
        </w:rPr>
        <w:t>الوثيقة:</w:t>
      </w:r>
      <w:r w:rsidR="00274C3A">
        <w:rPr>
          <w:rtl/>
        </w:rPr>
        <w:tab/>
      </w:r>
      <w:r w:rsidRPr="00274C3A">
        <w:rPr>
          <w:rtl/>
        </w:rPr>
        <w:t>الوثيق</w:t>
      </w:r>
      <w:r w:rsidRPr="00E30B65">
        <w:rPr>
          <w:rtl/>
        </w:rPr>
        <w:t xml:space="preserve">ة </w:t>
      </w:r>
      <w:hyperlink r:id="rId13" w:history="1">
        <w:r w:rsidR="00524913" w:rsidRPr="00E30B65">
          <w:rPr>
            <w:rStyle w:val="Hyperlink"/>
            <w:lang w:val="en-GB"/>
          </w:rPr>
          <w:t>CCT/186</w:t>
        </w:r>
      </w:hyperlink>
      <w:r w:rsidR="00274C3A">
        <w:rPr>
          <w:rFonts w:hint="cs"/>
          <w:rtl/>
          <w:lang w:val="en-GB"/>
        </w:rPr>
        <w:t>.</w:t>
      </w:r>
    </w:p>
    <w:p w14:paraId="5C3F7124" w14:textId="24657CEB" w:rsidR="00C97E8A" w:rsidRDefault="00C97E8A" w:rsidP="009F5212">
      <w:pPr>
        <w:jc w:val="left"/>
        <w:rPr>
          <w:rtl/>
          <w:lang w:val="fr-CH" w:bidi="ar-EG"/>
        </w:rPr>
      </w:pPr>
      <w:r w:rsidRPr="00274C3A">
        <w:rPr>
          <w:rtl/>
        </w:rPr>
        <w:t>وتتاح هذه الوثيقة بنسَق إلكتروني</w:t>
      </w:r>
      <w:r w:rsidR="009F5212" w:rsidRPr="00274C3A">
        <w:rPr>
          <w:rFonts w:hint="cs"/>
          <w:rtl/>
        </w:rPr>
        <w:t xml:space="preserve"> </w:t>
      </w:r>
      <w:r w:rsidRPr="00274C3A">
        <w:rPr>
          <w:rtl/>
        </w:rPr>
        <w:t xml:space="preserve">عبر منصة </w:t>
      </w:r>
      <w:hyperlink r:id="rId14" w:history="1">
        <w:r w:rsidR="009F5212" w:rsidRPr="00E30B65">
          <w:rPr>
            <w:rStyle w:val="Hyperlink"/>
          </w:rPr>
          <w:t>SharePoint</w:t>
        </w:r>
      </w:hyperlink>
      <w:r w:rsidR="00274C3A" w:rsidRPr="00274C3A">
        <w:rPr>
          <w:rFonts w:hint="cs"/>
          <w:rtl/>
          <w:lang w:bidi="ar-EG"/>
        </w:rPr>
        <w:t>.</w:t>
      </w:r>
    </w:p>
    <w:p w14:paraId="041AE82A" w14:textId="77777777" w:rsidR="00FC09E8" w:rsidRPr="00CD2A5A" w:rsidRDefault="00FC09E8" w:rsidP="00A7177B">
      <w:pPr>
        <w:rPr>
          <w:rtl/>
        </w:rPr>
      </w:pPr>
      <w:r w:rsidRPr="00CD2A5A">
        <w:rPr>
          <w:rtl/>
        </w:rPr>
        <w:br w:type="page"/>
      </w:r>
    </w:p>
    <w:p w14:paraId="716202B7" w14:textId="2C55099D" w:rsidR="00C97E8A" w:rsidRPr="00C97E8A" w:rsidRDefault="00C97E8A" w:rsidP="00CD2A39">
      <w:pPr>
        <w:pStyle w:val="Annextitle"/>
        <w:rPr>
          <w:lang w:val="ar-SA" w:bidi="ar-EG"/>
        </w:rPr>
      </w:pPr>
      <w:r w:rsidRPr="00C97E8A">
        <w:rPr>
          <w:rtl/>
        </w:rPr>
        <w:lastRenderedPageBreak/>
        <w:t>الملحـق</w:t>
      </w:r>
      <w:r w:rsidR="00A534ED">
        <w:rPr>
          <w:rtl/>
        </w:rPr>
        <w:br/>
      </w:r>
      <w:r w:rsidR="00CD2A39">
        <w:rPr>
          <w:rtl/>
        </w:rPr>
        <w:br/>
      </w:r>
      <w:r w:rsidRPr="00C97E8A">
        <w:rPr>
          <w:rtl/>
        </w:rPr>
        <w:t>عنوان وملخص مشروع توصية قطاع الاتصالات الراديوية</w:t>
      </w:r>
    </w:p>
    <w:p w14:paraId="580F2003" w14:textId="3ECD1276" w:rsidR="00C97E8A" w:rsidRPr="00C97E8A" w:rsidRDefault="00C97E8A" w:rsidP="001F1CA1">
      <w:pPr>
        <w:tabs>
          <w:tab w:val="right" w:pos="9639"/>
        </w:tabs>
        <w:jc w:val="left"/>
        <w:rPr>
          <w:lang w:val="ar-SA" w:bidi="ar-EG"/>
        </w:rPr>
      </w:pPr>
      <w:r w:rsidRPr="00C97E8A">
        <w:rPr>
          <w:u w:val="single"/>
          <w:rtl/>
        </w:rPr>
        <w:t>مشروع مراجعة التوصية ITU-R V.431-8</w:t>
      </w:r>
      <w:r w:rsidR="00240F20" w:rsidRPr="00240F20">
        <w:rPr>
          <w:rFonts w:hint="cs"/>
          <w:rtl/>
        </w:rPr>
        <w:t xml:space="preserve"> </w:t>
      </w:r>
      <w:r w:rsidR="00240F20" w:rsidRPr="00240F20">
        <w:rPr>
          <w:rtl/>
        </w:rPr>
        <w:tab/>
      </w:r>
      <w:r w:rsidRPr="00C97E8A">
        <w:rPr>
          <w:rtl/>
        </w:rPr>
        <w:t xml:space="preserve">الوثيقة </w:t>
      </w:r>
      <w:r w:rsidRPr="00C97E8A">
        <w:rPr>
          <w:lang w:val="fr-CH" w:bidi="ar-EG"/>
        </w:rPr>
        <w:t>CCT/186</w:t>
      </w:r>
    </w:p>
    <w:p w14:paraId="574C04E8" w14:textId="77777777" w:rsidR="00C97E8A" w:rsidRPr="00D5152F" w:rsidRDefault="00C97E8A" w:rsidP="00D5152F">
      <w:pPr>
        <w:pStyle w:val="Rectitle"/>
        <w:rPr>
          <w:lang w:val="ar-SA" w:bidi="ar-EG"/>
        </w:rPr>
      </w:pPr>
      <w:r w:rsidRPr="00D5152F">
        <w:rPr>
          <w:rtl/>
        </w:rPr>
        <w:t>تسمية نطاقات الترددات وأطوال الموجات المستعملة في الاتصالات</w:t>
      </w:r>
    </w:p>
    <w:p w14:paraId="1A650EC0" w14:textId="5ADB6843" w:rsidR="00C97E8A" w:rsidRPr="00C97E8A" w:rsidRDefault="00C97E8A" w:rsidP="00C97E8A">
      <w:pPr>
        <w:rPr>
          <w:lang w:val="ar-SA" w:bidi="ar-EG"/>
        </w:rPr>
      </w:pPr>
      <w:r w:rsidRPr="00C97E8A">
        <w:rPr>
          <w:rtl/>
        </w:rPr>
        <w:t>ملخص المراجعة</w:t>
      </w:r>
      <w:r w:rsidR="00274C3A">
        <w:rPr>
          <w:rFonts w:hint="cs"/>
          <w:rtl/>
        </w:rPr>
        <w:t>:</w:t>
      </w:r>
    </w:p>
    <w:p w14:paraId="31F3A6C1" w14:textId="7FEEDC4E" w:rsidR="00C97E8A" w:rsidRPr="00C97E8A" w:rsidRDefault="001C18BC" w:rsidP="001F1CA1">
      <w:pPr>
        <w:pStyle w:val="enumlev1"/>
        <w:rPr>
          <w:lang w:val="ar-SA" w:bidi="ar-EG"/>
        </w:rPr>
      </w:pPr>
      <w:r w:rsidRPr="001C18BC">
        <w:rPr>
          <w:lang w:val="fr-CH" w:bidi="ar-EG"/>
        </w:rPr>
        <w:t>–</w:t>
      </w:r>
      <w:r w:rsidR="001F1CA1">
        <w:rPr>
          <w:rtl/>
          <w:lang w:val="fr-CH" w:bidi="ar-EG"/>
        </w:rPr>
        <w:tab/>
      </w:r>
      <w:r w:rsidR="00C97E8A" w:rsidRPr="00C97E8A">
        <w:rPr>
          <w:rtl/>
        </w:rPr>
        <w:t xml:space="preserve">إضافة الرموز </w:t>
      </w:r>
      <w:r w:rsidR="00C97E8A" w:rsidRPr="00C97E8A">
        <w:rPr>
          <w:lang w:val="fr-CH" w:bidi="ar-EG"/>
        </w:rPr>
        <w:t>TLF</w:t>
      </w:r>
      <w:r w:rsidR="00C97E8A" w:rsidRPr="00C97E8A">
        <w:rPr>
          <w:rtl/>
        </w:rPr>
        <w:t xml:space="preserve"> و</w:t>
      </w:r>
      <w:r w:rsidR="00C97E8A" w:rsidRPr="00C97E8A">
        <w:rPr>
          <w:lang w:val="fr-CH" w:bidi="ar-EG"/>
        </w:rPr>
        <w:t>SLF</w:t>
      </w:r>
      <w:r w:rsidR="00C97E8A" w:rsidRPr="00C97E8A">
        <w:rPr>
          <w:rtl/>
        </w:rPr>
        <w:t xml:space="preserve"> و</w:t>
      </w:r>
      <w:r w:rsidR="00C97E8A" w:rsidRPr="00C97E8A">
        <w:rPr>
          <w:lang w:val="fr-CH" w:bidi="ar-EG"/>
        </w:rPr>
        <w:t>THF</w:t>
      </w:r>
      <w:r w:rsidR="00C97E8A" w:rsidRPr="00C97E8A">
        <w:rPr>
          <w:rtl/>
        </w:rPr>
        <w:t xml:space="preserve"> الناقصة وتعديل مدى الترددات المقابل لترددات </w:t>
      </w:r>
      <w:r w:rsidR="00C97E8A" w:rsidRPr="00C97E8A">
        <w:rPr>
          <w:lang w:val="fr-CH" w:bidi="ar-EG"/>
        </w:rPr>
        <w:t>ELF</w:t>
      </w:r>
      <w:r w:rsidR="00C97E8A" w:rsidRPr="00C97E8A">
        <w:rPr>
          <w:rtl/>
        </w:rPr>
        <w:t xml:space="preserve"> تماشيا</w:t>
      </w:r>
      <w:r w:rsidR="007D4D9B">
        <w:rPr>
          <w:rFonts w:hint="cs"/>
          <w:rtl/>
        </w:rPr>
        <w:t>ً</w:t>
      </w:r>
      <w:r w:rsidR="00C97E8A" w:rsidRPr="00C97E8A">
        <w:rPr>
          <w:rtl/>
        </w:rPr>
        <w:t xml:space="preserve"> مع الممارسة الحالية؛</w:t>
      </w:r>
      <w:bookmarkStart w:id="1" w:name="ddistribution"/>
      <w:bookmarkEnd w:id="1"/>
    </w:p>
    <w:p w14:paraId="6B510D22" w14:textId="08E031F6" w:rsidR="00C97E8A" w:rsidRPr="00C97E8A" w:rsidRDefault="001C18BC" w:rsidP="001F1CA1">
      <w:pPr>
        <w:pStyle w:val="enumlev1"/>
        <w:rPr>
          <w:lang w:val="ar-SA" w:bidi="ar-EG"/>
        </w:rPr>
      </w:pPr>
      <w:r w:rsidRPr="001C18BC">
        <w:rPr>
          <w:lang w:val="fr-CH" w:bidi="ar-EG"/>
        </w:rPr>
        <w:t>–</w:t>
      </w:r>
      <w:r w:rsidR="001F1CA1">
        <w:rPr>
          <w:rtl/>
          <w:lang w:val="fr-CH" w:bidi="ar-EG"/>
        </w:rPr>
        <w:tab/>
      </w:r>
      <w:r w:rsidR="00C97E8A" w:rsidRPr="00C97E8A">
        <w:rPr>
          <w:rtl/>
        </w:rPr>
        <w:t>إضافة تسميات للرموز؛</w:t>
      </w:r>
    </w:p>
    <w:p w14:paraId="1F71B515" w14:textId="60E7AE7A" w:rsidR="00C97E8A" w:rsidRPr="00C97E8A" w:rsidRDefault="001C18BC" w:rsidP="001F1CA1">
      <w:pPr>
        <w:pStyle w:val="enumlev1"/>
        <w:rPr>
          <w:lang w:val="ar-SA" w:bidi="ar-EG"/>
        </w:rPr>
      </w:pPr>
      <w:r w:rsidRPr="001C18BC">
        <w:rPr>
          <w:lang w:val="fr-CH" w:bidi="ar-EG"/>
        </w:rPr>
        <w:t>–</w:t>
      </w:r>
      <w:r w:rsidR="001F1CA1">
        <w:rPr>
          <w:rtl/>
          <w:lang w:val="fr-CH" w:bidi="ar-EG"/>
        </w:rPr>
        <w:tab/>
      </w:r>
      <w:r w:rsidR="00C97E8A" w:rsidRPr="00C97E8A">
        <w:rPr>
          <w:rtl/>
        </w:rPr>
        <w:t xml:space="preserve">إضافة </w:t>
      </w:r>
      <w:r w:rsidR="00274C3A">
        <w:rPr>
          <w:rFonts w:hint="cs"/>
          <w:rtl/>
        </w:rPr>
        <w:t>ال</w:t>
      </w:r>
      <w:r w:rsidR="00C97E8A" w:rsidRPr="00C97E8A">
        <w:rPr>
          <w:rtl/>
        </w:rPr>
        <w:t>فقرة</w:t>
      </w:r>
      <w:r w:rsidR="00C97E8A" w:rsidRPr="00C97E8A">
        <w:rPr>
          <w:i/>
          <w:iCs/>
          <w:rtl/>
        </w:rPr>
        <w:t> </w:t>
      </w:r>
      <w:r w:rsidR="00274C3A">
        <w:rPr>
          <w:rFonts w:hint="cs"/>
          <w:i/>
          <w:iCs/>
          <w:rtl/>
        </w:rPr>
        <w:t xml:space="preserve">ج) </w:t>
      </w:r>
      <w:r w:rsidR="00274C3A" w:rsidRPr="00274C3A">
        <w:rPr>
          <w:rFonts w:hint="cs"/>
          <w:rtl/>
        </w:rPr>
        <w:t>من</w:t>
      </w:r>
      <w:r w:rsidR="00274C3A">
        <w:rPr>
          <w:rFonts w:hint="cs"/>
          <w:i/>
          <w:iCs/>
          <w:rtl/>
        </w:rPr>
        <w:t xml:space="preserve"> </w:t>
      </w:r>
      <w:r w:rsidR="00274C3A" w:rsidRPr="00274C3A">
        <w:rPr>
          <w:rFonts w:hint="cs"/>
          <w:rtl/>
        </w:rPr>
        <w:t>" </w:t>
      </w:r>
      <w:r w:rsidR="00C97E8A" w:rsidRPr="00C97E8A">
        <w:rPr>
          <w:i/>
          <w:iCs/>
          <w:rtl/>
        </w:rPr>
        <w:t>إذ تضع في اعتبارها</w:t>
      </w:r>
      <w:r w:rsidR="00274C3A" w:rsidRPr="00274C3A">
        <w:rPr>
          <w:rFonts w:hint="cs"/>
          <w:rtl/>
        </w:rPr>
        <w:t>"</w:t>
      </w:r>
      <w:r w:rsidR="00C97E8A" w:rsidRPr="00274C3A">
        <w:rPr>
          <w:rtl/>
        </w:rPr>
        <w:t>؛</w:t>
      </w:r>
    </w:p>
    <w:p w14:paraId="683CB779" w14:textId="0BE51F5E" w:rsidR="00C97E8A" w:rsidRPr="00C97E8A" w:rsidRDefault="001C18BC" w:rsidP="001F1CA1">
      <w:pPr>
        <w:pStyle w:val="enumlev1"/>
        <w:rPr>
          <w:lang w:val="ar-SA" w:bidi="ar-EG"/>
        </w:rPr>
      </w:pPr>
      <w:r w:rsidRPr="001C18BC">
        <w:rPr>
          <w:lang w:val="fr-CH" w:bidi="ar-EG"/>
        </w:rPr>
        <w:t>–</w:t>
      </w:r>
      <w:r w:rsidR="001F1CA1">
        <w:rPr>
          <w:rtl/>
          <w:lang w:val="fr-CH" w:bidi="ar-EG"/>
        </w:rPr>
        <w:tab/>
      </w:r>
      <w:r w:rsidR="00C97E8A" w:rsidRPr="00C97E8A">
        <w:rPr>
          <w:rtl/>
        </w:rPr>
        <w:t xml:space="preserve">مطابقة للتقسيم الفرعي المتري والبادئات المبينة في </w:t>
      </w:r>
      <w:r w:rsidR="00C97E8A" w:rsidRPr="00274C3A">
        <w:rPr>
          <w:rtl/>
        </w:rPr>
        <w:t>الجدول 7</w:t>
      </w:r>
      <w:r w:rsidR="00C97E8A" w:rsidRPr="00C97E8A">
        <w:rPr>
          <w:rtl/>
        </w:rPr>
        <w:t xml:space="preserve"> "بادئات النظام الدولي للوحدات (</w:t>
      </w:r>
      <w:r w:rsidR="00C97E8A" w:rsidRPr="00C97E8A">
        <w:rPr>
          <w:lang w:val="fr-CH" w:bidi="ar-EG"/>
        </w:rPr>
        <w:t>SI</w:t>
      </w:r>
      <w:r w:rsidR="00C97E8A" w:rsidRPr="00C97E8A">
        <w:rPr>
          <w:rtl/>
        </w:rPr>
        <w:t>)</w:t>
      </w:r>
      <w:r w:rsidR="00C97E8A" w:rsidRPr="00C97E8A">
        <w:rPr>
          <w:lang w:val="fr-CH" w:bidi="ar-EG"/>
        </w:rPr>
        <w:t>"</w:t>
      </w:r>
      <w:r w:rsidR="00C97E8A" w:rsidRPr="00C97E8A">
        <w:rPr>
          <w:rtl/>
        </w:rPr>
        <w:t xml:space="preserve"> الواردة في</w:t>
      </w:r>
      <w:r w:rsidR="007D4D9B">
        <w:rPr>
          <w:rFonts w:hint="cs"/>
          <w:rtl/>
        </w:rPr>
        <w:t> </w:t>
      </w:r>
      <w:r w:rsidR="00C97E8A" w:rsidRPr="00C97E8A">
        <w:rPr>
          <w:rtl/>
        </w:rPr>
        <w:t>كتيب النظام الدولي للبادئات (</w:t>
      </w:r>
      <w:r w:rsidR="00C97E8A" w:rsidRPr="00C97E8A">
        <w:rPr>
          <w:lang w:val="fr-CH" w:bidi="ar-EG"/>
        </w:rPr>
        <w:t>SI</w:t>
      </w:r>
      <w:r w:rsidR="00C97E8A" w:rsidRPr="00C97E8A">
        <w:rPr>
          <w:rtl/>
        </w:rPr>
        <w:t>)</w:t>
      </w:r>
      <w:r w:rsidR="005729D1">
        <w:rPr>
          <w:rFonts w:hint="cs"/>
          <w:rtl/>
        </w:rPr>
        <w:t>؛</w:t>
      </w:r>
    </w:p>
    <w:p w14:paraId="7C579CC8" w14:textId="0C39566A" w:rsidR="00C97E8A" w:rsidRPr="00C97E8A" w:rsidRDefault="001C18BC" w:rsidP="001F1CA1">
      <w:pPr>
        <w:pStyle w:val="enumlev1"/>
        <w:rPr>
          <w:lang w:val="ar-SA" w:bidi="ar-EG"/>
        </w:rPr>
      </w:pPr>
      <w:r w:rsidRPr="001C18BC">
        <w:rPr>
          <w:lang w:val="fr-CH" w:bidi="ar-EG"/>
        </w:rPr>
        <w:t>–</w:t>
      </w:r>
      <w:r w:rsidR="001F1CA1">
        <w:rPr>
          <w:rtl/>
          <w:lang w:val="fr-CH" w:bidi="ar-EG"/>
        </w:rPr>
        <w:tab/>
      </w:r>
      <w:r w:rsidR="00C97E8A" w:rsidRPr="00C97E8A">
        <w:rPr>
          <w:rtl/>
        </w:rPr>
        <w:t>تجنب استعمال البادئة المتقادمة "ميريا"</w:t>
      </w:r>
      <w:r w:rsidR="005729D1">
        <w:rPr>
          <w:rFonts w:hint="cs"/>
          <w:rtl/>
        </w:rPr>
        <w:t>؛</w:t>
      </w:r>
    </w:p>
    <w:p w14:paraId="4826A036" w14:textId="4AF2F3AF" w:rsidR="00C97E8A" w:rsidRPr="00C97E8A" w:rsidRDefault="001C18BC" w:rsidP="001F1CA1">
      <w:pPr>
        <w:pStyle w:val="enumlev1"/>
        <w:rPr>
          <w:lang w:val="ar-SA" w:bidi="ar-EG"/>
        </w:rPr>
      </w:pPr>
      <w:r w:rsidRPr="001C18BC">
        <w:rPr>
          <w:lang w:val="fr-CH" w:bidi="ar-EG"/>
        </w:rPr>
        <w:t>–</w:t>
      </w:r>
      <w:r w:rsidR="001F1CA1">
        <w:rPr>
          <w:rtl/>
          <w:lang w:val="fr-CH" w:bidi="ar-EG"/>
        </w:rPr>
        <w:tab/>
      </w:r>
      <w:r w:rsidR="00C97E8A" w:rsidRPr="00C97E8A">
        <w:rPr>
          <w:rtl/>
        </w:rPr>
        <w:t xml:space="preserve">حذف عمود "المختصرات المترية للنطاقات"، للتوافق مع الجدول الوارد في الرقم </w:t>
      </w:r>
      <w:r w:rsidR="00C97E8A" w:rsidRPr="005729D1">
        <w:rPr>
          <w:b/>
          <w:bCs/>
          <w:rtl/>
        </w:rPr>
        <w:t>1.2</w:t>
      </w:r>
      <w:r w:rsidR="00C97E8A" w:rsidRPr="00C97E8A">
        <w:rPr>
          <w:rtl/>
        </w:rPr>
        <w:t xml:space="preserve"> من لوائح الراديو بصيغته المعدلة في المؤتمر العالمي للاتصالات الراديوية عام 2015</w:t>
      </w:r>
      <w:r w:rsidR="005729D1">
        <w:rPr>
          <w:rFonts w:hint="cs"/>
          <w:rtl/>
        </w:rPr>
        <w:t>؛</w:t>
      </w:r>
    </w:p>
    <w:p w14:paraId="0CDD25B1" w14:textId="47B2ECE8" w:rsidR="00C97E8A" w:rsidRPr="00C97E8A" w:rsidRDefault="001C18BC" w:rsidP="001F1CA1">
      <w:pPr>
        <w:pStyle w:val="enumlev1"/>
        <w:rPr>
          <w:lang w:val="ar-SA" w:bidi="ar-EG"/>
        </w:rPr>
      </w:pPr>
      <w:r w:rsidRPr="001C18BC">
        <w:rPr>
          <w:lang w:val="fr-CH" w:bidi="ar-EG"/>
        </w:rPr>
        <w:t>–</w:t>
      </w:r>
      <w:r w:rsidR="001F1CA1">
        <w:rPr>
          <w:rtl/>
          <w:lang w:val="fr-CH" w:bidi="ar-EG"/>
        </w:rPr>
        <w:tab/>
      </w:r>
      <w:r w:rsidR="00C97E8A" w:rsidRPr="00C97E8A">
        <w:rPr>
          <w:rtl/>
        </w:rPr>
        <w:t>مراجعة الجدول 2؛</w:t>
      </w:r>
    </w:p>
    <w:p w14:paraId="17493F65" w14:textId="02168521" w:rsidR="00BA4006" w:rsidRPr="00CD2A5A" w:rsidRDefault="001C18BC" w:rsidP="001F1CA1">
      <w:pPr>
        <w:pStyle w:val="enumlev1"/>
        <w:rPr>
          <w:rtl/>
          <w:lang w:bidi="ar-EG"/>
        </w:rPr>
      </w:pPr>
      <w:r w:rsidRPr="001C18BC">
        <w:rPr>
          <w:lang w:val="fr-CH" w:bidi="ar-EG"/>
        </w:rPr>
        <w:t>–</w:t>
      </w:r>
      <w:r w:rsidR="001F1CA1">
        <w:rPr>
          <w:rtl/>
          <w:lang w:val="fr-CH" w:bidi="ar-EG"/>
        </w:rPr>
        <w:tab/>
      </w:r>
      <w:r w:rsidR="00C97E8A" w:rsidRPr="00C97E8A">
        <w:rPr>
          <w:rtl/>
        </w:rPr>
        <w:t>في الجدول 4، تغيير عبارة "مناطق الطيف" إلى "مديات الترددات".</w:t>
      </w:r>
    </w:p>
    <w:p w14:paraId="103AEA02" w14:textId="77777777" w:rsidR="001C18BC" w:rsidRDefault="001C18BC" w:rsidP="001C18BC">
      <w:pPr>
        <w:rPr>
          <w:lang w:val="es-ES" w:bidi="ar-EG"/>
        </w:rPr>
      </w:pPr>
    </w:p>
    <w:p w14:paraId="7011B8A4" w14:textId="34FE060D" w:rsidR="00BA4006" w:rsidRDefault="00BA4006" w:rsidP="00BA4006">
      <w:pPr>
        <w:spacing w:before="600"/>
        <w:jc w:val="center"/>
        <w:rPr>
          <w:lang w:bidi="ar-EG"/>
        </w:rPr>
      </w:pPr>
      <w:r w:rsidRPr="00CD2A5A">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15"/>
      <w:headerReference w:type="firs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6C13" w14:textId="77777777" w:rsidR="00CF515F" w:rsidRDefault="00CF515F" w:rsidP="006C3242">
      <w:pPr>
        <w:spacing w:before="0" w:line="240" w:lineRule="auto"/>
      </w:pPr>
      <w:r>
        <w:separator/>
      </w:r>
    </w:p>
  </w:endnote>
  <w:endnote w:type="continuationSeparator" w:id="0">
    <w:p w14:paraId="0A0130DE" w14:textId="77777777" w:rsidR="00CF515F" w:rsidRDefault="00CF515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E536" w14:textId="021E372E"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xml:space="preserve">• </w:t>
    </w:r>
    <w:hyperlink r:id="rId2" w:history="1">
      <w:r w:rsidR="00274C3A" w:rsidRPr="004E66FB">
        <w:rPr>
          <w:rStyle w:val="Hyperlink"/>
          <w:rFonts w:ascii="Calibri" w:eastAsia="Times New Roman" w:hAnsi="Calibri" w:cs="Calibri"/>
          <w:sz w:val="19"/>
          <w:szCs w:val="19"/>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57C5" w14:textId="77777777" w:rsidR="00CF515F" w:rsidRDefault="00CF515F" w:rsidP="006C3242">
      <w:pPr>
        <w:spacing w:before="0" w:line="240" w:lineRule="auto"/>
      </w:pPr>
      <w:r>
        <w:separator/>
      </w:r>
    </w:p>
  </w:footnote>
  <w:footnote w:type="continuationSeparator" w:id="0">
    <w:p w14:paraId="78D34A2C" w14:textId="77777777" w:rsidR="00CF515F" w:rsidRDefault="00CF515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1C6D"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D09D" w14:textId="77777777" w:rsidR="004C39C6" w:rsidRDefault="00583181" w:rsidP="00583181">
    <w:pPr>
      <w:pStyle w:val="Header"/>
      <w:spacing w:before="120"/>
      <w:jc w:val="center"/>
    </w:pPr>
    <w:r>
      <w:rPr>
        <w:noProof/>
        <w:lang w:val="en-GB" w:eastAsia="en-GB"/>
      </w:rPr>
      <w:drawing>
        <wp:inline distT="0" distB="0" distL="0" distR="0" wp14:anchorId="5FD7017B" wp14:editId="5660BBB3">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8272635">
    <w:abstractNumId w:val="9"/>
  </w:num>
  <w:num w:numId="2" w16cid:durableId="687557925">
    <w:abstractNumId w:val="7"/>
  </w:num>
  <w:num w:numId="3" w16cid:durableId="1247348188">
    <w:abstractNumId w:val="6"/>
  </w:num>
  <w:num w:numId="4" w16cid:durableId="1694841127">
    <w:abstractNumId w:val="5"/>
  </w:num>
  <w:num w:numId="5" w16cid:durableId="1911188632">
    <w:abstractNumId w:val="4"/>
  </w:num>
  <w:num w:numId="6" w16cid:durableId="1257784748">
    <w:abstractNumId w:val="8"/>
  </w:num>
  <w:num w:numId="7" w16cid:durableId="1447113090">
    <w:abstractNumId w:val="3"/>
  </w:num>
  <w:num w:numId="8" w16cid:durableId="1720132876">
    <w:abstractNumId w:val="2"/>
  </w:num>
  <w:num w:numId="9" w16cid:durableId="1644117341">
    <w:abstractNumId w:val="1"/>
  </w:num>
  <w:num w:numId="10" w16cid:durableId="1689260064">
    <w:abstractNumId w:val="0"/>
  </w:num>
  <w:num w:numId="11" w16cid:durableId="685138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DD"/>
    <w:rsid w:val="00014A33"/>
    <w:rsid w:val="0006468A"/>
    <w:rsid w:val="00090574"/>
    <w:rsid w:val="000C1C0E"/>
    <w:rsid w:val="000C548A"/>
    <w:rsid w:val="000F7BBE"/>
    <w:rsid w:val="00130BB6"/>
    <w:rsid w:val="00150DB9"/>
    <w:rsid w:val="001C0169"/>
    <w:rsid w:val="001C18BC"/>
    <w:rsid w:val="001D1D50"/>
    <w:rsid w:val="001D6745"/>
    <w:rsid w:val="001E446E"/>
    <w:rsid w:val="001F1CA1"/>
    <w:rsid w:val="002042A6"/>
    <w:rsid w:val="002154EE"/>
    <w:rsid w:val="002276D2"/>
    <w:rsid w:val="0023283D"/>
    <w:rsid w:val="00240F20"/>
    <w:rsid w:val="0026373E"/>
    <w:rsid w:val="00271C43"/>
    <w:rsid w:val="00274C3A"/>
    <w:rsid w:val="00290728"/>
    <w:rsid w:val="002978F4"/>
    <w:rsid w:val="002B028D"/>
    <w:rsid w:val="002E6541"/>
    <w:rsid w:val="00334924"/>
    <w:rsid w:val="003409BC"/>
    <w:rsid w:val="003531B9"/>
    <w:rsid w:val="00357185"/>
    <w:rsid w:val="003704CA"/>
    <w:rsid w:val="00383829"/>
    <w:rsid w:val="0038416F"/>
    <w:rsid w:val="003B5733"/>
    <w:rsid w:val="003F4B29"/>
    <w:rsid w:val="004111FB"/>
    <w:rsid w:val="0042686F"/>
    <w:rsid w:val="004317D8"/>
    <w:rsid w:val="00434183"/>
    <w:rsid w:val="00443869"/>
    <w:rsid w:val="00447F32"/>
    <w:rsid w:val="004563AF"/>
    <w:rsid w:val="004C39C6"/>
    <w:rsid w:val="004E11DC"/>
    <w:rsid w:val="00524913"/>
    <w:rsid w:val="00525DDD"/>
    <w:rsid w:val="005409AC"/>
    <w:rsid w:val="0055516A"/>
    <w:rsid w:val="005729D1"/>
    <w:rsid w:val="00583181"/>
    <w:rsid w:val="0058491B"/>
    <w:rsid w:val="00592EA5"/>
    <w:rsid w:val="005A3170"/>
    <w:rsid w:val="00646EEE"/>
    <w:rsid w:val="00677396"/>
    <w:rsid w:val="0069200F"/>
    <w:rsid w:val="006A65CB"/>
    <w:rsid w:val="006C3242"/>
    <w:rsid w:val="006C7CC0"/>
    <w:rsid w:val="006E5F73"/>
    <w:rsid w:val="006F63F7"/>
    <w:rsid w:val="007025C7"/>
    <w:rsid w:val="00706D7A"/>
    <w:rsid w:val="00722F0D"/>
    <w:rsid w:val="0074420E"/>
    <w:rsid w:val="00783E26"/>
    <w:rsid w:val="007B1214"/>
    <w:rsid w:val="007C3BC7"/>
    <w:rsid w:val="007C3BCD"/>
    <w:rsid w:val="007D4ACF"/>
    <w:rsid w:val="007D4D9B"/>
    <w:rsid w:val="007F0787"/>
    <w:rsid w:val="00810B7B"/>
    <w:rsid w:val="00816EE9"/>
    <w:rsid w:val="0082358A"/>
    <w:rsid w:val="008235CD"/>
    <w:rsid w:val="008247DE"/>
    <w:rsid w:val="00840B10"/>
    <w:rsid w:val="008513CB"/>
    <w:rsid w:val="008A4A32"/>
    <w:rsid w:val="008A7F84"/>
    <w:rsid w:val="0091702E"/>
    <w:rsid w:val="00923B0C"/>
    <w:rsid w:val="0094021C"/>
    <w:rsid w:val="00952F86"/>
    <w:rsid w:val="009645E8"/>
    <w:rsid w:val="00982B28"/>
    <w:rsid w:val="009D313F"/>
    <w:rsid w:val="009F5212"/>
    <w:rsid w:val="00A27E64"/>
    <w:rsid w:val="00A47A5A"/>
    <w:rsid w:val="00A52661"/>
    <w:rsid w:val="00A534ED"/>
    <w:rsid w:val="00A567DD"/>
    <w:rsid w:val="00A6683B"/>
    <w:rsid w:val="00A7177B"/>
    <w:rsid w:val="00A837DA"/>
    <w:rsid w:val="00A97F94"/>
    <w:rsid w:val="00AA7EA2"/>
    <w:rsid w:val="00B03099"/>
    <w:rsid w:val="00B05BC8"/>
    <w:rsid w:val="00B1143A"/>
    <w:rsid w:val="00B64B47"/>
    <w:rsid w:val="00B74B14"/>
    <w:rsid w:val="00BA3913"/>
    <w:rsid w:val="00BA4006"/>
    <w:rsid w:val="00BD5429"/>
    <w:rsid w:val="00C002DE"/>
    <w:rsid w:val="00C502CD"/>
    <w:rsid w:val="00C53BF8"/>
    <w:rsid w:val="00C66157"/>
    <w:rsid w:val="00C674FE"/>
    <w:rsid w:val="00C67501"/>
    <w:rsid w:val="00C75633"/>
    <w:rsid w:val="00C80742"/>
    <w:rsid w:val="00C97E8A"/>
    <w:rsid w:val="00CD2A39"/>
    <w:rsid w:val="00CD2A5A"/>
    <w:rsid w:val="00CD4527"/>
    <w:rsid w:val="00CE2EE1"/>
    <w:rsid w:val="00CE3349"/>
    <w:rsid w:val="00CE36E5"/>
    <w:rsid w:val="00CF27F5"/>
    <w:rsid w:val="00CF3FFD"/>
    <w:rsid w:val="00CF515F"/>
    <w:rsid w:val="00D10CCF"/>
    <w:rsid w:val="00D5152F"/>
    <w:rsid w:val="00D57B71"/>
    <w:rsid w:val="00D77D0F"/>
    <w:rsid w:val="00D94E12"/>
    <w:rsid w:val="00DA1CF0"/>
    <w:rsid w:val="00DC1E02"/>
    <w:rsid w:val="00DC24B4"/>
    <w:rsid w:val="00DC5FB0"/>
    <w:rsid w:val="00DF16DC"/>
    <w:rsid w:val="00E30B65"/>
    <w:rsid w:val="00E45211"/>
    <w:rsid w:val="00E473C5"/>
    <w:rsid w:val="00E70938"/>
    <w:rsid w:val="00E92863"/>
    <w:rsid w:val="00EA202B"/>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4EE0B9"/>
  <w15:chartTrackingRefBased/>
  <w15:docId w15:val="{0FE8BECC-2FB9-4D41-9228-B355E71C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BD5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yperlink" Target="https://extranet.itu.int/rsg-meetings/ccv/Share/CCT%20meeting%202025-08-05/Input%20contributions/186e.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ar/ITU-T/ipr/Pages/policy.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pub/R-REC/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pub/R-RES-R.1-9-2023" TargetMode="External"/><Relationship Id="rId14" Type="http://schemas.openxmlformats.org/officeDocument/2006/relationships/hyperlink" Target="https://extranet.itu.int/rsg-meetings/ccv/Share/CCT%20meeting%202025-08-0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12\2501905%5bA%5d\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8</TotalTime>
  <Pages>3</Pages>
  <Words>511</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Editors</cp:lastModifiedBy>
  <cp:revision>5</cp:revision>
  <dcterms:created xsi:type="dcterms:W3CDTF">2025-08-13T09:05:00Z</dcterms:created>
  <dcterms:modified xsi:type="dcterms:W3CDTF">2025-08-18T13:52:00Z</dcterms:modified>
</cp:coreProperties>
</file>