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224B8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B224B8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224B8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Pr="00B224B8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6B9488A" w14:textId="77777777" w:rsidR="00E53DCE" w:rsidRPr="00B224B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224B8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0DE1EFE9" w:rsidR="00E53DCE" w:rsidRPr="00B224B8" w:rsidRDefault="00A96D3A" w:rsidP="003969C9">
            <w:pPr>
              <w:spacing w:before="0"/>
              <w:rPr>
                <w:lang w:val="es-ES_tradnl"/>
              </w:rPr>
            </w:pPr>
            <w:r w:rsidRPr="00B224B8">
              <w:rPr>
                <w:lang w:val="es-ES_tradnl"/>
              </w:rPr>
              <w:t>Circular Administrativa</w:t>
            </w:r>
          </w:p>
          <w:p w14:paraId="69D58805" w14:textId="62983BDC" w:rsidR="00E53DCE" w:rsidRPr="00B224B8" w:rsidRDefault="001B3D4D" w:rsidP="003969C9">
            <w:pPr>
              <w:spacing w:before="0"/>
              <w:rPr>
                <w:b/>
                <w:bCs/>
                <w:lang w:val="es-ES_tradnl"/>
              </w:rPr>
            </w:pPr>
            <w:r w:rsidRPr="00B224B8">
              <w:rPr>
                <w:b/>
                <w:bCs/>
                <w:lang w:val="es-ES_tradnl"/>
              </w:rPr>
              <w:t>CACE/</w:t>
            </w:r>
            <w:r w:rsidR="000F36BE" w:rsidRPr="00B224B8">
              <w:rPr>
                <w:b/>
                <w:bCs/>
                <w:lang w:val="es-ES_tradnl"/>
              </w:rPr>
              <w:t>1149</w:t>
            </w:r>
          </w:p>
        </w:tc>
        <w:tc>
          <w:tcPr>
            <w:tcW w:w="2835" w:type="dxa"/>
            <w:shd w:val="clear" w:color="auto" w:fill="auto"/>
          </w:tcPr>
          <w:p w14:paraId="3FD01BE1" w14:textId="5B3DEFB5" w:rsidR="00E53DCE" w:rsidRPr="00B224B8" w:rsidRDefault="000F36BE" w:rsidP="003969C9">
            <w:pPr>
              <w:spacing w:before="0"/>
              <w:jc w:val="right"/>
              <w:rPr>
                <w:lang w:val="es-ES_tradnl"/>
              </w:rPr>
            </w:pPr>
            <w:r w:rsidRPr="00B224B8">
              <w:rPr>
                <w:lang w:val="es-ES_tradnl"/>
              </w:rPr>
              <w:t>1 de julio de 2025</w:t>
            </w:r>
          </w:p>
        </w:tc>
      </w:tr>
      <w:tr w:rsidR="00E53DCE" w:rsidRPr="00B224B8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</w:tr>
      <w:tr w:rsidR="00E53DCE" w:rsidRPr="00B224B8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</w:tr>
      <w:tr w:rsidR="00E53DCE" w:rsidRPr="00360DE4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2C2803AD" w:rsidR="00E53DCE" w:rsidRPr="00B224B8" w:rsidRDefault="000F36BE" w:rsidP="000F36BE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B224B8">
              <w:rPr>
                <w:b/>
                <w:bCs/>
                <w:lang w:val="es-ES_tradnl"/>
              </w:rPr>
              <w:t>A las Administraciones de los Estados Miembros de la</w:t>
            </w:r>
            <w:r w:rsidR="007931AE" w:rsidRPr="00B224B8">
              <w:rPr>
                <w:b/>
                <w:bCs/>
                <w:lang w:val="es-ES_tradnl"/>
              </w:rPr>
              <w:t> </w:t>
            </w:r>
            <w:r w:rsidRPr="00B224B8">
              <w:rPr>
                <w:b/>
                <w:bCs/>
                <w:lang w:val="es-ES_tradnl"/>
              </w:rPr>
              <w:t>UIT, Miembros del Sector de Radiocomunicaciones, Asociados del UIT-R e Instituciones Académicas de la</w:t>
            </w:r>
            <w:r w:rsidR="007931AE" w:rsidRPr="00B224B8">
              <w:rPr>
                <w:b/>
                <w:bCs/>
                <w:lang w:val="es-ES_tradnl"/>
              </w:rPr>
              <w:t> </w:t>
            </w:r>
            <w:r w:rsidRPr="00B224B8">
              <w:rPr>
                <w:b/>
                <w:bCs/>
                <w:lang w:val="es-ES_tradnl"/>
              </w:rPr>
              <w:t>UIT que participan en los trabajos de la Comisión de Estudio</w:t>
            </w:r>
            <w:r w:rsidR="007931AE" w:rsidRPr="00B224B8">
              <w:rPr>
                <w:b/>
                <w:bCs/>
                <w:lang w:val="es-ES_tradnl"/>
              </w:rPr>
              <w:t> </w:t>
            </w:r>
            <w:r w:rsidRPr="00B224B8">
              <w:rPr>
                <w:b/>
                <w:bCs/>
                <w:lang w:val="es-ES_tradnl"/>
              </w:rPr>
              <w:t>1 de Radiocomunicaciones</w:t>
            </w:r>
          </w:p>
        </w:tc>
      </w:tr>
      <w:tr w:rsidR="00E53DCE" w:rsidRPr="00360DE4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</w:tr>
      <w:tr w:rsidR="00E53DCE" w:rsidRPr="00360DE4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</w:tr>
      <w:tr w:rsidR="00E53DCE" w:rsidRPr="00360DE4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B224B8" w:rsidRDefault="00311970" w:rsidP="003969C9">
            <w:pPr>
              <w:spacing w:before="0"/>
              <w:rPr>
                <w:lang w:val="es-ES_tradnl"/>
              </w:rPr>
            </w:pPr>
            <w:r w:rsidRPr="00B224B8">
              <w:rPr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977A6FA" w14:textId="1364DC60" w:rsidR="000F36BE" w:rsidRPr="00B224B8" w:rsidRDefault="000F36BE" w:rsidP="000F36BE">
            <w:pPr>
              <w:spacing w:before="0"/>
              <w:rPr>
                <w:b/>
                <w:bCs/>
                <w:lang w:val="es-ES_tradnl"/>
              </w:rPr>
            </w:pPr>
            <w:r w:rsidRPr="00B224B8">
              <w:rPr>
                <w:b/>
                <w:bCs/>
                <w:lang w:val="es-ES_tradnl"/>
              </w:rPr>
              <w:t>Comisión de Estudio</w:t>
            </w:r>
            <w:r w:rsidR="007931AE" w:rsidRPr="00B224B8">
              <w:rPr>
                <w:b/>
                <w:bCs/>
                <w:lang w:val="es-ES_tradnl"/>
              </w:rPr>
              <w:t> </w:t>
            </w:r>
            <w:r w:rsidRPr="00B224B8">
              <w:rPr>
                <w:b/>
                <w:bCs/>
                <w:lang w:val="es-ES_tradnl"/>
              </w:rPr>
              <w:t>1 de Radiocomunicaciones (Gestión del espectro)</w:t>
            </w:r>
          </w:p>
          <w:p w14:paraId="3612960C" w14:textId="4CD1489A" w:rsidR="00E53DCE" w:rsidRPr="00B224B8" w:rsidRDefault="000F36BE" w:rsidP="000F36BE">
            <w:pPr>
              <w:spacing w:before="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B224B8">
              <w:rPr>
                <w:b/>
                <w:bCs/>
                <w:lang w:val="es-ES_tradnl"/>
              </w:rPr>
              <w:t>–</w:t>
            </w:r>
            <w:r w:rsidRPr="00B224B8">
              <w:rPr>
                <w:b/>
                <w:bCs/>
                <w:lang w:val="es-ES_tradnl"/>
              </w:rPr>
              <w:tab/>
              <w:t>Propuesta de adopción de dos proyectos de Recomendación UIT-R revisada y su aprobación simultánea por correspondencia de conformidad con el §</w:t>
            </w:r>
            <w:r w:rsidR="007931AE" w:rsidRPr="00B224B8">
              <w:rPr>
                <w:b/>
                <w:bCs/>
                <w:lang w:val="es-ES_tradnl"/>
              </w:rPr>
              <w:t> </w:t>
            </w:r>
            <w:r w:rsidRPr="00B224B8">
              <w:rPr>
                <w:b/>
                <w:bCs/>
                <w:lang w:val="es-ES_tradnl"/>
              </w:rPr>
              <w:t>A2.6.2.4 de la Resolución</w:t>
            </w:r>
            <w:r w:rsidR="007931AE" w:rsidRPr="00B224B8">
              <w:rPr>
                <w:b/>
                <w:bCs/>
                <w:lang w:val="es-ES_tradnl"/>
              </w:rPr>
              <w:t> </w:t>
            </w:r>
            <w:r w:rsidRPr="00B224B8">
              <w:rPr>
                <w:b/>
                <w:bCs/>
                <w:lang w:val="es-ES_tradnl"/>
              </w:rPr>
              <w:t>UIT</w:t>
            </w:r>
            <w:r w:rsidR="007931AE" w:rsidRPr="00B224B8">
              <w:rPr>
                <w:b/>
                <w:bCs/>
                <w:lang w:val="es-ES_tradnl"/>
              </w:rPr>
              <w:noBreakHyphen/>
            </w:r>
            <w:r w:rsidRPr="00B224B8">
              <w:rPr>
                <w:b/>
                <w:bCs/>
                <w:lang w:val="es-ES_tradnl"/>
              </w:rPr>
              <w:t>R 1</w:t>
            </w:r>
            <w:r w:rsidR="007931AE" w:rsidRPr="00B224B8">
              <w:rPr>
                <w:b/>
                <w:bCs/>
                <w:lang w:val="es-ES_tradnl"/>
              </w:rPr>
              <w:noBreakHyphen/>
            </w:r>
            <w:r w:rsidRPr="00B224B8">
              <w:rPr>
                <w:b/>
                <w:bCs/>
                <w:lang w:val="es-ES_tradnl"/>
              </w:rPr>
              <w:t>9 (Procedimiento para la adopción y aprobación simultáneas por correspondencia)</w:t>
            </w:r>
          </w:p>
        </w:tc>
      </w:tr>
      <w:tr w:rsidR="00E53DCE" w:rsidRPr="00360DE4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B224B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60DE4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B224B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60DE4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B224B8" w:rsidRDefault="00E53DCE" w:rsidP="003969C9">
            <w:pPr>
              <w:spacing w:before="0"/>
              <w:rPr>
                <w:lang w:val="es-ES_tradnl"/>
              </w:rPr>
            </w:pPr>
          </w:p>
        </w:tc>
      </w:tr>
    </w:tbl>
    <w:p w14:paraId="35DAE9A8" w14:textId="40B60DC3" w:rsidR="000F36BE" w:rsidRPr="00B224B8" w:rsidRDefault="000F36BE" w:rsidP="000F36BE">
      <w:pPr>
        <w:pStyle w:val="Normalaftertitle"/>
        <w:rPr>
          <w:lang w:val="es-ES_tradnl"/>
        </w:rPr>
      </w:pPr>
      <w:r w:rsidRPr="00B224B8">
        <w:rPr>
          <w:lang w:val="es-ES_tradnl"/>
        </w:rPr>
        <w:t>En la reunión de la Comisión de Estudio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 xml:space="preserve">1 de Radiocomunicaciones, celebrada el 19 de junio de 2025, la Comisión de Estudio decidió solicitar la adopción de dos </w:t>
      </w:r>
      <w:r w:rsidRPr="00B224B8">
        <w:rPr>
          <w:bCs/>
          <w:lang w:val="es-ES_tradnl"/>
        </w:rPr>
        <w:t>proyectos de Recomendación</w:t>
      </w:r>
      <w:r w:rsidR="007931AE" w:rsidRPr="00B224B8">
        <w:rPr>
          <w:bCs/>
          <w:lang w:val="es-ES_tradnl"/>
        </w:rPr>
        <w:t> </w:t>
      </w:r>
      <w:r w:rsidRPr="00B224B8">
        <w:rPr>
          <w:bCs/>
          <w:lang w:val="es-ES_tradnl"/>
        </w:rPr>
        <w:t>UIT</w:t>
      </w:r>
      <w:r w:rsidR="007931AE" w:rsidRPr="00B224B8">
        <w:rPr>
          <w:bCs/>
          <w:lang w:val="es-ES_tradnl"/>
        </w:rPr>
        <w:noBreakHyphen/>
      </w:r>
      <w:r w:rsidRPr="00B224B8">
        <w:rPr>
          <w:bCs/>
          <w:lang w:val="es-ES_tradnl"/>
        </w:rPr>
        <w:t xml:space="preserve">R revisada </w:t>
      </w:r>
      <w:r w:rsidRPr="00B224B8">
        <w:rPr>
          <w:lang w:val="es-ES_tradnl"/>
        </w:rPr>
        <w:t>por correspondencia (§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A2.6.2 de la Resolución</w:t>
      </w:r>
      <w:r w:rsidR="007931AE" w:rsidRPr="00B224B8">
        <w:rPr>
          <w:bCs/>
          <w:lang w:val="es-ES_tradnl"/>
        </w:rPr>
        <w:t> </w:t>
      </w:r>
      <w:hyperlink r:id="rId8" w:history="1">
        <w:r w:rsidRPr="00B224B8">
          <w:rPr>
            <w:rStyle w:val="Hyperlink"/>
            <w:lang w:val="es-ES_tradnl"/>
          </w:rPr>
          <w:t>UIT</w:t>
        </w:r>
        <w:r w:rsidR="007931AE" w:rsidRPr="00B224B8">
          <w:rPr>
            <w:rStyle w:val="Hyperlink"/>
            <w:lang w:val="es-ES_tradnl"/>
          </w:rPr>
          <w:noBreakHyphen/>
        </w:r>
        <w:r w:rsidRPr="00B224B8">
          <w:rPr>
            <w:rStyle w:val="Hyperlink"/>
            <w:lang w:val="es-ES_tradnl"/>
          </w:rPr>
          <w:t>R</w:t>
        </w:r>
        <w:r w:rsidR="007931AE" w:rsidRPr="00B224B8">
          <w:rPr>
            <w:rStyle w:val="Hyperlink"/>
            <w:lang w:val="es-ES_tradnl"/>
          </w:rPr>
          <w:t> </w:t>
        </w:r>
        <w:r w:rsidRPr="00B224B8">
          <w:rPr>
            <w:rStyle w:val="Hyperlink"/>
            <w:lang w:val="es-ES_tradnl"/>
          </w:rPr>
          <w:t>1</w:t>
        </w:r>
        <w:r w:rsidR="007931AE" w:rsidRPr="00B224B8">
          <w:rPr>
            <w:rStyle w:val="Hyperlink"/>
            <w:lang w:val="es-ES_tradnl"/>
          </w:rPr>
          <w:noBreakHyphen/>
        </w:r>
        <w:r w:rsidRPr="00B224B8">
          <w:rPr>
            <w:rStyle w:val="Hyperlink"/>
            <w:lang w:val="es-ES_tradnl"/>
          </w:rPr>
          <w:t>9</w:t>
        </w:r>
      </w:hyperlink>
      <w:r w:rsidRPr="00B224B8">
        <w:rPr>
          <w:lang w:val="es-ES_tradnl"/>
        </w:rPr>
        <w:t>) y aplicar el procedimiento de adopción y aprobación simultáneas por correspondencia (PAAS, §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A2.6.2.4 de la Resolución</w:t>
      </w:r>
      <w:r w:rsidR="007931AE" w:rsidRPr="00B224B8">
        <w:rPr>
          <w:bCs/>
          <w:lang w:val="es-ES_tradnl"/>
        </w:rPr>
        <w:t xml:space="preserve"> </w:t>
      </w:r>
      <w:r w:rsidRPr="00B224B8">
        <w:rPr>
          <w:lang w:val="es-ES_tradnl"/>
        </w:rPr>
        <w:t>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</w:t>
      </w:r>
      <w:r w:rsidR="007931AE" w:rsidRPr="00B224B8">
        <w:rPr>
          <w:bCs/>
          <w:lang w:val="es-ES_tradnl"/>
        </w:rPr>
        <w:t> </w:t>
      </w:r>
      <w:r w:rsidRPr="00B224B8">
        <w:rPr>
          <w:lang w:val="es-ES_tradnl"/>
        </w:rPr>
        <w:t>1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9). El título y el resumen de los proyectos de Recomendación figuran en el Anexo a la presente carta. Se ruega a todo Estado Miembro</w:t>
      </w:r>
      <w:bookmarkStart w:id="0" w:name="_Hlk116571750"/>
      <w:r w:rsidRPr="00B224B8">
        <w:rPr>
          <w:lang w:val="es-ES_tradnl"/>
        </w:rPr>
        <w:t xml:space="preserve"> que tenga objeciones</w:t>
      </w:r>
      <w:bookmarkEnd w:id="0"/>
      <w:r w:rsidRPr="00B224B8">
        <w:rPr>
          <w:lang w:val="es-ES_tradnl"/>
        </w:rPr>
        <w:t xml:space="preserve"> a la adopción de algún proyecto de Recomendación que informe al </w:t>
      </w:r>
      <w:proofErr w:type="gramStart"/>
      <w:r w:rsidRPr="00B224B8">
        <w:rPr>
          <w:lang w:val="es-ES_tradnl"/>
        </w:rPr>
        <w:t>Director</w:t>
      </w:r>
      <w:proofErr w:type="gramEnd"/>
      <w:r w:rsidRPr="00B224B8">
        <w:rPr>
          <w:lang w:val="es-ES_tradnl"/>
        </w:rPr>
        <w:t xml:space="preserve"> y al </w:t>
      </w:r>
      <w:proofErr w:type="gramStart"/>
      <w:r w:rsidRPr="00B224B8">
        <w:rPr>
          <w:lang w:val="es-ES_tradnl"/>
        </w:rPr>
        <w:t>Presidente</w:t>
      </w:r>
      <w:proofErr w:type="gramEnd"/>
      <w:r w:rsidRPr="00B224B8">
        <w:rPr>
          <w:lang w:val="es-ES_tradnl"/>
        </w:rPr>
        <w:t xml:space="preserve"> de la Comisión de Estudio de los motivos de esas objeciones.</w:t>
      </w:r>
    </w:p>
    <w:p w14:paraId="6A014F0B" w14:textId="7882D064" w:rsidR="000F36BE" w:rsidRPr="00B224B8" w:rsidRDefault="000F36BE" w:rsidP="000F36BE">
      <w:pPr>
        <w:rPr>
          <w:lang w:val="es-ES_tradnl"/>
        </w:rPr>
      </w:pPr>
      <w:r w:rsidRPr="00B224B8">
        <w:rPr>
          <w:lang w:val="es-ES_tradnl"/>
        </w:rPr>
        <w:t xml:space="preserve">El periodo de examen durará dos meses y concluirá </w:t>
      </w:r>
      <w:r w:rsidRPr="00B224B8">
        <w:rPr>
          <w:u w:val="single"/>
          <w:lang w:val="es-ES_tradnl"/>
        </w:rPr>
        <w:t>el 1 de septiembre de 2025</w:t>
      </w:r>
      <w:r w:rsidRPr="00B224B8">
        <w:rPr>
          <w:lang w:val="es-ES_tradnl"/>
        </w:rPr>
        <w:t>. Si en ese este periodo no se reciben objeciones de los Estados Miembros, se considerará que los proyectos de Recomendación han sido adoptados por la Comisión de Estudio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1. Por otro lado, habida cuenta de la aplicación del procedimiento PAAS, los proyectos de Recomendación también se considerarán aprobados.</w:t>
      </w:r>
    </w:p>
    <w:p w14:paraId="4F4249D6" w14:textId="7444216E" w:rsidR="000F36BE" w:rsidRPr="00B224B8" w:rsidRDefault="000F36BE" w:rsidP="000F36BE">
      <w:pPr>
        <w:rPr>
          <w:lang w:val="es-ES_tradnl"/>
        </w:rPr>
      </w:pPr>
      <w:r w:rsidRPr="00B224B8">
        <w:rPr>
          <w:lang w:val="es-ES_tradnl"/>
        </w:rPr>
        <w:t xml:space="preserve">Una vez que haya transcurrido el plazo anteriormente referido, los resultados de los citados procedimientos se anunciarán en una </w:t>
      </w:r>
      <w:r w:rsidR="007F5EF3" w:rsidRPr="00B224B8">
        <w:rPr>
          <w:lang w:val="es-ES_tradnl"/>
        </w:rPr>
        <w:t>c</w:t>
      </w:r>
      <w:r w:rsidRPr="00B224B8">
        <w:rPr>
          <w:lang w:val="es-ES_tradnl"/>
        </w:rPr>
        <w:t xml:space="preserve">ircular </w:t>
      </w:r>
      <w:r w:rsidR="007F5EF3" w:rsidRPr="00B224B8">
        <w:rPr>
          <w:lang w:val="es-ES_tradnl"/>
        </w:rPr>
        <w:t>a</w:t>
      </w:r>
      <w:r w:rsidRPr="00B224B8">
        <w:rPr>
          <w:lang w:val="es-ES_tradnl"/>
        </w:rPr>
        <w:t xml:space="preserve">dministrativa y las Recomendaciones aprobadas se publicarán a la mayor brevedad posible (véase </w:t>
      </w:r>
      <w:hyperlink r:id="rId9" w:history="1">
        <w:r w:rsidR="007931AE" w:rsidRPr="00B224B8">
          <w:rPr>
            <w:rStyle w:val="Hyperlink"/>
            <w:lang w:val="es-ES_tradnl"/>
          </w:rPr>
          <w:t>https://www.itu.int/pub/R-REC/es</w:t>
        </w:r>
      </w:hyperlink>
      <w:r w:rsidRPr="00B224B8">
        <w:rPr>
          <w:lang w:val="es-ES_tradnl"/>
        </w:rPr>
        <w:t>).</w:t>
      </w:r>
    </w:p>
    <w:p w14:paraId="3D1785B6" w14:textId="1CEE87A1" w:rsidR="000F36BE" w:rsidRPr="00B224B8" w:rsidRDefault="000F36BE" w:rsidP="007931AE">
      <w:pPr>
        <w:keepNext/>
        <w:keepLines/>
        <w:rPr>
          <w:lang w:val="es-ES_tradnl"/>
        </w:rPr>
      </w:pPr>
      <w:r w:rsidRPr="00B224B8">
        <w:rPr>
          <w:lang w:val="es-ES_tradnl"/>
        </w:rPr>
        <w:lastRenderedPageBreak/>
        <w:t>Se ruega a toda organización miembro de la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UIT que tenga conocimiento de una patente de su propiedad o de terceros que pueda abarcar de forma íntegra o parcial elementos de los proyectos de Recomendación referidos en la presente carta que comunique dicha información a la Secretaría lo antes posible. La Política Común de Patentes del 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T/UIT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 xml:space="preserve">R/ISO/CEI puede consultarse en </w:t>
      </w:r>
      <w:hyperlink r:id="rId10" w:history="1">
        <w:r w:rsidR="007931AE" w:rsidRPr="00B224B8">
          <w:rPr>
            <w:rStyle w:val="Hyperlink"/>
            <w:lang w:val="es-ES_tradnl"/>
          </w:rPr>
          <w:t>https://www.itu.int/es/ITU-T/ipr/Pages/policy.aspx</w:t>
        </w:r>
      </w:hyperlink>
      <w:r w:rsidRPr="00B224B8">
        <w:rPr>
          <w:lang w:val="es-ES_tradnl"/>
        </w:rPr>
        <w:t>.</w:t>
      </w:r>
    </w:p>
    <w:p w14:paraId="6635E23D" w14:textId="48835E7A" w:rsidR="00D239B4" w:rsidRPr="00B224B8" w:rsidRDefault="001B3D4D" w:rsidP="00327FB9">
      <w:pPr>
        <w:keepNext/>
        <w:keepLines/>
        <w:spacing w:before="1200"/>
        <w:jc w:val="left"/>
        <w:rPr>
          <w:lang w:val="es-ES_tradnl"/>
        </w:rPr>
      </w:pPr>
      <w:r w:rsidRPr="00B224B8">
        <w:rPr>
          <w:lang w:val="es-ES_tradnl"/>
        </w:rPr>
        <w:t>Mario Maniewicz</w:t>
      </w:r>
      <w:r w:rsidR="00E53DCE" w:rsidRPr="00B224B8">
        <w:rPr>
          <w:lang w:val="es-ES_tradnl"/>
        </w:rPr>
        <w:br/>
      </w:r>
      <w:proofErr w:type="gramStart"/>
      <w:r w:rsidR="00A96D3A" w:rsidRPr="00B224B8">
        <w:rPr>
          <w:lang w:val="es-ES_tradnl"/>
        </w:rPr>
        <w:t>Director</w:t>
      </w:r>
      <w:proofErr w:type="gramEnd"/>
    </w:p>
    <w:p w14:paraId="78C4B155" w14:textId="06DB5EDD" w:rsidR="000F36BE" w:rsidRPr="00B224B8" w:rsidRDefault="000F36BE" w:rsidP="00327FB9">
      <w:pPr>
        <w:tabs>
          <w:tab w:val="clear" w:pos="794"/>
        </w:tabs>
        <w:spacing w:before="2400"/>
        <w:rPr>
          <w:lang w:val="es-ES_tradnl"/>
        </w:rPr>
      </w:pPr>
      <w:r w:rsidRPr="00B224B8">
        <w:rPr>
          <w:b/>
          <w:bCs/>
          <w:lang w:val="es-ES_tradnl"/>
        </w:rPr>
        <w:t>Anexo:</w:t>
      </w:r>
      <w:r w:rsidRPr="00B224B8">
        <w:rPr>
          <w:lang w:val="es-ES_tradnl"/>
        </w:rPr>
        <w:tab/>
        <w:t>Título y resumen de los proyectos de Recomendación</w:t>
      </w:r>
    </w:p>
    <w:p w14:paraId="2CD40D3B" w14:textId="2FFF1A91" w:rsidR="000F36BE" w:rsidRPr="00B224B8" w:rsidRDefault="000F36BE" w:rsidP="00327FB9">
      <w:pPr>
        <w:spacing w:before="960"/>
        <w:rPr>
          <w:lang w:val="es-ES_tradnl"/>
        </w:rPr>
      </w:pPr>
      <w:r w:rsidRPr="00B224B8">
        <w:rPr>
          <w:b/>
          <w:bCs/>
          <w:lang w:val="es-ES_tradnl"/>
        </w:rPr>
        <w:t>Documentos:</w:t>
      </w:r>
      <w:r w:rsidRPr="00B224B8">
        <w:rPr>
          <w:lang w:val="es-ES_tradnl"/>
        </w:rPr>
        <w:tab/>
        <w:t>Documentos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1/49, 1/52(Rev.1)</w:t>
      </w:r>
    </w:p>
    <w:p w14:paraId="5E0C53F1" w14:textId="1FB628BA" w:rsidR="000F36BE" w:rsidRPr="00B224B8" w:rsidRDefault="000F36BE" w:rsidP="000F36BE">
      <w:pPr>
        <w:rPr>
          <w:lang w:val="es-ES_tradnl"/>
        </w:rPr>
      </w:pPr>
      <w:r w:rsidRPr="00B224B8">
        <w:rPr>
          <w:lang w:val="es-ES_tradnl"/>
        </w:rPr>
        <w:t xml:space="preserve">Estos documentos figuran en formato electrónico en </w:t>
      </w:r>
      <w:hyperlink r:id="rId11" w:history="1">
        <w:r w:rsidR="007931AE" w:rsidRPr="00B224B8">
          <w:rPr>
            <w:rStyle w:val="Hyperlink"/>
            <w:lang w:val="es-ES_tradnl"/>
          </w:rPr>
          <w:t>https://www.itu.int/md/R23-SG01-C/es</w:t>
        </w:r>
      </w:hyperlink>
      <w:r w:rsidRPr="00B224B8">
        <w:rPr>
          <w:lang w:val="es-ES_tradnl"/>
        </w:rPr>
        <w:t>.</w:t>
      </w:r>
    </w:p>
    <w:p w14:paraId="72CC57AB" w14:textId="2B9804FE" w:rsidR="000F36BE" w:rsidRPr="00B224B8" w:rsidRDefault="000F36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B224B8">
        <w:rPr>
          <w:lang w:val="es-ES_tradnl"/>
        </w:rPr>
        <w:br w:type="page"/>
      </w:r>
    </w:p>
    <w:p w14:paraId="346543AE" w14:textId="77777777" w:rsidR="000F36BE" w:rsidRPr="00B224B8" w:rsidRDefault="000F36BE" w:rsidP="000F36BE">
      <w:pPr>
        <w:pStyle w:val="AnnexNotitle0"/>
        <w:spacing w:before="120"/>
        <w:rPr>
          <w:rFonts w:asciiTheme="minorHAnsi" w:hAnsiTheme="minorHAnsi" w:cstheme="minorHAnsi"/>
          <w:lang w:val="es-ES_tradnl"/>
        </w:rPr>
      </w:pPr>
      <w:r w:rsidRPr="00B224B8">
        <w:rPr>
          <w:rFonts w:asciiTheme="minorHAnsi" w:hAnsiTheme="minorHAnsi" w:cstheme="minorHAnsi"/>
          <w:lang w:val="es-ES_tradnl"/>
        </w:rPr>
        <w:lastRenderedPageBreak/>
        <w:t xml:space="preserve">Anexo </w:t>
      </w:r>
      <w:r w:rsidRPr="00B224B8">
        <w:rPr>
          <w:rFonts w:asciiTheme="minorHAnsi" w:hAnsiTheme="minorHAnsi" w:cstheme="minorHAnsi"/>
          <w:lang w:val="es-ES_tradnl"/>
        </w:rPr>
        <w:br/>
      </w:r>
      <w:r w:rsidRPr="00B224B8">
        <w:rPr>
          <w:rFonts w:asciiTheme="minorHAnsi" w:hAnsiTheme="minorHAnsi" w:cstheme="minorHAnsi"/>
          <w:lang w:val="es-ES_tradnl"/>
        </w:rPr>
        <w:br/>
        <w:t>Título y resumen de los proyectos de Recomendación UIT-R</w:t>
      </w:r>
    </w:p>
    <w:p w14:paraId="2BE24626" w14:textId="7206DFA8" w:rsidR="000F36BE" w:rsidRPr="00B224B8" w:rsidRDefault="000F36BE" w:rsidP="000F36BE">
      <w:pPr>
        <w:tabs>
          <w:tab w:val="clear" w:pos="794"/>
          <w:tab w:val="right" w:pos="9498"/>
        </w:tabs>
        <w:spacing w:before="480"/>
        <w:rPr>
          <w:lang w:val="es-ES_tradnl"/>
        </w:rPr>
      </w:pPr>
      <w:r w:rsidRPr="00B224B8">
        <w:rPr>
          <w:u w:val="single"/>
          <w:lang w:val="es-ES_tradnl"/>
        </w:rPr>
        <w:t>Proyecto de revisión de la Recomendación UIT-R SM.328-11</w:t>
      </w:r>
      <w:r w:rsidRPr="00B224B8">
        <w:rPr>
          <w:lang w:val="es-ES_tradnl"/>
        </w:rPr>
        <w:tab/>
        <w:t>Doc.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1/49</w:t>
      </w:r>
    </w:p>
    <w:p w14:paraId="22A9F4C7" w14:textId="77777777" w:rsidR="000F36BE" w:rsidRPr="00B224B8" w:rsidRDefault="000F36BE" w:rsidP="000F36BE">
      <w:pPr>
        <w:pStyle w:val="Rectitle"/>
        <w:rPr>
          <w:lang w:val="es-ES_tradnl"/>
        </w:rPr>
      </w:pPr>
      <w:r w:rsidRPr="00B224B8">
        <w:rPr>
          <w:lang w:val="es-ES_tradnl"/>
        </w:rPr>
        <w:t>Espectros y anchura de banda de las emisiones</w:t>
      </w:r>
    </w:p>
    <w:p w14:paraId="6D202904" w14:textId="77777777" w:rsidR="000F36BE" w:rsidRPr="00360DE4" w:rsidRDefault="000F36BE" w:rsidP="007931AE">
      <w:pPr>
        <w:pStyle w:val="Normalaftertitle"/>
        <w:rPr>
          <w:lang w:val="es-ES_tradnl"/>
        </w:rPr>
      </w:pPr>
      <w:r w:rsidRPr="00B224B8">
        <w:rPr>
          <w:lang w:val="es-ES_tradnl"/>
        </w:rPr>
        <w:t>Resumen de la revisión</w:t>
      </w:r>
      <w:r w:rsidRPr="00360DE4">
        <w:rPr>
          <w:lang w:val="es-ES_tradnl"/>
        </w:rPr>
        <w:t>:</w:t>
      </w:r>
    </w:p>
    <w:p w14:paraId="05D27D89" w14:textId="782B0329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  <w:t>revisar los textos para tener en cuenta los métodos de trabajo del 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más recientes, en particular la utilización de los seis idiomas oficiales de la Unión o la supresión de las referencias a las disposiciones del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 xml:space="preserve">RR en el </w:t>
      </w:r>
      <w:r w:rsidRPr="00B224B8">
        <w:rPr>
          <w:i/>
          <w:iCs/>
          <w:lang w:val="es-ES_tradnl"/>
        </w:rPr>
        <w:t xml:space="preserve">considerando </w:t>
      </w:r>
      <w:r w:rsidRPr="00B224B8">
        <w:rPr>
          <w:lang w:val="es-ES_tradnl"/>
        </w:rPr>
        <w:t xml:space="preserve">para su ulterior inclusión en el </w:t>
      </w:r>
      <w:r w:rsidRPr="00B224B8">
        <w:rPr>
          <w:i/>
          <w:iCs/>
          <w:lang w:val="es-ES_tradnl"/>
        </w:rPr>
        <w:t>reconociendo</w:t>
      </w:r>
      <w:r w:rsidRPr="00B224B8">
        <w:rPr>
          <w:lang w:val="es-ES_tradnl"/>
        </w:rPr>
        <w:t>, y efectuar las consecuentes modificaciones;</w:t>
      </w:r>
    </w:p>
    <w:p w14:paraId="7726A6A4" w14:textId="4A569586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  <w:t>añadir referencias a las Recomendaciones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SM.853, 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SM.1046 y 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SM.1539, así como a los Informes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SM.2048 y 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SM.2421;</w:t>
      </w:r>
    </w:p>
    <w:p w14:paraId="20D3D26C" w14:textId="538155C5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  <w:t>añadir una nueva sección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 xml:space="preserve">5 sobre las características de la anchura de banda necesaria, en </w:t>
      </w:r>
      <w:proofErr w:type="spellStart"/>
      <w:r w:rsidRPr="00B224B8">
        <w:rPr>
          <w:lang w:val="es-ES_tradnl"/>
        </w:rPr>
        <w:t>el</w:t>
      </w:r>
      <w:proofErr w:type="spellEnd"/>
      <w:r w:rsidRPr="00B224B8">
        <w:rPr>
          <w:lang w:val="es-ES_tradnl"/>
        </w:rPr>
        <w:t xml:space="preserve"> </w:t>
      </w:r>
      <w:r w:rsidRPr="00B224B8">
        <w:rPr>
          <w:i/>
          <w:iCs/>
          <w:lang w:val="es-ES_tradnl"/>
        </w:rPr>
        <w:t>recomienda</w:t>
      </w:r>
      <w:r w:rsidRPr="00B224B8">
        <w:rPr>
          <w:lang w:val="es-ES_tradnl"/>
        </w:rPr>
        <w:t>.</w:t>
      </w:r>
    </w:p>
    <w:p w14:paraId="793C41FD" w14:textId="376C2A89" w:rsidR="000F36BE" w:rsidRPr="00B224B8" w:rsidRDefault="000F36BE" w:rsidP="000F36BE">
      <w:pPr>
        <w:tabs>
          <w:tab w:val="clear" w:pos="794"/>
          <w:tab w:val="right" w:pos="9498"/>
        </w:tabs>
        <w:spacing w:before="480"/>
        <w:rPr>
          <w:lang w:val="es-ES_tradnl"/>
        </w:rPr>
      </w:pPr>
      <w:r w:rsidRPr="00B224B8">
        <w:rPr>
          <w:u w:val="single"/>
          <w:lang w:val="es-ES_tradnl"/>
        </w:rPr>
        <w:t>Proyecto de revisión de la Recomendación UIT-R SM.2110-1</w:t>
      </w:r>
      <w:r w:rsidRPr="00B224B8">
        <w:rPr>
          <w:lang w:val="es-ES_tradnl"/>
        </w:rPr>
        <w:tab/>
        <w:t>Doc.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1/52(Rev.1)</w:t>
      </w:r>
    </w:p>
    <w:p w14:paraId="17BC6F10" w14:textId="26C322F7" w:rsidR="000F36BE" w:rsidRPr="00B224B8" w:rsidRDefault="000F36BE" w:rsidP="000F36BE">
      <w:pPr>
        <w:pStyle w:val="Rectitle"/>
        <w:rPr>
          <w:lang w:val="es-ES_tradnl"/>
        </w:rPr>
      </w:pPr>
      <w:r w:rsidRPr="00B224B8">
        <w:rPr>
          <w:lang w:val="es-ES_tradnl"/>
        </w:rPr>
        <w:t xml:space="preserve">Directrices sobre gamas de frecuencias para la explotación de sistemas </w:t>
      </w:r>
      <w:r w:rsidR="007931AE" w:rsidRPr="00B224B8">
        <w:rPr>
          <w:lang w:val="es-ES_tradnl"/>
        </w:rPr>
        <w:br/>
      </w:r>
      <w:r w:rsidRPr="00B224B8">
        <w:rPr>
          <w:lang w:val="es-ES_tradnl"/>
        </w:rPr>
        <w:t>de transmisión inalámbrica de potencia sin haces para vehículos eléctricos</w:t>
      </w:r>
    </w:p>
    <w:p w14:paraId="32FD7EDF" w14:textId="77777777" w:rsidR="000F36BE" w:rsidRPr="00B224B8" w:rsidRDefault="000F36BE" w:rsidP="007931AE">
      <w:pPr>
        <w:pStyle w:val="Normalaftertitle"/>
        <w:rPr>
          <w:lang w:val="es-ES_tradnl"/>
        </w:rPr>
      </w:pPr>
      <w:r w:rsidRPr="00B224B8">
        <w:rPr>
          <w:lang w:val="es-ES_tradnl"/>
        </w:rPr>
        <w:t>Resumen de la revisión:</w:t>
      </w:r>
    </w:p>
    <w:p w14:paraId="41F9047B" w14:textId="664A1389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m</w:t>
      </w:r>
      <w:r w:rsidRPr="00B224B8">
        <w:rPr>
          <w:lang w:val="es-ES_tradnl"/>
        </w:rPr>
        <w:t>ejora del alcance en consonancia con el título;</w:t>
      </w:r>
    </w:p>
    <w:p w14:paraId="092DC9DD" w14:textId="1BB44DFD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a</w:t>
      </w:r>
      <w:r w:rsidRPr="00B224B8">
        <w:rPr>
          <w:lang w:val="es-ES_tradnl"/>
        </w:rPr>
        <w:t>ctualización de las abreviaturas y del glosario;</w:t>
      </w:r>
    </w:p>
    <w:p w14:paraId="3CA5DB55" w14:textId="5107FC32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a</w:t>
      </w:r>
      <w:r w:rsidRPr="00B224B8">
        <w:rPr>
          <w:lang w:val="es-ES_tradnl"/>
        </w:rPr>
        <w:t>dición de títulos a las Recomendaciones e Informes de la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UIT;</w:t>
      </w:r>
    </w:p>
    <w:p w14:paraId="41DC209F" w14:textId="6E4F7923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a</w:t>
      </w:r>
      <w:r w:rsidRPr="00B224B8">
        <w:rPr>
          <w:lang w:val="es-ES_tradnl"/>
        </w:rPr>
        <w:t>dición de la referencia al Informe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UIT</w:t>
      </w:r>
      <w:r w:rsidR="007931AE" w:rsidRPr="00B224B8">
        <w:rPr>
          <w:lang w:val="es-ES_tradnl"/>
        </w:rPr>
        <w:noBreakHyphen/>
      </w:r>
      <w:r w:rsidRPr="00B224B8">
        <w:rPr>
          <w:lang w:val="es-ES_tradnl"/>
        </w:rPr>
        <w:t>R TF.2487;</w:t>
      </w:r>
    </w:p>
    <w:p w14:paraId="34DC5E50" w14:textId="2FB7471B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e</w:t>
      </w:r>
      <w:r w:rsidRPr="00B224B8">
        <w:rPr>
          <w:lang w:val="es-ES_tradnl"/>
        </w:rPr>
        <w:t xml:space="preserve">dición </w:t>
      </w:r>
      <w:proofErr w:type="gramStart"/>
      <w:r w:rsidRPr="00B224B8">
        <w:rPr>
          <w:lang w:val="es-ES_tradnl"/>
        </w:rPr>
        <w:t xml:space="preserve">de los </w:t>
      </w:r>
      <w:r w:rsidRPr="00B224B8">
        <w:rPr>
          <w:i/>
          <w:iCs/>
          <w:lang w:val="es-ES_tradnl"/>
        </w:rPr>
        <w:t>considerando</w:t>
      </w:r>
      <w:proofErr w:type="gramEnd"/>
      <w:r w:rsidRPr="00B224B8">
        <w:rPr>
          <w:lang w:val="es-ES_tradnl"/>
        </w:rPr>
        <w:t>;</w:t>
      </w:r>
    </w:p>
    <w:p w14:paraId="051AE1C8" w14:textId="30AA0CB6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e</w:t>
      </w:r>
      <w:r w:rsidRPr="00B224B8">
        <w:rPr>
          <w:lang w:val="es-ES_tradnl"/>
        </w:rPr>
        <w:t xml:space="preserve">dición de los </w:t>
      </w:r>
      <w:r w:rsidRPr="00B224B8">
        <w:rPr>
          <w:i/>
          <w:iCs/>
          <w:lang w:val="es-ES_tradnl"/>
        </w:rPr>
        <w:t>reconociendo</w:t>
      </w:r>
      <w:r w:rsidRPr="00B224B8">
        <w:rPr>
          <w:lang w:val="es-ES_tradnl"/>
        </w:rPr>
        <w:t>;</w:t>
      </w:r>
    </w:p>
    <w:p w14:paraId="73546A67" w14:textId="21315E04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a</w:t>
      </w:r>
      <w:r w:rsidRPr="00B224B8">
        <w:rPr>
          <w:lang w:val="es-ES_tradnl"/>
        </w:rPr>
        <w:t xml:space="preserve">ctualización de las referencias en los </w:t>
      </w:r>
      <w:r w:rsidRPr="00B224B8">
        <w:rPr>
          <w:i/>
          <w:iCs/>
          <w:lang w:val="es-ES_tradnl"/>
        </w:rPr>
        <w:t>observando</w:t>
      </w:r>
      <w:r w:rsidRPr="00B224B8">
        <w:rPr>
          <w:lang w:val="es-ES_tradnl"/>
        </w:rPr>
        <w:t xml:space="preserve"> y adición de un </w:t>
      </w:r>
      <w:r w:rsidRPr="00B224B8">
        <w:rPr>
          <w:i/>
          <w:iCs/>
          <w:lang w:val="es-ES_tradnl"/>
        </w:rPr>
        <w:t>observando</w:t>
      </w:r>
      <w:r w:rsidRPr="00B224B8">
        <w:rPr>
          <w:lang w:val="es-ES_tradnl"/>
        </w:rPr>
        <w:t>;</w:t>
      </w:r>
    </w:p>
    <w:p w14:paraId="0882ECD4" w14:textId="0DE8B574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e</w:t>
      </w:r>
      <w:r w:rsidRPr="00B224B8">
        <w:rPr>
          <w:lang w:val="es-ES_tradnl"/>
        </w:rPr>
        <w:t xml:space="preserve">dición y fusión de los </w:t>
      </w:r>
      <w:r w:rsidRPr="00B224B8">
        <w:rPr>
          <w:i/>
          <w:iCs/>
          <w:lang w:val="es-ES_tradnl"/>
        </w:rPr>
        <w:t>recomienda</w:t>
      </w:r>
      <w:r w:rsidRPr="00B224B8">
        <w:rPr>
          <w:lang w:val="es-ES_tradnl"/>
        </w:rPr>
        <w:t>;</w:t>
      </w:r>
    </w:p>
    <w:p w14:paraId="21C43ACA" w14:textId="314AB447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a</w:t>
      </w:r>
      <w:r w:rsidRPr="00B224B8">
        <w:rPr>
          <w:lang w:val="es-ES_tradnl"/>
        </w:rPr>
        <w:t>ctualización del Cuadro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1 para reflejar únicamente las frecuencias de funcionamiento fundamentales;</w:t>
      </w:r>
    </w:p>
    <w:p w14:paraId="00100C96" w14:textId="126D72EB" w:rsidR="000F36BE" w:rsidRPr="00B224B8" w:rsidRDefault="000F36BE" w:rsidP="000F36BE">
      <w:pPr>
        <w:pStyle w:val="enumlev1"/>
        <w:rPr>
          <w:lang w:val="es-ES_tradnl"/>
        </w:rPr>
      </w:pPr>
      <w:r w:rsidRPr="00B224B8">
        <w:rPr>
          <w:lang w:val="es-ES_tradnl"/>
        </w:rPr>
        <w:t>–</w:t>
      </w:r>
      <w:r w:rsidRPr="00B224B8">
        <w:rPr>
          <w:lang w:val="es-ES_tradnl"/>
        </w:rPr>
        <w:tab/>
      </w:r>
      <w:r w:rsidR="007931AE" w:rsidRPr="00B224B8">
        <w:rPr>
          <w:lang w:val="es-ES_tradnl"/>
        </w:rPr>
        <w:t>a</w:t>
      </w:r>
      <w:r w:rsidRPr="00B224B8">
        <w:rPr>
          <w:lang w:val="es-ES_tradnl"/>
        </w:rPr>
        <w:t>ctualización de la nota del Cuadro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1 para proporcionar mayor claridad sobre la protección del</w:t>
      </w:r>
      <w:r w:rsidR="007931AE" w:rsidRPr="00B224B8">
        <w:rPr>
          <w:lang w:val="es-ES_tradnl"/>
        </w:rPr>
        <w:t> </w:t>
      </w:r>
      <w:r w:rsidRPr="00B224B8">
        <w:rPr>
          <w:lang w:val="es-ES_tradnl"/>
        </w:rPr>
        <w:t>SFTSS.</w:t>
      </w:r>
    </w:p>
    <w:p w14:paraId="66797E28" w14:textId="77777777" w:rsidR="000F36BE" w:rsidRPr="00B224B8" w:rsidRDefault="000F36BE" w:rsidP="00411C49">
      <w:pPr>
        <w:pStyle w:val="Reasons"/>
        <w:rPr>
          <w:lang w:val="es-ES_tradnl"/>
        </w:rPr>
      </w:pPr>
    </w:p>
    <w:p w14:paraId="5DE9ABC8" w14:textId="77777777" w:rsidR="000F36BE" w:rsidRPr="00B224B8" w:rsidRDefault="000F36BE">
      <w:pPr>
        <w:jc w:val="center"/>
        <w:rPr>
          <w:lang w:val="es-ES_tradnl"/>
        </w:rPr>
      </w:pPr>
      <w:r w:rsidRPr="00B224B8">
        <w:rPr>
          <w:lang w:val="es-ES_tradnl"/>
        </w:rPr>
        <w:t>______________</w:t>
      </w:r>
    </w:p>
    <w:sectPr w:rsidR="000F36BE" w:rsidRPr="00B224B8" w:rsidSect="00D316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8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CFFC" w14:textId="77777777" w:rsidR="0082526C" w:rsidRDefault="00825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ABD1" w14:textId="77777777" w:rsidR="0082526C" w:rsidRDefault="00825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74458013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82526C"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C66" w14:textId="77777777" w:rsidR="00D316C8" w:rsidRPr="00D239B4" w:rsidRDefault="00D316C8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2A3F03" w14:paraId="17DCC20F" w14:textId="77777777" w:rsidTr="002A3F03">
      <w:tc>
        <w:tcPr>
          <w:tcW w:w="9862" w:type="dxa"/>
          <w:tcMar>
            <w:left w:w="0" w:type="dxa"/>
          </w:tcMar>
        </w:tcPr>
        <w:p w14:paraId="0EDA5A65" w14:textId="77777777" w:rsidR="002A3F03" w:rsidRDefault="002A3F03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54BBB77" wp14:editId="2563B30D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604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41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A8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7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30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46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E9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746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C6D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83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15"/>
  </w:num>
  <w:num w:numId="3" w16cid:durableId="1428648885">
    <w:abstractNumId w:val="9"/>
  </w:num>
  <w:num w:numId="4" w16cid:durableId="780534662">
    <w:abstractNumId w:val="7"/>
  </w:num>
  <w:num w:numId="5" w16cid:durableId="947783177">
    <w:abstractNumId w:val="6"/>
  </w:num>
  <w:num w:numId="6" w16cid:durableId="634021750">
    <w:abstractNumId w:val="5"/>
  </w:num>
  <w:num w:numId="7" w16cid:durableId="324092949">
    <w:abstractNumId w:val="4"/>
  </w:num>
  <w:num w:numId="8" w16cid:durableId="2095318119">
    <w:abstractNumId w:val="8"/>
  </w:num>
  <w:num w:numId="9" w16cid:durableId="1908765903">
    <w:abstractNumId w:val="3"/>
  </w:num>
  <w:num w:numId="10" w16cid:durableId="1672947926">
    <w:abstractNumId w:val="2"/>
  </w:num>
  <w:num w:numId="11" w16cid:durableId="945575545">
    <w:abstractNumId w:val="1"/>
  </w:num>
  <w:num w:numId="12" w16cid:durableId="149776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3364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36BE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2B9"/>
    <w:rsid w:val="003266ED"/>
    <w:rsid w:val="00326C68"/>
    <w:rsid w:val="00327FB9"/>
    <w:rsid w:val="0033029C"/>
    <w:rsid w:val="003370B8"/>
    <w:rsid w:val="00341036"/>
    <w:rsid w:val="00345D38"/>
    <w:rsid w:val="00352097"/>
    <w:rsid w:val="00353E34"/>
    <w:rsid w:val="00360DE4"/>
    <w:rsid w:val="003666FF"/>
    <w:rsid w:val="0037309C"/>
    <w:rsid w:val="00380A6E"/>
    <w:rsid w:val="003836D4"/>
    <w:rsid w:val="003969C9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2C77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5CEB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31AE"/>
    <w:rsid w:val="007B3DB1"/>
    <w:rsid w:val="007D183E"/>
    <w:rsid w:val="007D43D0"/>
    <w:rsid w:val="007E1833"/>
    <w:rsid w:val="007E3F13"/>
    <w:rsid w:val="007F5EF3"/>
    <w:rsid w:val="007F751A"/>
    <w:rsid w:val="00800012"/>
    <w:rsid w:val="0080261F"/>
    <w:rsid w:val="00805A02"/>
    <w:rsid w:val="00806160"/>
    <w:rsid w:val="008143A4"/>
    <w:rsid w:val="0081513E"/>
    <w:rsid w:val="0082526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67CC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765F1"/>
    <w:rsid w:val="00A80EFE"/>
    <w:rsid w:val="00A963DF"/>
    <w:rsid w:val="00A96D3A"/>
    <w:rsid w:val="00AC0C22"/>
    <w:rsid w:val="00AC3896"/>
    <w:rsid w:val="00AD2CF2"/>
    <w:rsid w:val="00AE2D88"/>
    <w:rsid w:val="00AE4E94"/>
    <w:rsid w:val="00AE6F6F"/>
    <w:rsid w:val="00AF3325"/>
    <w:rsid w:val="00AF34D9"/>
    <w:rsid w:val="00AF5B37"/>
    <w:rsid w:val="00AF70DA"/>
    <w:rsid w:val="00B019D3"/>
    <w:rsid w:val="00B160F1"/>
    <w:rsid w:val="00B224B8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84B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0F36B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F36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0F36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931AE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931AE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9-2023/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s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C/e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638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4545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Panoussopoulos, Sonia</cp:lastModifiedBy>
  <cp:revision>8</cp:revision>
  <cp:lastPrinted>2013-03-08T10:15:00Z</cp:lastPrinted>
  <dcterms:created xsi:type="dcterms:W3CDTF">2025-06-23T08:19:00Z</dcterms:created>
  <dcterms:modified xsi:type="dcterms:W3CDTF">2025-07-01T08:03:00Z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