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E24026" w14:paraId="3373B1DA" w14:textId="77777777" w:rsidTr="004228FA">
        <w:trPr>
          <w:jc w:val="center"/>
        </w:trPr>
        <w:tc>
          <w:tcPr>
            <w:tcW w:w="9889" w:type="dxa"/>
            <w:gridSpan w:val="3"/>
            <w:shd w:val="clear" w:color="auto" w:fill="auto"/>
          </w:tcPr>
          <w:p w14:paraId="131D11D0" w14:textId="77777777" w:rsidR="00E53DCE" w:rsidRPr="00E24026" w:rsidRDefault="00E53DCE" w:rsidP="006160CB">
            <w:pPr>
              <w:spacing w:before="0"/>
              <w:jc w:val="left"/>
              <w:rPr>
                <w:rFonts w:cstheme="minorHAnsi"/>
                <w:b/>
                <w:bCs/>
                <w:color w:val="808080"/>
                <w:sz w:val="28"/>
                <w:szCs w:val="28"/>
                <w:lang w:val="fr-FR"/>
              </w:rPr>
            </w:pPr>
            <w:r w:rsidRPr="00E24026">
              <w:rPr>
                <w:rFonts w:cstheme="minorHAnsi"/>
                <w:b/>
                <w:bCs/>
                <w:color w:val="808080"/>
                <w:sz w:val="28"/>
                <w:szCs w:val="28"/>
                <w:lang w:val="fr-FR"/>
              </w:rPr>
              <w:t>Bureau des radiocommunications (BR)</w:t>
            </w:r>
          </w:p>
          <w:p w14:paraId="5D410CA3" w14:textId="77777777" w:rsidR="00E53DCE" w:rsidRPr="00E24026" w:rsidRDefault="00E53DCE" w:rsidP="006160CB">
            <w:pPr>
              <w:spacing w:before="0"/>
              <w:jc w:val="left"/>
              <w:rPr>
                <w:rFonts w:cstheme="minorHAnsi"/>
                <w:b/>
                <w:bCs/>
                <w:color w:val="808080"/>
                <w:sz w:val="28"/>
                <w:szCs w:val="28"/>
                <w:lang w:val="fr-FR"/>
              </w:rPr>
            </w:pPr>
          </w:p>
          <w:p w14:paraId="238EAC46" w14:textId="77777777" w:rsidR="00E53DCE" w:rsidRPr="00E24026" w:rsidRDefault="00E53DCE" w:rsidP="006160CB">
            <w:pPr>
              <w:spacing w:before="0"/>
              <w:jc w:val="left"/>
              <w:rPr>
                <w:rFonts w:cs="Times New Roman Bold"/>
                <w:b/>
                <w:bCs/>
                <w:color w:val="808080"/>
                <w:sz w:val="28"/>
                <w:szCs w:val="28"/>
                <w:lang w:val="fr-FR"/>
              </w:rPr>
            </w:pPr>
          </w:p>
        </w:tc>
      </w:tr>
      <w:tr w:rsidR="00E53DCE" w:rsidRPr="00E24026" w14:paraId="32D03654" w14:textId="77777777" w:rsidTr="004228FA">
        <w:trPr>
          <w:jc w:val="center"/>
        </w:trPr>
        <w:tc>
          <w:tcPr>
            <w:tcW w:w="7054" w:type="dxa"/>
            <w:gridSpan w:val="2"/>
            <w:shd w:val="clear" w:color="auto" w:fill="auto"/>
          </w:tcPr>
          <w:p w14:paraId="787AC96A" w14:textId="313B8DC2" w:rsidR="00E53DCE" w:rsidRPr="00E24026" w:rsidRDefault="00E53DCE" w:rsidP="006160CB">
            <w:pPr>
              <w:spacing w:before="0"/>
              <w:jc w:val="left"/>
              <w:rPr>
                <w:sz w:val="28"/>
                <w:szCs w:val="28"/>
                <w:lang w:val="fr-FR"/>
              </w:rPr>
            </w:pPr>
            <w:r w:rsidRPr="00E24026">
              <w:rPr>
                <w:szCs w:val="24"/>
                <w:lang w:val="fr-FR"/>
              </w:rPr>
              <w:t>Circulaire administrative</w:t>
            </w:r>
          </w:p>
          <w:p w14:paraId="198DE3D1" w14:textId="1F965F72" w:rsidR="00E53DCE" w:rsidRPr="00E24026" w:rsidRDefault="00AA781A" w:rsidP="006160CB">
            <w:pPr>
              <w:spacing w:before="0"/>
              <w:jc w:val="left"/>
              <w:rPr>
                <w:b/>
                <w:bCs/>
                <w:sz w:val="28"/>
                <w:szCs w:val="28"/>
                <w:lang w:val="fr-FR"/>
              </w:rPr>
            </w:pPr>
            <w:r w:rsidRPr="00E24026">
              <w:rPr>
                <w:b/>
                <w:bCs/>
                <w:szCs w:val="24"/>
                <w:lang w:val="fr-FR"/>
              </w:rPr>
              <w:t>CACE/</w:t>
            </w:r>
            <w:r w:rsidR="00E806FD" w:rsidRPr="00E24026">
              <w:rPr>
                <w:b/>
                <w:bCs/>
                <w:szCs w:val="24"/>
                <w:lang w:val="fr-FR"/>
              </w:rPr>
              <w:t>1149</w:t>
            </w:r>
          </w:p>
        </w:tc>
        <w:tc>
          <w:tcPr>
            <w:tcW w:w="2835" w:type="dxa"/>
            <w:shd w:val="clear" w:color="auto" w:fill="auto"/>
          </w:tcPr>
          <w:p w14:paraId="73698996" w14:textId="06270C48" w:rsidR="00E53DCE" w:rsidRPr="00E24026" w:rsidRDefault="00AA781A" w:rsidP="00304636">
            <w:pPr>
              <w:spacing w:before="0"/>
              <w:jc w:val="right"/>
              <w:rPr>
                <w:sz w:val="28"/>
                <w:szCs w:val="28"/>
                <w:lang w:val="fr-FR"/>
              </w:rPr>
            </w:pPr>
            <w:r w:rsidRPr="00E24026">
              <w:rPr>
                <w:szCs w:val="24"/>
                <w:lang w:val="fr-FR"/>
              </w:rPr>
              <w:t xml:space="preserve">Le </w:t>
            </w:r>
            <w:sdt>
              <w:sdtPr>
                <w:rPr>
                  <w:rFonts w:cs="Arial"/>
                  <w:szCs w:val="24"/>
                  <w:lang w:val="fr-FR"/>
                </w:rPr>
                <w:alias w:val="Date"/>
                <w:tag w:val="Date"/>
                <w:id w:val="444659277"/>
                <w:placeholder>
                  <w:docPart w:val="0058E8D953B84389ACF9349EDACA5E7D"/>
                </w:placeholder>
                <w:date w:fullDate="2025-07-01T00:00:00Z">
                  <w:dateFormat w:val="d MMMM yyyy"/>
                  <w:lid w:val="fr-FR"/>
                  <w:storeMappedDataAs w:val="date"/>
                  <w:calendar w:val="gregorian"/>
                </w:date>
              </w:sdtPr>
              <w:sdtEndPr/>
              <w:sdtContent>
                <w:r w:rsidR="00304636" w:rsidRPr="00E24026">
                  <w:rPr>
                    <w:rFonts w:cs="Arial"/>
                    <w:szCs w:val="24"/>
                    <w:lang w:val="fr-FR"/>
                  </w:rPr>
                  <w:t>1</w:t>
                </w:r>
                <w:r w:rsidR="00E806FD" w:rsidRPr="00E24026">
                  <w:rPr>
                    <w:rFonts w:cs="Arial"/>
                    <w:szCs w:val="24"/>
                    <w:lang w:val="fr-FR"/>
                  </w:rPr>
                  <w:t>er juillet 2025</w:t>
                </w:r>
              </w:sdtContent>
            </w:sdt>
          </w:p>
        </w:tc>
      </w:tr>
      <w:tr w:rsidR="00E53DCE" w:rsidRPr="00E24026" w14:paraId="21CF050B" w14:textId="77777777" w:rsidTr="004228FA">
        <w:trPr>
          <w:jc w:val="center"/>
        </w:trPr>
        <w:tc>
          <w:tcPr>
            <w:tcW w:w="9889" w:type="dxa"/>
            <w:gridSpan w:val="3"/>
            <w:shd w:val="clear" w:color="auto" w:fill="auto"/>
          </w:tcPr>
          <w:p w14:paraId="78C111A6" w14:textId="77777777" w:rsidR="00E53DCE" w:rsidRPr="00E24026" w:rsidRDefault="00E53DCE" w:rsidP="006160CB">
            <w:pPr>
              <w:spacing w:before="0"/>
              <w:jc w:val="left"/>
              <w:rPr>
                <w:rFonts w:cs="Arial"/>
                <w:szCs w:val="24"/>
                <w:lang w:val="fr-FR"/>
              </w:rPr>
            </w:pPr>
          </w:p>
        </w:tc>
      </w:tr>
      <w:tr w:rsidR="00E53DCE" w:rsidRPr="00E24026" w14:paraId="2F4E240B" w14:textId="77777777" w:rsidTr="004228FA">
        <w:trPr>
          <w:jc w:val="center"/>
        </w:trPr>
        <w:tc>
          <w:tcPr>
            <w:tcW w:w="9889" w:type="dxa"/>
            <w:gridSpan w:val="3"/>
            <w:shd w:val="clear" w:color="auto" w:fill="auto"/>
          </w:tcPr>
          <w:p w14:paraId="1E0134AA" w14:textId="77777777" w:rsidR="00E53DCE" w:rsidRPr="00E24026" w:rsidRDefault="00E53DCE" w:rsidP="006160CB">
            <w:pPr>
              <w:spacing w:before="0"/>
              <w:jc w:val="left"/>
              <w:rPr>
                <w:szCs w:val="24"/>
                <w:lang w:val="fr-FR"/>
              </w:rPr>
            </w:pPr>
          </w:p>
        </w:tc>
      </w:tr>
      <w:tr w:rsidR="00E53DCE" w:rsidRPr="004B553A" w14:paraId="007114AC" w14:textId="77777777" w:rsidTr="004228FA">
        <w:trPr>
          <w:jc w:val="center"/>
        </w:trPr>
        <w:tc>
          <w:tcPr>
            <w:tcW w:w="9889" w:type="dxa"/>
            <w:gridSpan w:val="3"/>
            <w:shd w:val="clear" w:color="auto" w:fill="auto"/>
          </w:tcPr>
          <w:p w14:paraId="43A7338A" w14:textId="4FD324E0" w:rsidR="00E53DCE" w:rsidRPr="00E24026" w:rsidRDefault="001475F6" w:rsidP="007E63BC">
            <w:pPr>
              <w:spacing w:before="0" w:after="120"/>
              <w:jc w:val="left"/>
              <w:rPr>
                <w:b/>
                <w:bCs/>
                <w:szCs w:val="24"/>
                <w:lang w:val="fr-FR"/>
              </w:rPr>
            </w:pPr>
            <w:r w:rsidRPr="00E24026">
              <w:rPr>
                <w:b/>
                <w:bCs/>
                <w:szCs w:val="24"/>
                <w:lang w:val="fr-FR"/>
              </w:rPr>
              <w:t>Aux Administrations des États Membres de l'UIT, aux Membres du Secteur des radiocommunications, aux Associés de l'UIT-R et aux établissements universitaires participant aux travaux de la Commission d'études 1 des radiocommunications</w:t>
            </w:r>
          </w:p>
        </w:tc>
      </w:tr>
      <w:tr w:rsidR="00E53DCE" w:rsidRPr="004B553A" w14:paraId="6C559311" w14:textId="77777777" w:rsidTr="004228FA">
        <w:trPr>
          <w:jc w:val="center"/>
        </w:trPr>
        <w:tc>
          <w:tcPr>
            <w:tcW w:w="9889" w:type="dxa"/>
            <w:gridSpan w:val="3"/>
            <w:shd w:val="clear" w:color="auto" w:fill="auto"/>
          </w:tcPr>
          <w:p w14:paraId="0D32AE4E" w14:textId="77777777" w:rsidR="00E53DCE" w:rsidRPr="00E24026" w:rsidRDefault="00E53DCE" w:rsidP="006160CB">
            <w:pPr>
              <w:spacing w:before="0"/>
              <w:jc w:val="left"/>
              <w:rPr>
                <w:szCs w:val="24"/>
                <w:lang w:val="fr-FR"/>
              </w:rPr>
            </w:pPr>
          </w:p>
        </w:tc>
      </w:tr>
      <w:tr w:rsidR="00E53DCE" w:rsidRPr="004B553A" w14:paraId="26C0E337" w14:textId="77777777" w:rsidTr="004228FA">
        <w:trPr>
          <w:jc w:val="center"/>
        </w:trPr>
        <w:tc>
          <w:tcPr>
            <w:tcW w:w="9889" w:type="dxa"/>
            <w:gridSpan w:val="3"/>
            <w:shd w:val="clear" w:color="auto" w:fill="auto"/>
          </w:tcPr>
          <w:p w14:paraId="29F7E960" w14:textId="77777777" w:rsidR="00E53DCE" w:rsidRPr="00E24026" w:rsidRDefault="00E53DCE" w:rsidP="006160CB">
            <w:pPr>
              <w:spacing w:before="0"/>
              <w:jc w:val="left"/>
              <w:rPr>
                <w:szCs w:val="24"/>
                <w:lang w:val="fr-FR"/>
              </w:rPr>
            </w:pPr>
          </w:p>
        </w:tc>
      </w:tr>
      <w:tr w:rsidR="00E53DCE" w:rsidRPr="004B553A" w14:paraId="2813E03B" w14:textId="77777777" w:rsidTr="004228FA">
        <w:trPr>
          <w:jc w:val="center"/>
        </w:trPr>
        <w:tc>
          <w:tcPr>
            <w:tcW w:w="1526" w:type="dxa"/>
            <w:shd w:val="clear" w:color="auto" w:fill="auto"/>
          </w:tcPr>
          <w:p w14:paraId="50D97891" w14:textId="77777777" w:rsidR="00E53DCE" w:rsidRPr="00E24026" w:rsidRDefault="003471C9" w:rsidP="006160CB">
            <w:pPr>
              <w:tabs>
                <w:tab w:val="clear" w:pos="1588"/>
                <w:tab w:val="left" w:pos="1560"/>
              </w:tabs>
              <w:spacing w:before="0"/>
              <w:jc w:val="left"/>
              <w:rPr>
                <w:szCs w:val="24"/>
                <w:lang w:val="fr-FR"/>
              </w:rPr>
            </w:pPr>
            <w:r w:rsidRPr="00E24026">
              <w:rPr>
                <w:lang w:val="fr-FR"/>
              </w:rPr>
              <w:t>Objet</w:t>
            </w:r>
            <w:r w:rsidR="00E53DCE" w:rsidRPr="00E24026">
              <w:rPr>
                <w:szCs w:val="24"/>
                <w:lang w:val="fr-FR"/>
              </w:rPr>
              <w:t>:</w:t>
            </w:r>
          </w:p>
        </w:tc>
        <w:tc>
          <w:tcPr>
            <w:tcW w:w="8363" w:type="dxa"/>
            <w:gridSpan w:val="2"/>
            <w:vMerge w:val="restart"/>
            <w:shd w:val="clear" w:color="auto" w:fill="auto"/>
          </w:tcPr>
          <w:p w14:paraId="388078B2" w14:textId="77777777" w:rsidR="001475F6" w:rsidRPr="00E24026" w:rsidRDefault="001475F6" w:rsidP="001475F6">
            <w:pPr>
              <w:tabs>
                <w:tab w:val="clear" w:pos="1588"/>
                <w:tab w:val="left" w:pos="1560"/>
              </w:tabs>
              <w:spacing w:before="0"/>
              <w:rPr>
                <w:b/>
                <w:bCs/>
                <w:szCs w:val="24"/>
                <w:lang w:val="fr-FR"/>
              </w:rPr>
            </w:pPr>
            <w:r w:rsidRPr="00E24026">
              <w:rPr>
                <w:b/>
                <w:bCs/>
                <w:szCs w:val="24"/>
                <w:lang w:val="fr-FR"/>
              </w:rPr>
              <w:t>Commission d'études 1 des radiocommunications (Gestion du spectre)</w:t>
            </w:r>
          </w:p>
          <w:p w14:paraId="41F3265F" w14:textId="68ED725C" w:rsidR="001475F6" w:rsidRPr="00E24026" w:rsidRDefault="001475F6" w:rsidP="007E63BC">
            <w:pPr>
              <w:tabs>
                <w:tab w:val="clear" w:pos="1588"/>
                <w:tab w:val="left" w:pos="1560"/>
              </w:tabs>
              <w:spacing w:before="80" w:after="120"/>
              <w:ind w:left="491" w:hanging="491"/>
              <w:jc w:val="left"/>
              <w:rPr>
                <w:b/>
                <w:bCs/>
                <w:szCs w:val="24"/>
                <w:lang w:val="fr-FR"/>
              </w:rPr>
            </w:pPr>
            <w:r w:rsidRPr="00E24026">
              <w:rPr>
                <w:b/>
                <w:bCs/>
                <w:szCs w:val="24"/>
                <w:lang w:val="fr-FR"/>
              </w:rPr>
              <w:t>–</w:t>
            </w:r>
            <w:r w:rsidRPr="00E24026">
              <w:rPr>
                <w:b/>
                <w:bCs/>
                <w:szCs w:val="24"/>
                <w:lang w:val="fr-FR"/>
              </w:rPr>
              <w:tab/>
              <w:t>Proposition concernant l'adoption de deux projets de Recommandation UIT</w:t>
            </w:r>
            <w:r w:rsidRPr="00E24026">
              <w:rPr>
                <w:b/>
                <w:bCs/>
                <w:szCs w:val="24"/>
                <w:lang w:val="fr-FR"/>
              </w:rPr>
              <w:noBreakHyphen/>
              <w:t>R révisée et leur approbation simultanée par correspondance conformément au § A2.6.2.4 de la Résolution UIT-R 1-9 (Procédure</w:t>
            </w:r>
            <w:r w:rsidR="004B553A">
              <w:rPr>
                <w:b/>
                <w:bCs/>
                <w:szCs w:val="24"/>
                <w:lang w:val="fr-FR"/>
              </w:rPr>
              <w:t> </w:t>
            </w:r>
            <w:r w:rsidRPr="00E24026">
              <w:rPr>
                <w:b/>
                <w:bCs/>
                <w:szCs w:val="24"/>
                <w:lang w:val="fr-FR"/>
              </w:rPr>
              <w:t>d'adoption et d'approbation simultanées par correspondance)</w:t>
            </w:r>
          </w:p>
        </w:tc>
      </w:tr>
      <w:tr w:rsidR="00E53DCE" w:rsidRPr="004B553A" w14:paraId="61BFC634" w14:textId="77777777" w:rsidTr="004228FA">
        <w:trPr>
          <w:jc w:val="center"/>
        </w:trPr>
        <w:tc>
          <w:tcPr>
            <w:tcW w:w="1526" w:type="dxa"/>
            <w:shd w:val="clear" w:color="auto" w:fill="auto"/>
          </w:tcPr>
          <w:p w14:paraId="1D8E097C" w14:textId="77777777" w:rsidR="00E53DCE" w:rsidRPr="00E24026"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D0E898D" w14:textId="77777777" w:rsidR="00E53DCE" w:rsidRPr="00E24026" w:rsidRDefault="00E53DCE" w:rsidP="006160CB">
            <w:pPr>
              <w:tabs>
                <w:tab w:val="clear" w:pos="1588"/>
                <w:tab w:val="left" w:pos="1560"/>
              </w:tabs>
              <w:spacing w:before="0"/>
              <w:rPr>
                <w:b/>
                <w:bCs/>
                <w:szCs w:val="24"/>
                <w:lang w:val="fr-FR"/>
              </w:rPr>
            </w:pPr>
          </w:p>
        </w:tc>
      </w:tr>
      <w:tr w:rsidR="00E53DCE" w:rsidRPr="004B553A" w14:paraId="16E0966F" w14:textId="77777777" w:rsidTr="004228FA">
        <w:trPr>
          <w:jc w:val="center"/>
        </w:trPr>
        <w:tc>
          <w:tcPr>
            <w:tcW w:w="1526" w:type="dxa"/>
            <w:shd w:val="clear" w:color="auto" w:fill="auto"/>
          </w:tcPr>
          <w:p w14:paraId="1523ACF5" w14:textId="77777777" w:rsidR="00E53DCE" w:rsidRPr="00E24026"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14AEF458" w14:textId="77777777" w:rsidR="00E53DCE" w:rsidRPr="00E24026" w:rsidRDefault="00E53DCE" w:rsidP="006160CB">
            <w:pPr>
              <w:tabs>
                <w:tab w:val="clear" w:pos="1588"/>
                <w:tab w:val="left" w:pos="1560"/>
              </w:tabs>
              <w:spacing w:before="0"/>
              <w:rPr>
                <w:b/>
                <w:bCs/>
                <w:szCs w:val="24"/>
                <w:lang w:val="fr-FR"/>
              </w:rPr>
            </w:pPr>
          </w:p>
        </w:tc>
      </w:tr>
      <w:tr w:rsidR="00E53DCE" w:rsidRPr="004B553A" w14:paraId="7F2EC983" w14:textId="77777777" w:rsidTr="004228FA">
        <w:trPr>
          <w:jc w:val="center"/>
        </w:trPr>
        <w:tc>
          <w:tcPr>
            <w:tcW w:w="9889" w:type="dxa"/>
            <w:gridSpan w:val="3"/>
            <w:shd w:val="clear" w:color="auto" w:fill="auto"/>
          </w:tcPr>
          <w:p w14:paraId="40F7D839" w14:textId="77777777" w:rsidR="00E53DCE" w:rsidRPr="00E24026" w:rsidRDefault="00E53DCE" w:rsidP="00E53DCE">
            <w:pPr>
              <w:tabs>
                <w:tab w:val="clear" w:pos="1588"/>
                <w:tab w:val="left" w:pos="1560"/>
              </w:tabs>
              <w:spacing w:before="0"/>
              <w:jc w:val="left"/>
              <w:rPr>
                <w:szCs w:val="24"/>
                <w:lang w:val="fr-FR"/>
              </w:rPr>
            </w:pPr>
          </w:p>
        </w:tc>
      </w:tr>
      <w:tr w:rsidR="00E53DCE" w:rsidRPr="004B553A" w14:paraId="290A0292" w14:textId="77777777" w:rsidTr="004228FA">
        <w:trPr>
          <w:jc w:val="center"/>
        </w:trPr>
        <w:tc>
          <w:tcPr>
            <w:tcW w:w="9889" w:type="dxa"/>
            <w:gridSpan w:val="3"/>
            <w:shd w:val="clear" w:color="auto" w:fill="auto"/>
          </w:tcPr>
          <w:p w14:paraId="40F59961" w14:textId="77777777" w:rsidR="00E53DCE" w:rsidRPr="00E24026" w:rsidRDefault="00E53DCE" w:rsidP="006160CB">
            <w:pPr>
              <w:spacing w:before="0"/>
              <w:jc w:val="left"/>
              <w:rPr>
                <w:b/>
                <w:bCs/>
                <w:szCs w:val="24"/>
                <w:lang w:val="fr-FR"/>
              </w:rPr>
            </w:pPr>
          </w:p>
        </w:tc>
      </w:tr>
    </w:tbl>
    <w:p w14:paraId="7C78F48B" w14:textId="3057E8AA" w:rsidR="001475F6" w:rsidRPr="00E24026" w:rsidRDefault="001475F6" w:rsidP="00785859">
      <w:pPr>
        <w:pStyle w:val="Normalaftertitle"/>
        <w:rPr>
          <w:lang w:val="fr-FR"/>
        </w:rPr>
      </w:pPr>
      <w:r w:rsidRPr="00E24026">
        <w:rPr>
          <w:lang w:val="fr-FR"/>
        </w:rPr>
        <w:t xml:space="preserve">À sa réunion tenue le 19 juin 2025, la Commission d'études 1 des radiocommunications a décidé de demander l'adoption par correspondance de deux projets de Recommandation UIT-R révisée (§ A2.6.2 de la Résolution UIT-R 1-9) et a décidé en outre d'appliquer la procédure d'adoption et d'approbation simultanées par correspondance (PAAS), conformément au § A2.6.2.4 de la </w:t>
      </w:r>
      <w:hyperlink r:id="rId8" w:history="1">
        <w:r w:rsidRPr="004B553A">
          <w:rPr>
            <w:lang w:val="fr-FR"/>
          </w:rPr>
          <w:t>Résolution</w:t>
        </w:r>
        <w:r w:rsidRPr="004B553A">
          <w:t xml:space="preserve"> </w:t>
        </w:r>
        <w:r w:rsidRPr="00E24026">
          <w:rPr>
            <w:rStyle w:val="Hyperlink"/>
            <w:lang w:val="fr-FR"/>
          </w:rPr>
          <w:t>UIT-R 1-9</w:t>
        </w:r>
      </w:hyperlink>
      <w:r w:rsidRPr="00E24026">
        <w:rPr>
          <w:lang w:val="fr-FR"/>
        </w:rPr>
        <w:t>. Les titres et résumés des projets de Recommandation figurent dans l'Annexe de la présente lettre. Un État Membre qui soulève une objection au sujet de l'adoption d'un projet de Recommandation est prié d'informer le Directeur et le Président de la Commission d'études des raisons de cette objection.</w:t>
      </w:r>
    </w:p>
    <w:p w14:paraId="474A7819" w14:textId="0F12C83A" w:rsidR="001475F6" w:rsidRPr="00E24026" w:rsidRDefault="001475F6" w:rsidP="00785859">
      <w:pPr>
        <w:rPr>
          <w:lang w:val="fr-FR"/>
        </w:rPr>
      </w:pPr>
      <w:r w:rsidRPr="00E24026">
        <w:rPr>
          <w:lang w:val="fr-FR"/>
        </w:rPr>
        <w:t xml:space="preserve">La période d'examen durera deux mois, jusqu'au </w:t>
      </w:r>
      <w:r w:rsidRPr="00E24026">
        <w:rPr>
          <w:u w:val="single"/>
          <w:lang w:val="fr-FR"/>
        </w:rPr>
        <w:t>1er septembre 2025</w:t>
      </w:r>
      <w:r w:rsidRPr="00E24026">
        <w:rPr>
          <w:lang w:val="fr-FR"/>
        </w:rPr>
        <w:t>. Si, au cours de cette période, aucun État Membre ne soulève d'objection, les projets de Recommandation seront considérés comme adoptés par la Commission d'études 1. En outre, puisque la procédure PAAS est appliquée, l'adoption des projets de Recommandation est considérée comme valant approbation.</w:t>
      </w:r>
    </w:p>
    <w:p w14:paraId="0EEE3DD0" w14:textId="0C8CAF90" w:rsidR="001475F6" w:rsidRPr="00E24026" w:rsidRDefault="001475F6" w:rsidP="00785859">
      <w:pPr>
        <w:rPr>
          <w:lang w:val="fr-FR"/>
        </w:rPr>
      </w:pPr>
      <w:r w:rsidRPr="00E24026">
        <w:rPr>
          <w:lang w:val="fr-FR"/>
        </w:rPr>
        <w:t xml:space="preserve">Après la date limite mentionnée ci-dessus, les résultats des procédures susmentionnées seront communiqués dans une circulaire administrative et les Recommandations approuvées seront publiées dans les meilleurs délais (voir </w:t>
      </w:r>
      <w:hyperlink r:id="rId9" w:history="1">
        <w:r w:rsidRPr="00E24026">
          <w:rPr>
            <w:rStyle w:val="Hyperlink"/>
            <w:lang w:val="fr-FR"/>
          </w:rPr>
          <w:t>http://www.itu.int/pub/R-REC</w:t>
        </w:r>
      </w:hyperlink>
      <w:r w:rsidRPr="00E24026">
        <w:rPr>
          <w:lang w:val="fr-FR"/>
        </w:rPr>
        <w:t>).</w:t>
      </w:r>
    </w:p>
    <w:p w14:paraId="64C60929" w14:textId="00F6CAB7" w:rsidR="001475F6" w:rsidRPr="00E24026" w:rsidRDefault="001475F6" w:rsidP="00785859">
      <w:pPr>
        <w:keepNext/>
        <w:keepLines/>
        <w:rPr>
          <w:lang w:val="fr-FR"/>
        </w:rPr>
      </w:pPr>
      <w:r w:rsidRPr="00E24026">
        <w:rPr>
          <w:lang w:val="fr-FR"/>
        </w:rPr>
        <w:lastRenderedPageBreak/>
        <w:t xml:space="preserve">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dans les meilleurs délais. La politique commune en matière de brevets de l'UIT-T/UIT-R/ISO et de la CEI est disponible à l'adresse: </w:t>
      </w:r>
      <w:hyperlink r:id="rId10" w:history="1">
        <w:r w:rsidRPr="00E24026">
          <w:rPr>
            <w:rStyle w:val="Hyperlink"/>
            <w:lang w:val="fr-FR"/>
          </w:rPr>
          <w:t>http://www.itu.int/en/ITU-T/ipr/Pages/policy.aspx</w:t>
        </w:r>
      </w:hyperlink>
      <w:r w:rsidRPr="00E24026">
        <w:rPr>
          <w:lang w:val="fr-FR"/>
        </w:rPr>
        <w:t>.</w:t>
      </w:r>
    </w:p>
    <w:p w14:paraId="50D67316" w14:textId="583E2D1E" w:rsidR="001475F6" w:rsidRPr="00E24026" w:rsidRDefault="001475F6" w:rsidP="00785859">
      <w:pPr>
        <w:spacing w:before="1200"/>
        <w:jc w:val="left"/>
        <w:rPr>
          <w:lang w:val="fr-FR"/>
        </w:rPr>
      </w:pPr>
      <w:r w:rsidRPr="00E24026">
        <w:rPr>
          <w:lang w:val="fr-FR"/>
        </w:rPr>
        <w:t>Mario Maniewicz</w:t>
      </w:r>
      <w:r w:rsidRPr="00E24026">
        <w:rPr>
          <w:lang w:val="fr-FR"/>
        </w:rPr>
        <w:br/>
        <w:t>Directeur</w:t>
      </w:r>
    </w:p>
    <w:p w14:paraId="4E09E6D6" w14:textId="10397EB7" w:rsidR="001475F6" w:rsidRPr="00E24026" w:rsidRDefault="001475F6" w:rsidP="001475F6">
      <w:pPr>
        <w:tabs>
          <w:tab w:val="clear" w:pos="794"/>
          <w:tab w:val="clear" w:pos="1191"/>
          <w:tab w:val="left" w:pos="1418"/>
        </w:tabs>
        <w:spacing w:before="2400"/>
        <w:jc w:val="left"/>
        <w:rPr>
          <w:lang w:val="fr-FR"/>
        </w:rPr>
      </w:pPr>
      <w:r w:rsidRPr="00E24026">
        <w:rPr>
          <w:b/>
          <w:bCs/>
          <w:lang w:val="fr-FR"/>
        </w:rPr>
        <w:t>Annexe</w:t>
      </w:r>
      <w:r w:rsidRPr="00E24026">
        <w:rPr>
          <w:lang w:val="fr-FR"/>
        </w:rPr>
        <w:t xml:space="preserve">: </w:t>
      </w:r>
      <w:r w:rsidRPr="00E24026">
        <w:rPr>
          <w:lang w:val="fr-FR"/>
        </w:rPr>
        <w:tab/>
        <w:t>Titres et résumés des projets de Recommandation</w:t>
      </w:r>
    </w:p>
    <w:p w14:paraId="6CE98365" w14:textId="08BEE5CF" w:rsidR="001475F6" w:rsidRPr="00E24026" w:rsidRDefault="001475F6" w:rsidP="00785859">
      <w:pPr>
        <w:tabs>
          <w:tab w:val="clear" w:pos="794"/>
          <w:tab w:val="clear" w:pos="1191"/>
          <w:tab w:val="left" w:pos="1418"/>
        </w:tabs>
        <w:spacing w:before="960"/>
        <w:jc w:val="left"/>
        <w:rPr>
          <w:lang w:val="fr-FR"/>
        </w:rPr>
      </w:pPr>
      <w:r w:rsidRPr="00E24026">
        <w:rPr>
          <w:b/>
          <w:bCs/>
          <w:lang w:val="fr-FR"/>
        </w:rPr>
        <w:t>Documents</w:t>
      </w:r>
      <w:r w:rsidRPr="00E24026">
        <w:rPr>
          <w:lang w:val="fr-FR"/>
        </w:rPr>
        <w:t>:</w:t>
      </w:r>
      <w:r w:rsidRPr="00E24026">
        <w:rPr>
          <w:lang w:val="fr-FR"/>
        </w:rPr>
        <w:tab/>
        <w:t>Documents 1/49, 1/52(Rév.1)</w:t>
      </w:r>
    </w:p>
    <w:p w14:paraId="001156D6" w14:textId="0C6CCA9E" w:rsidR="00E53DCE" w:rsidRPr="00E24026" w:rsidRDefault="001475F6" w:rsidP="001475F6">
      <w:pPr>
        <w:jc w:val="left"/>
        <w:rPr>
          <w:lang w:val="fr-FR"/>
        </w:rPr>
      </w:pPr>
      <w:r w:rsidRPr="00E24026">
        <w:rPr>
          <w:lang w:val="fr-FR"/>
        </w:rPr>
        <w:t>Ces documents sont disponibles en format électronique à l'adresse</w:t>
      </w:r>
      <w:r w:rsidR="004B553A">
        <w:rPr>
          <w:lang w:val="fr-FR"/>
        </w:rPr>
        <w:t xml:space="preserve">: </w:t>
      </w:r>
      <w:hyperlink r:id="rId11" w:history="1">
        <w:r w:rsidR="004B553A" w:rsidRPr="00C3232D">
          <w:rPr>
            <w:rStyle w:val="Hyperlink"/>
            <w:lang w:val="fr-FR"/>
          </w:rPr>
          <w:t>https://www.itu.int/md/R23</w:t>
        </w:r>
        <w:r w:rsidR="004B553A" w:rsidRPr="00C3232D">
          <w:rPr>
            <w:rStyle w:val="Hyperlink"/>
            <w:lang w:val="fr-FR"/>
          </w:rPr>
          <w:noBreakHyphen/>
          <w:t>SG01-C/en</w:t>
        </w:r>
      </w:hyperlink>
    </w:p>
    <w:p w14:paraId="343D0145" w14:textId="3026C9DF" w:rsidR="001475F6" w:rsidRPr="00E24026" w:rsidRDefault="001475F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FR"/>
        </w:rPr>
      </w:pPr>
      <w:r w:rsidRPr="00E24026">
        <w:rPr>
          <w:rFonts w:asciiTheme="minorHAnsi" w:hAnsiTheme="minorHAnsi" w:cstheme="minorHAnsi"/>
          <w:szCs w:val="24"/>
          <w:lang w:val="fr-FR"/>
        </w:rPr>
        <w:br w:type="page"/>
      </w:r>
    </w:p>
    <w:p w14:paraId="727CB054" w14:textId="29466BC4" w:rsidR="001475F6" w:rsidRPr="004B553A" w:rsidRDefault="001475F6" w:rsidP="001475F6">
      <w:pPr>
        <w:pStyle w:val="AnnexNoTitle"/>
        <w:rPr>
          <w:sz w:val="28"/>
          <w:szCs w:val="28"/>
          <w:lang w:val="fr-FR"/>
        </w:rPr>
      </w:pPr>
      <w:r w:rsidRPr="004B553A">
        <w:rPr>
          <w:sz w:val="28"/>
          <w:szCs w:val="28"/>
          <w:lang w:val="fr-FR"/>
        </w:rPr>
        <w:lastRenderedPageBreak/>
        <w:t>Annexe</w:t>
      </w:r>
      <w:r w:rsidRPr="00E24026">
        <w:rPr>
          <w:lang w:val="fr-FR"/>
        </w:rPr>
        <w:br/>
      </w:r>
      <w:r w:rsidRPr="00E24026">
        <w:rPr>
          <w:lang w:val="fr-FR"/>
        </w:rPr>
        <w:br/>
      </w:r>
      <w:r w:rsidRPr="004B553A">
        <w:rPr>
          <w:sz w:val="28"/>
          <w:szCs w:val="28"/>
          <w:lang w:val="fr-FR"/>
        </w:rPr>
        <w:t>Titres et résumés des projets de Recommandation UIT-R</w:t>
      </w:r>
    </w:p>
    <w:p w14:paraId="34857EDA" w14:textId="23BB6A46" w:rsidR="001475F6" w:rsidRPr="00E24026" w:rsidRDefault="001475F6" w:rsidP="00F045E1">
      <w:pPr>
        <w:tabs>
          <w:tab w:val="clear" w:pos="794"/>
          <w:tab w:val="clear" w:pos="1191"/>
          <w:tab w:val="clear" w:pos="1588"/>
          <w:tab w:val="clear" w:pos="1985"/>
          <w:tab w:val="right" w:pos="9639"/>
        </w:tabs>
        <w:spacing w:before="480"/>
        <w:rPr>
          <w:szCs w:val="24"/>
          <w:lang w:val="fr-FR"/>
        </w:rPr>
      </w:pPr>
      <w:r w:rsidRPr="00E24026">
        <w:rPr>
          <w:szCs w:val="24"/>
          <w:u w:val="single"/>
          <w:lang w:val="fr-FR"/>
        </w:rPr>
        <w:t>Projet de révision de la Recommandation UIT-R SM.328-11</w:t>
      </w:r>
      <w:r w:rsidRPr="00E24026">
        <w:rPr>
          <w:szCs w:val="24"/>
          <w:lang w:val="fr-FR"/>
        </w:rPr>
        <w:tab/>
        <w:t>Doc</w:t>
      </w:r>
      <w:r w:rsidR="004B553A">
        <w:rPr>
          <w:szCs w:val="24"/>
          <w:lang w:val="fr-FR"/>
        </w:rPr>
        <w:t>.</w:t>
      </w:r>
      <w:r w:rsidRPr="00E24026">
        <w:rPr>
          <w:szCs w:val="24"/>
          <w:lang w:val="fr-FR"/>
        </w:rPr>
        <w:t xml:space="preserve"> 1/49</w:t>
      </w:r>
    </w:p>
    <w:p w14:paraId="00604040" w14:textId="77777777" w:rsidR="001475F6" w:rsidRPr="00E24026" w:rsidRDefault="001475F6" w:rsidP="001475F6">
      <w:pPr>
        <w:pStyle w:val="Rectitle"/>
        <w:spacing w:after="240"/>
        <w:rPr>
          <w:lang w:val="fr-FR"/>
        </w:rPr>
      </w:pPr>
      <w:r w:rsidRPr="00E24026">
        <w:rPr>
          <w:lang w:val="fr-FR"/>
        </w:rPr>
        <w:t>Spectres et largeur de bande des émissions</w:t>
      </w:r>
    </w:p>
    <w:p w14:paraId="078D7C91" w14:textId="77777777" w:rsidR="001475F6" w:rsidRPr="00E24026" w:rsidRDefault="001475F6" w:rsidP="00125256">
      <w:pPr>
        <w:spacing w:before="0" w:line="240" w:lineRule="auto"/>
        <w:jc w:val="left"/>
        <w:rPr>
          <w:szCs w:val="24"/>
          <w:lang w:val="fr-FR"/>
        </w:rPr>
      </w:pPr>
      <w:r w:rsidRPr="00E24026">
        <w:rPr>
          <w:szCs w:val="24"/>
          <w:lang w:val="fr-FR"/>
        </w:rPr>
        <w:t>Résumé de la révision:</w:t>
      </w:r>
    </w:p>
    <w:p w14:paraId="59F08BAF" w14:textId="77777777" w:rsidR="001475F6" w:rsidRPr="00E24026" w:rsidRDefault="001475F6" w:rsidP="00785859">
      <w:pPr>
        <w:pStyle w:val="enumlev1"/>
        <w:rPr>
          <w:lang w:val="fr-FR"/>
        </w:rPr>
      </w:pPr>
      <w:r w:rsidRPr="00E24026">
        <w:rPr>
          <w:lang w:val="fr-FR"/>
        </w:rPr>
        <w:t>–</w:t>
      </w:r>
      <w:r w:rsidRPr="00E24026">
        <w:rPr>
          <w:lang w:val="fr-FR"/>
        </w:rPr>
        <w:tab/>
        <w:t xml:space="preserve">réviser les textes pour tenir compte des méthodes de travail récentes de l'UIT-R, par exemple en ce qui concerne l'utilisation des six langues officielles de l'Union ou le transfert des références à des dispositions du RR du </w:t>
      </w:r>
      <w:r w:rsidRPr="00E24026">
        <w:rPr>
          <w:i/>
          <w:iCs/>
          <w:lang w:val="fr-FR"/>
        </w:rPr>
        <w:t>considérant</w:t>
      </w:r>
      <w:r w:rsidRPr="00E24026">
        <w:rPr>
          <w:lang w:val="fr-FR"/>
        </w:rPr>
        <w:t xml:space="preserve"> vers le </w:t>
      </w:r>
      <w:r w:rsidRPr="00E24026">
        <w:rPr>
          <w:i/>
          <w:iCs/>
          <w:lang w:val="fr-FR"/>
        </w:rPr>
        <w:t>reconnaissant</w:t>
      </w:r>
      <w:r w:rsidRPr="00E24026">
        <w:rPr>
          <w:lang w:val="fr-FR"/>
        </w:rPr>
        <w:t>, et apporter d'autres modifications en conséquence;</w:t>
      </w:r>
    </w:p>
    <w:p w14:paraId="7C2BABF3" w14:textId="3AF29FAE" w:rsidR="001475F6" w:rsidRPr="00E24026" w:rsidRDefault="001475F6" w:rsidP="00785859">
      <w:pPr>
        <w:pStyle w:val="enumlev1"/>
        <w:rPr>
          <w:lang w:val="fr-FR"/>
        </w:rPr>
      </w:pPr>
      <w:r w:rsidRPr="00E24026">
        <w:rPr>
          <w:lang w:val="fr-FR"/>
        </w:rPr>
        <w:t>–</w:t>
      </w:r>
      <w:r w:rsidRPr="00E24026">
        <w:rPr>
          <w:lang w:val="fr-FR"/>
        </w:rPr>
        <w:tab/>
      </w:r>
      <w:r w:rsidRPr="007E63BC">
        <w:rPr>
          <w:spacing w:val="-4"/>
          <w:lang w:val="fr-FR"/>
        </w:rPr>
        <w:t>ajouter des références aux Recommandations UIT-R SM.853, UIT-R SM.1046 et UIT</w:t>
      </w:r>
      <w:r w:rsidRPr="007E63BC">
        <w:rPr>
          <w:spacing w:val="-4"/>
          <w:lang w:val="fr-FR"/>
        </w:rPr>
        <w:noBreakHyphen/>
        <w:t>R SM.1539</w:t>
      </w:r>
      <w:r w:rsidRPr="00E24026">
        <w:rPr>
          <w:lang w:val="fr-FR"/>
        </w:rPr>
        <w:t>, ainsi qu'aux Rapports UIT-R SM.2048 et UIT-R SM.2421;</w:t>
      </w:r>
    </w:p>
    <w:p w14:paraId="32709612" w14:textId="77777777" w:rsidR="001475F6" w:rsidRPr="00E24026" w:rsidRDefault="001475F6" w:rsidP="00785859">
      <w:pPr>
        <w:pStyle w:val="enumlev1"/>
        <w:rPr>
          <w:lang w:val="fr-FR"/>
        </w:rPr>
      </w:pPr>
      <w:r w:rsidRPr="00E24026">
        <w:rPr>
          <w:lang w:val="fr-FR"/>
        </w:rPr>
        <w:t>–</w:t>
      </w:r>
      <w:r w:rsidRPr="00E24026">
        <w:rPr>
          <w:lang w:val="fr-FR"/>
        </w:rPr>
        <w:tab/>
        <w:t xml:space="preserve">ajouter un nouveau paragraphe 5 sur les caractéristiques de la largeur de bande nécessaire, dans le </w:t>
      </w:r>
      <w:r w:rsidRPr="00E24026">
        <w:rPr>
          <w:i/>
          <w:iCs/>
          <w:lang w:val="fr-FR"/>
        </w:rPr>
        <w:t>recommande</w:t>
      </w:r>
      <w:r w:rsidRPr="00E24026">
        <w:rPr>
          <w:lang w:val="fr-FR"/>
        </w:rPr>
        <w:t>.</w:t>
      </w:r>
    </w:p>
    <w:p w14:paraId="2439EFB5" w14:textId="07544FA6" w:rsidR="001475F6" w:rsidRPr="00E24026" w:rsidRDefault="001475F6" w:rsidP="00F045E1">
      <w:pPr>
        <w:tabs>
          <w:tab w:val="clear" w:pos="794"/>
          <w:tab w:val="clear" w:pos="1191"/>
          <w:tab w:val="clear" w:pos="1588"/>
          <w:tab w:val="clear" w:pos="1985"/>
          <w:tab w:val="right" w:pos="9639"/>
        </w:tabs>
        <w:spacing w:before="480"/>
        <w:rPr>
          <w:szCs w:val="24"/>
          <w:lang w:val="fr-FR"/>
        </w:rPr>
      </w:pPr>
      <w:r w:rsidRPr="00E24026">
        <w:rPr>
          <w:szCs w:val="24"/>
          <w:u w:val="single"/>
          <w:lang w:val="fr-FR"/>
        </w:rPr>
        <w:t>Projet de révision de la Recommandation UIT-R SM.2110-1</w:t>
      </w:r>
      <w:r w:rsidR="00F045E1">
        <w:rPr>
          <w:szCs w:val="24"/>
          <w:lang w:val="fr-FR"/>
        </w:rPr>
        <w:tab/>
      </w:r>
      <w:r w:rsidRPr="00E24026">
        <w:rPr>
          <w:szCs w:val="24"/>
          <w:lang w:val="fr-FR"/>
        </w:rPr>
        <w:t>Doc</w:t>
      </w:r>
      <w:r w:rsidR="004B553A">
        <w:rPr>
          <w:szCs w:val="24"/>
          <w:lang w:val="fr-FR"/>
        </w:rPr>
        <w:t>.</w:t>
      </w:r>
      <w:r w:rsidRPr="00E24026">
        <w:rPr>
          <w:szCs w:val="24"/>
          <w:lang w:val="fr-FR"/>
        </w:rPr>
        <w:t xml:space="preserve"> 1/52(Rév.1)</w:t>
      </w:r>
    </w:p>
    <w:p w14:paraId="5DADAAF3" w14:textId="47DA8CB7" w:rsidR="001475F6" w:rsidRPr="00E24026" w:rsidRDefault="001475F6" w:rsidP="00125256">
      <w:pPr>
        <w:pStyle w:val="Rectitle"/>
        <w:spacing w:after="240"/>
        <w:rPr>
          <w:lang w:val="fr-FR"/>
        </w:rPr>
      </w:pPr>
      <w:r w:rsidRPr="00E24026">
        <w:rPr>
          <w:lang w:val="fr-FR"/>
        </w:rPr>
        <w:t>Orientations relatives aux gammes de fréquences pour l'exploitation</w:t>
      </w:r>
      <w:r w:rsidR="00125256" w:rsidRPr="00E24026">
        <w:rPr>
          <w:lang w:val="fr-FR"/>
        </w:rPr>
        <w:br/>
      </w:r>
      <w:r w:rsidRPr="00E24026">
        <w:rPr>
          <w:lang w:val="fr-FR"/>
        </w:rPr>
        <w:t>des systèmes de transmission d'énergie sans fil n'utilisant</w:t>
      </w:r>
      <w:r w:rsidR="00125256" w:rsidRPr="00E24026">
        <w:rPr>
          <w:lang w:val="fr-FR"/>
        </w:rPr>
        <w:br/>
      </w:r>
      <w:r w:rsidRPr="00E24026">
        <w:rPr>
          <w:lang w:val="fr-FR"/>
        </w:rPr>
        <w:t>pas de faisceau pour les véhicules électriques</w:t>
      </w:r>
    </w:p>
    <w:p w14:paraId="6A840EF5" w14:textId="77777777" w:rsidR="001475F6" w:rsidRPr="00E24026" w:rsidRDefault="001475F6" w:rsidP="00125256">
      <w:pPr>
        <w:spacing w:before="0" w:line="240" w:lineRule="auto"/>
        <w:jc w:val="left"/>
        <w:rPr>
          <w:szCs w:val="24"/>
          <w:lang w:val="fr-FR"/>
        </w:rPr>
      </w:pPr>
      <w:r w:rsidRPr="00E24026">
        <w:rPr>
          <w:szCs w:val="24"/>
          <w:lang w:val="fr-FR"/>
        </w:rPr>
        <w:t>Résumé de la révision:</w:t>
      </w:r>
    </w:p>
    <w:p w14:paraId="673EAF4F" w14:textId="77777777" w:rsidR="001475F6" w:rsidRPr="00E24026" w:rsidRDefault="001475F6" w:rsidP="00785859">
      <w:pPr>
        <w:pStyle w:val="enumlev1"/>
        <w:rPr>
          <w:lang w:val="fr-FR"/>
        </w:rPr>
      </w:pPr>
      <w:r w:rsidRPr="00E24026">
        <w:rPr>
          <w:lang w:val="fr-FR"/>
        </w:rPr>
        <w:t>–</w:t>
      </w:r>
      <w:r w:rsidRPr="00E24026">
        <w:rPr>
          <w:lang w:val="fr-FR"/>
        </w:rPr>
        <w:tab/>
        <w:t>améliorer le champ d'application pour garantir l'harmonisation avec le titre;</w:t>
      </w:r>
    </w:p>
    <w:p w14:paraId="6AD84F86" w14:textId="77777777" w:rsidR="001475F6" w:rsidRPr="00E24026" w:rsidRDefault="001475F6" w:rsidP="00785859">
      <w:pPr>
        <w:pStyle w:val="enumlev1"/>
        <w:rPr>
          <w:lang w:val="fr-FR"/>
        </w:rPr>
      </w:pPr>
      <w:r w:rsidRPr="00E24026">
        <w:rPr>
          <w:lang w:val="fr-FR"/>
        </w:rPr>
        <w:t>–</w:t>
      </w:r>
      <w:r w:rsidRPr="00E24026">
        <w:rPr>
          <w:lang w:val="fr-FR"/>
        </w:rPr>
        <w:tab/>
        <w:t>mettre à jour la partie abréviations/glossaire;</w:t>
      </w:r>
    </w:p>
    <w:p w14:paraId="076FC21E" w14:textId="77777777" w:rsidR="001475F6" w:rsidRPr="00E24026" w:rsidRDefault="001475F6" w:rsidP="00785859">
      <w:pPr>
        <w:pStyle w:val="enumlev1"/>
        <w:rPr>
          <w:lang w:val="fr-FR"/>
        </w:rPr>
      </w:pPr>
      <w:r w:rsidRPr="00E24026">
        <w:rPr>
          <w:lang w:val="fr-FR"/>
        </w:rPr>
        <w:t>–</w:t>
      </w:r>
      <w:r w:rsidRPr="00E24026">
        <w:rPr>
          <w:lang w:val="fr-FR"/>
        </w:rPr>
        <w:tab/>
        <w:t>ajouter des titres de Recommandations et Rapports UIT-R connexes;</w:t>
      </w:r>
    </w:p>
    <w:p w14:paraId="6576A4E1" w14:textId="77777777" w:rsidR="001475F6" w:rsidRPr="00E24026" w:rsidRDefault="001475F6" w:rsidP="00785859">
      <w:pPr>
        <w:pStyle w:val="enumlev1"/>
        <w:rPr>
          <w:lang w:val="fr-FR"/>
        </w:rPr>
      </w:pPr>
      <w:r w:rsidRPr="00E24026">
        <w:rPr>
          <w:lang w:val="fr-FR"/>
        </w:rPr>
        <w:t>–</w:t>
      </w:r>
      <w:r w:rsidRPr="00E24026">
        <w:rPr>
          <w:lang w:val="fr-FR"/>
        </w:rPr>
        <w:tab/>
        <w:t>ajouter une référence au Rapport UIT-R TF.2487;</w:t>
      </w:r>
    </w:p>
    <w:p w14:paraId="13A03D7C" w14:textId="77777777" w:rsidR="001475F6" w:rsidRPr="00E24026" w:rsidRDefault="001475F6" w:rsidP="00785859">
      <w:pPr>
        <w:pStyle w:val="enumlev1"/>
        <w:rPr>
          <w:lang w:val="fr-FR"/>
        </w:rPr>
      </w:pPr>
      <w:r w:rsidRPr="00E24026">
        <w:rPr>
          <w:lang w:val="fr-FR"/>
        </w:rPr>
        <w:t>–</w:t>
      </w:r>
      <w:r w:rsidRPr="00E24026">
        <w:rPr>
          <w:lang w:val="fr-FR"/>
        </w:rPr>
        <w:tab/>
        <w:t xml:space="preserve">modifier les points du </w:t>
      </w:r>
      <w:r w:rsidRPr="00E24026">
        <w:rPr>
          <w:i/>
          <w:iCs/>
          <w:lang w:val="fr-FR"/>
        </w:rPr>
        <w:t>considérant</w:t>
      </w:r>
      <w:r w:rsidRPr="00E24026">
        <w:rPr>
          <w:lang w:val="fr-FR"/>
        </w:rPr>
        <w:t>;</w:t>
      </w:r>
    </w:p>
    <w:p w14:paraId="05636730" w14:textId="77777777" w:rsidR="001475F6" w:rsidRPr="00E24026" w:rsidRDefault="001475F6" w:rsidP="00785859">
      <w:pPr>
        <w:pStyle w:val="enumlev1"/>
        <w:rPr>
          <w:lang w:val="fr-FR"/>
        </w:rPr>
      </w:pPr>
      <w:r w:rsidRPr="00E24026">
        <w:rPr>
          <w:lang w:val="fr-FR"/>
        </w:rPr>
        <w:t>–</w:t>
      </w:r>
      <w:r w:rsidRPr="00E24026">
        <w:rPr>
          <w:lang w:val="fr-FR"/>
        </w:rPr>
        <w:tab/>
        <w:t>modifier les points du r</w:t>
      </w:r>
      <w:r w:rsidRPr="00E24026">
        <w:rPr>
          <w:i/>
          <w:iCs/>
          <w:lang w:val="fr-FR"/>
        </w:rPr>
        <w:t>econnaissant</w:t>
      </w:r>
      <w:r w:rsidRPr="00E24026">
        <w:rPr>
          <w:lang w:val="fr-FR"/>
        </w:rPr>
        <w:t>;</w:t>
      </w:r>
    </w:p>
    <w:p w14:paraId="517A4533" w14:textId="77777777" w:rsidR="001475F6" w:rsidRPr="00E24026" w:rsidRDefault="001475F6" w:rsidP="00785859">
      <w:pPr>
        <w:pStyle w:val="enumlev1"/>
        <w:rPr>
          <w:lang w:val="fr-FR"/>
        </w:rPr>
      </w:pPr>
      <w:r w:rsidRPr="00E24026">
        <w:rPr>
          <w:lang w:val="fr-FR"/>
        </w:rPr>
        <w:t>–</w:t>
      </w:r>
      <w:r w:rsidRPr="00E24026">
        <w:rPr>
          <w:lang w:val="fr-FR"/>
        </w:rPr>
        <w:tab/>
        <w:t xml:space="preserve">mettre à jour les références dans les points du </w:t>
      </w:r>
      <w:r w:rsidRPr="00E24026">
        <w:rPr>
          <w:i/>
          <w:iCs/>
          <w:lang w:val="fr-FR"/>
        </w:rPr>
        <w:t>notant</w:t>
      </w:r>
      <w:r w:rsidRPr="00E24026">
        <w:rPr>
          <w:lang w:val="fr-FR"/>
        </w:rPr>
        <w:t xml:space="preserve"> et ajouter un point dans cette partie;</w:t>
      </w:r>
    </w:p>
    <w:p w14:paraId="5ABD882C" w14:textId="77777777" w:rsidR="001475F6" w:rsidRPr="00E24026" w:rsidRDefault="001475F6" w:rsidP="00785859">
      <w:pPr>
        <w:pStyle w:val="enumlev1"/>
        <w:rPr>
          <w:lang w:val="fr-FR"/>
        </w:rPr>
      </w:pPr>
      <w:r w:rsidRPr="00E24026">
        <w:rPr>
          <w:lang w:val="fr-FR"/>
        </w:rPr>
        <w:t>–</w:t>
      </w:r>
      <w:r w:rsidRPr="00E24026">
        <w:rPr>
          <w:lang w:val="fr-FR"/>
        </w:rPr>
        <w:tab/>
        <w:t xml:space="preserve">modifier et regrouper les points du </w:t>
      </w:r>
      <w:r w:rsidRPr="00E24026">
        <w:rPr>
          <w:i/>
          <w:iCs/>
          <w:lang w:val="fr-FR"/>
        </w:rPr>
        <w:t>recommande</w:t>
      </w:r>
      <w:r w:rsidRPr="00E24026">
        <w:rPr>
          <w:lang w:val="fr-FR"/>
        </w:rPr>
        <w:t>;</w:t>
      </w:r>
    </w:p>
    <w:p w14:paraId="341DE73D" w14:textId="77777777" w:rsidR="001475F6" w:rsidRPr="00E24026" w:rsidRDefault="001475F6" w:rsidP="00785859">
      <w:pPr>
        <w:pStyle w:val="enumlev1"/>
        <w:rPr>
          <w:lang w:val="fr-FR"/>
        </w:rPr>
      </w:pPr>
      <w:r w:rsidRPr="00E24026">
        <w:rPr>
          <w:lang w:val="fr-FR"/>
        </w:rPr>
        <w:t>–</w:t>
      </w:r>
      <w:r w:rsidRPr="00E24026">
        <w:rPr>
          <w:lang w:val="fr-FR"/>
        </w:rPr>
        <w:tab/>
        <w:t>mettre à jour le Tableau 1 pour ne tenir compte que des fréquences d'exploitation fondamentales;</w:t>
      </w:r>
    </w:p>
    <w:p w14:paraId="7A3CCE2C" w14:textId="77777777" w:rsidR="001475F6" w:rsidRPr="00E24026" w:rsidRDefault="001475F6" w:rsidP="00785859">
      <w:pPr>
        <w:pStyle w:val="enumlev1"/>
        <w:rPr>
          <w:lang w:val="fr-FR"/>
        </w:rPr>
      </w:pPr>
      <w:r w:rsidRPr="00E24026">
        <w:rPr>
          <w:lang w:val="fr-FR"/>
        </w:rPr>
        <w:t>–</w:t>
      </w:r>
      <w:r w:rsidRPr="00E24026">
        <w:rPr>
          <w:lang w:val="fr-FR"/>
        </w:rPr>
        <w:tab/>
        <w:t>mettre à jour la note du Tableau 1 pour apporter des précisions sur la protection du SFTSS.</w:t>
      </w:r>
    </w:p>
    <w:p w14:paraId="685EB94B" w14:textId="4E089DA7" w:rsidR="001475F6" w:rsidRPr="00E24026" w:rsidRDefault="001475F6" w:rsidP="00785859">
      <w:pPr>
        <w:spacing w:before="720"/>
        <w:jc w:val="center"/>
        <w:rPr>
          <w:lang w:val="fr-FR"/>
        </w:rPr>
      </w:pPr>
      <w:r w:rsidRPr="00E24026">
        <w:rPr>
          <w:lang w:val="fr-FR"/>
        </w:rPr>
        <w:t>______________</w:t>
      </w:r>
    </w:p>
    <w:sectPr w:rsidR="001475F6" w:rsidRPr="00E24026" w:rsidSect="003F2F3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554B3" w14:textId="6A2E401A" w:rsidR="005E42F8" w:rsidRPr="001475F6" w:rsidRDefault="00305156" w:rsidP="001475F6">
    <w:pPr>
      <w:pStyle w:val="FirstFooter"/>
      <w:spacing w:line="240" w:lineRule="auto"/>
      <w:ind w:left="-397" w:right="-397"/>
      <w:jc w:val="center"/>
      <w:rPr>
        <w:color w:val="0070C0"/>
        <w:sz w:val="19"/>
        <w:szCs w:val="19"/>
        <w:lang w:val="fr-CH"/>
      </w:rPr>
    </w:pPr>
    <w:r w:rsidRPr="000F0E0A">
      <w:rPr>
        <w:rFonts w:asciiTheme="minorHAnsi" w:hAnsiTheme="minorHAnsi"/>
        <w:color w:val="0070C0"/>
        <w:sz w:val="19"/>
        <w:szCs w:val="19"/>
        <w:lang w:val="fr-CH"/>
      </w:rPr>
      <w:t>Union internationale des télécommunications • Place des Nations, CH</w:t>
    </w:r>
    <w:r w:rsidRPr="000F0E0A">
      <w:rPr>
        <w:rFonts w:asciiTheme="minorHAnsi" w:hAnsiTheme="minorHAnsi"/>
        <w:color w:val="0070C0"/>
        <w:sz w:val="19"/>
        <w:szCs w:val="19"/>
        <w:lang w:val="fr-CH"/>
      </w:rPr>
      <w:noBreakHyphen/>
      <w:t>1211 Genève 20, Suisse</w:t>
    </w:r>
    <w:r w:rsidRPr="000F0E0A">
      <w:rPr>
        <w:rFonts w:asciiTheme="minorHAnsi" w:hAnsiTheme="minorHAnsi"/>
        <w:color w:val="0070C0"/>
        <w:sz w:val="19"/>
        <w:szCs w:val="19"/>
        <w:lang w:val="fr-CH"/>
      </w:rPr>
      <w:br/>
      <w:t xml:space="preserve">Tél.: +41 22 730 5111 • Courriel: </w:t>
    </w:r>
    <w:hyperlink r:id="rId1" w:history="1">
      <w:r w:rsidR="00E44913" w:rsidRPr="00343751">
        <w:rPr>
          <w:rStyle w:val="Hyperlink"/>
          <w:rFonts w:asciiTheme="minorHAnsi" w:hAnsiTheme="minorHAnsi"/>
          <w:sz w:val="19"/>
          <w:szCs w:val="19"/>
          <w:lang w:val="fr-CH"/>
        </w:rPr>
        <w:t>itumail@itu.int</w:t>
      </w:r>
    </w:hyperlink>
    <w:r w:rsidRPr="000F0E0A">
      <w:rPr>
        <w:rFonts w:asciiTheme="minorHAnsi" w:hAnsiTheme="minorHAnsi"/>
        <w:color w:val="0070C0"/>
        <w:sz w:val="19"/>
        <w:szCs w:val="19"/>
        <w:lang w:val="fr-CH"/>
      </w:rPr>
      <w:t xml:space="preserve"> • </w:t>
    </w:r>
    <w:r w:rsidR="00125256">
      <w:rPr>
        <w:rFonts w:asciiTheme="minorHAnsi" w:hAnsiTheme="minorHAnsi"/>
        <w:color w:val="0070C0"/>
        <w:sz w:val="19"/>
        <w:szCs w:val="19"/>
        <w:lang w:val="fr-CH"/>
      </w:rPr>
      <w:t>Télécopie</w:t>
    </w:r>
    <w:r w:rsidRPr="000F0E0A">
      <w:rPr>
        <w:rFonts w:asciiTheme="minorHAnsi" w:hAnsiTheme="minorHAnsi"/>
        <w:color w:val="0070C0"/>
        <w:sz w:val="19"/>
        <w:szCs w:val="19"/>
        <w:lang w:val="fr-CH"/>
      </w:rPr>
      <w:t xml:space="preserve">: +41 22 733 7256 • </w:t>
    </w:r>
    <w:hyperlink r:id="rId2" w:history="1">
      <w:r w:rsidRPr="000F0E0A">
        <w:rPr>
          <w:rStyle w:val="Hyperlink"/>
          <w:color w:val="0070C0"/>
          <w:sz w:val="19"/>
          <w:szCs w:val="19"/>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1931"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2C67B" w14:textId="2ABB1C85" w:rsidR="00E915AF" w:rsidRPr="004F47EA" w:rsidRDefault="004B553A" w:rsidP="004B553A">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29A7D0FF" wp14:editId="26098551">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0F0E0A"/>
    <w:rsid w:val="00100B72"/>
    <w:rsid w:val="00101F7D"/>
    <w:rsid w:val="00103C76"/>
    <w:rsid w:val="0011265F"/>
    <w:rsid w:val="00117282"/>
    <w:rsid w:val="00117389"/>
    <w:rsid w:val="00121C2D"/>
    <w:rsid w:val="00125256"/>
    <w:rsid w:val="00134404"/>
    <w:rsid w:val="00144DFB"/>
    <w:rsid w:val="001475F6"/>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0A1B"/>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05156"/>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553A"/>
    <w:rsid w:val="004B7C9A"/>
    <w:rsid w:val="004C1B88"/>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6D5CEB"/>
    <w:rsid w:val="007234B1"/>
    <w:rsid w:val="00723D08"/>
    <w:rsid w:val="00725FDA"/>
    <w:rsid w:val="00727816"/>
    <w:rsid w:val="00730B9A"/>
    <w:rsid w:val="00750CFA"/>
    <w:rsid w:val="007553DA"/>
    <w:rsid w:val="00773F7E"/>
    <w:rsid w:val="00775DB8"/>
    <w:rsid w:val="00782354"/>
    <w:rsid w:val="00785859"/>
    <w:rsid w:val="007921A7"/>
    <w:rsid w:val="007B3DB1"/>
    <w:rsid w:val="007C2E1E"/>
    <w:rsid w:val="007D183E"/>
    <w:rsid w:val="007D43D0"/>
    <w:rsid w:val="007E1833"/>
    <w:rsid w:val="007E3F13"/>
    <w:rsid w:val="007E63BC"/>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168D5"/>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0596"/>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4026"/>
    <w:rsid w:val="00E25BB1"/>
    <w:rsid w:val="00E27BBA"/>
    <w:rsid w:val="00E30E3F"/>
    <w:rsid w:val="00E35E8F"/>
    <w:rsid w:val="00E428AB"/>
    <w:rsid w:val="00E438E8"/>
    <w:rsid w:val="00E44913"/>
    <w:rsid w:val="00E453A3"/>
    <w:rsid w:val="00E520E2"/>
    <w:rsid w:val="00E530C4"/>
    <w:rsid w:val="00E53DCE"/>
    <w:rsid w:val="00E55996"/>
    <w:rsid w:val="00E64254"/>
    <w:rsid w:val="00E67928"/>
    <w:rsid w:val="00E70FB5"/>
    <w:rsid w:val="00E806FD"/>
    <w:rsid w:val="00E915AF"/>
    <w:rsid w:val="00E96415"/>
    <w:rsid w:val="00EA15B3"/>
    <w:rsid w:val="00EA2C83"/>
    <w:rsid w:val="00EB2358"/>
    <w:rsid w:val="00EB3EB8"/>
    <w:rsid w:val="00EC00EF"/>
    <w:rsid w:val="00EC02FE"/>
    <w:rsid w:val="00EC4A96"/>
    <w:rsid w:val="00EE03A0"/>
    <w:rsid w:val="00EE1A57"/>
    <w:rsid w:val="00F045E1"/>
    <w:rsid w:val="00F424BF"/>
    <w:rsid w:val="00F44FC3"/>
    <w:rsid w:val="00F46107"/>
    <w:rsid w:val="00F468C5"/>
    <w:rsid w:val="00F52F39"/>
    <w:rsid w:val="00F6184F"/>
    <w:rsid w:val="00F73DBD"/>
    <w:rsid w:val="00F8310E"/>
    <w:rsid w:val="00F914DD"/>
    <w:rsid w:val="00F94D79"/>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styleId="FollowedHyperlink">
    <w:name w:val="FollowedHyperlink"/>
    <w:basedOn w:val="DefaultParagraphFont"/>
    <w:semiHidden/>
    <w:unhideWhenUsed/>
    <w:rsid w:val="001475F6"/>
    <w:rPr>
      <w:color w:val="800080" w:themeColor="followedHyperlink"/>
      <w:u w:val="single"/>
    </w:rPr>
  </w:style>
  <w:style w:type="paragraph" w:customStyle="1" w:styleId="Reasons">
    <w:name w:val="Reasons"/>
    <w:basedOn w:val="Normal"/>
    <w:qFormat/>
    <w:rsid w:val="001475F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4B553A"/>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S-R.1-9-2023"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SG01-C/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fr/ITU-T/ipr/Pages/policy.aspx" TargetMode="External"/><Relationship Id="rId4" Type="http://schemas.openxmlformats.org/officeDocument/2006/relationships/settings" Target="settings.xml"/><Relationship Id="rId9" Type="http://schemas.openxmlformats.org/officeDocument/2006/relationships/hyperlink" Target="https://www.itu.int/pub/R-REC/fr"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F815C9" w:rsidRDefault="00F815C9">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C9"/>
    <w:rsid w:val="006D5CEB"/>
    <w:rsid w:val="00B168D5"/>
    <w:rsid w:val="00F815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616</Words>
  <Characters>4046</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4653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Chamova, Alisa</cp:lastModifiedBy>
  <cp:revision>7</cp:revision>
  <cp:lastPrinted>2013-03-08T10:15:00Z</cp:lastPrinted>
  <dcterms:created xsi:type="dcterms:W3CDTF">2025-06-23T09:53:00Z</dcterms:created>
  <dcterms:modified xsi:type="dcterms:W3CDTF">2025-06-30T07:45:00Z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