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0F7BBE" w:rsidRPr="000F7BBE" w14:paraId="61F77A30" w14:textId="77777777" w:rsidTr="00153E23">
        <w:tc>
          <w:tcPr>
            <w:tcW w:w="5000" w:type="pct"/>
            <w:gridSpan w:val="3"/>
            <w:shd w:val="clear" w:color="auto" w:fill="auto"/>
          </w:tcPr>
          <w:p w14:paraId="1FC9A6EF" w14:textId="77777777" w:rsidR="000F7BBE" w:rsidRPr="000F7BBE" w:rsidRDefault="000F7BBE" w:rsidP="00F16820">
            <w:pPr>
              <w:spacing w:before="240" w:line="340" w:lineRule="exact"/>
              <w:rPr>
                <w:b/>
                <w:bCs/>
                <w:color w:val="808080" w:themeColor="background1" w:themeShade="80"/>
                <w:sz w:val="28"/>
                <w:szCs w:val="28"/>
                <w:rtl/>
                <w:lang w:bidi="ar-EG"/>
              </w:rPr>
            </w:pPr>
            <w:r w:rsidRPr="000F7BBE">
              <w:rPr>
                <w:b/>
                <w:bCs/>
                <w:color w:val="808080" w:themeColor="background1" w:themeShade="80"/>
                <w:sz w:val="28"/>
                <w:szCs w:val="28"/>
                <w:rtl/>
              </w:rPr>
              <w:t>مكتب</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rtl/>
              </w:rPr>
              <w:t>الاتصالات</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rtl/>
              </w:rPr>
              <w:t>الراديوية</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lang w:bidi="ar-EG"/>
              </w:rPr>
              <w:t>(BR)</w:t>
            </w:r>
          </w:p>
          <w:p w14:paraId="1615EB7B" w14:textId="77777777" w:rsidR="000F7BBE" w:rsidRPr="000F7BBE" w:rsidRDefault="000F7BBE" w:rsidP="000F7BBE">
            <w:pPr>
              <w:rPr>
                <w:b/>
                <w:bCs/>
                <w:rtl/>
                <w:lang w:bidi="ar-EG"/>
              </w:rPr>
            </w:pPr>
          </w:p>
        </w:tc>
      </w:tr>
      <w:tr w:rsidR="000F7BBE" w:rsidRPr="000F7BBE" w14:paraId="598E02DA" w14:textId="77777777" w:rsidTr="00153E23">
        <w:tc>
          <w:tcPr>
            <w:tcW w:w="2707" w:type="pct"/>
            <w:gridSpan w:val="2"/>
            <w:shd w:val="clear" w:color="auto" w:fill="auto"/>
          </w:tcPr>
          <w:p w14:paraId="6E177F97" w14:textId="5905DCAE" w:rsidR="000F7BBE" w:rsidRPr="0004693C" w:rsidRDefault="000F7BBE" w:rsidP="002E1E4A">
            <w:pPr>
              <w:spacing w:before="80" w:after="0" w:line="300" w:lineRule="exact"/>
              <w:rPr>
                <w:position w:val="2"/>
                <w:lang w:bidi="ar-EG"/>
              </w:rPr>
            </w:pPr>
            <w:r w:rsidRPr="0004693C">
              <w:rPr>
                <w:rFonts w:hint="cs"/>
                <w:position w:val="2"/>
                <w:rtl/>
                <w:lang w:bidi="ar-AE"/>
              </w:rPr>
              <w:t>الرسالة الإدارية المعممة</w:t>
            </w:r>
          </w:p>
          <w:p w14:paraId="1686C33D" w14:textId="45153E31" w:rsidR="000F7BBE" w:rsidRPr="0004693C" w:rsidRDefault="0004693C" w:rsidP="0004693C">
            <w:pPr>
              <w:spacing w:before="0" w:after="60" w:line="300" w:lineRule="exact"/>
              <w:rPr>
                <w:position w:val="2"/>
                <w:lang w:bidi="ar-SY"/>
              </w:rPr>
            </w:pPr>
            <w:r w:rsidRPr="0004693C">
              <w:rPr>
                <w:b/>
                <w:bCs/>
                <w:position w:val="2"/>
                <w:lang w:val="en-GB" w:bidi="ar-EG"/>
              </w:rPr>
              <w:t>CACE/1149</w:t>
            </w:r>
          </w:p>
        </w:tc>
        <w:tc>
          <w:tcPr>
            <w:tcW w:w="2293" w:type="pct"/>
            <w:shd w:val="clear" w:color="auto" w:fill="auto"/>
          </w:tcPr>
          <w:p w14:paraId="4AFCA68B" w14:textId="41B92F1A" w:rsidR="000F7BBE" w:rsidRPr="0004693C" w:rsidRDefault="0004693C" w:rsidP="0004693C">
            <w:pPr>
              <w:spacing w:before="80" w:after="60" w:line="300" w:lineRule="exact"/>
              <w:jc w:val="right"/>
              <w:rPr>
                <w:position w:val="2"/>
                <w:rtl/>
              </w:rPr>
            </w:pPr>
            <w:r w:rsidRPr="0004693C">
              <w:rPr>
                <w:position w:val="2"/>
                <w:lang w:val="fr-FR"/>
              </w:rPr>
              <w:t>1</w:t>
            </w:r>
            <w:r w:rsidRPr="0004693C">
              <w:rPr>
                <w:position w:val="2"/>
                <w:rtl/>
                <w:lang w:val="fr-FR"/>
              </w:rPr>
              <w:t xml:space="preserve"> يوليو </w:t>
            </w:r>
            <w:r w:rsidRPr="0004693C">
              <w:rPr>
                <w:position w:val="2"/>
                <w:lang w:val="fr-FR"/>
              </w:rPr>
              <w:t>2025</w:t>
            </w:r>
          </w:p>
        </w:tc>
      </w:tr>
      <w:tr w:rsidR="000F7BBE" w:rsidRPr="000F7BBE" w14:paraId="65B326E2" w14:textId="77777777" w:rsidTr="00153E23">
        <w:tc>
          <w:tcPr>
            <w:tcW w:w="5000" w:type="pct"/>
            <w:gridSpan w:val="3"/>
            <w:shd w:val="clear" w:color="auto" w:fill="auto"/>
          </w:tcPr>
          <w:p w14:paraId="381055AA" w14:textId="77777777" w:rsidR="000F7BBE" w:rsidRPr="0004693C" w:rsidRDefault="000F7BBE" w:rsidP="004111FB">
            <w:pPr>
              <w:spacing w:before="0" w:line="260" w:lineRule="exact"/>
              <w:rPr>
                <w:position w:val="2"/>
                <w:rtl/>
                <w:lang w:bidi="ar-SY"/>
              </w:rPr>
            </w:pPr>
          </w:p>
        </w:tc>
      </w:tr>
      <w:tr w:rsidR="000F7BBE" w:rsidRPr="000F7BBE" w14:paraId="642F1C02" w14:textId="77777777" w:rsidTr="00153E23">
        <w:tc>
          <w:tcPr>
            <w:tcW w:w="5000" w:type="pct"/>
            <w:gridSpan w:val="3"/>
            <w:shd w:val="clear" w:color="auto" w:fill="auto"/>
          </w:tcPr>
          <w:p w14:paraId="24E79AEC" w14:textId="77777777" w:rsidR="000F7BBE" w:rsidRPr="0004693C" w:rsidRDefault="000F7BBE" w:rsidP="004111FB">
            <w:pPr>
              <w:spacing w:before="0" w:line="260" w:lineRule="exact"/>
              <w:rPr>
                <w:position w:val="2"/>
                <w:rtl/>
                <w:lang w:bidi="ar-SY"/>
              </w:rPr>
            </w:pPr>
          </w:p>
        </w:tc>
      </w:tr>
      <w:tr w:rsidR="000F7BBE" w:rsidRPr="000F7BBE" w14:paraId="3C71DA15" w14:textId="77777777" w:rsidTr="00153E23">
        <w:tc>
          <w:tcPr>
            <w:tcW w:w="5000" w:type="pct"/>
            <w:gridSpan w:val="3"/>
            <w:shd w:val="clear" w:color="auto" w:fill="auto"/>
          </w:tcPr>
          <w:p w14:paraId="7E52757B" w14:textId="4400F9CB" w:rsidR="000F7BBE" w:rsidRPr="0004693C" w:rsidRDefault="000F7BBE" w:rsidP="00F16820">
            <w:pPr>
              <w:spacing w:before="80" w:after="60" w:line="300" w:lineRule="exact"/>
              <w:jc w:val="left"/>
              <w:rPr>
                <w:b/>
                <w:bCs/>
                <w:position w:val="2"/>
                <w:lang w:bidi="ar-EG"/>
              </w:rPr>
            </w:pPr>
            <w:r w:rsidRPr="0004693C">
              <w:rPr>
                <w:b/>
                <w:bCs/>
                <w:position w:val="2"/>
                <w:rtl/>
              </w:rPr>
              <w:t>إلى إدارات الدول الأعضاء في الاتحاد</w:t>
            </w:r>
            <w:r w:rsidR="00B1143A" w:rsidRPr="0004693C">
              <w:rPr>
                <w:rFonts w:hint="cs"/>
                <w:b/>
                <w:bCs/>
                <w:position w:val="2"/>
                <w:rtl/>
              </w:rPr>
              <w:t xml:space="preserve"> الدولي للاتصالات</w:t>
            </w:r>
            <w:r w:rsidRPr="0004693C">
              <w:rPr>
                <w:b/>
                <w:bCs/>
                <w:position w:val="2"/>
                <w:rtl/>
              </w:rPr>
              <w:t xml:space="preserve"> وأعضاء قطاع الاتصالات الراديوية</w:t>
            </w:r>
            <w:r w:rsidRPr="0004693C">
              <w:rPr>
                <w:rFonts w:hint="cs"/>
                <w:b/>
                <w:bCs/>
                <w:position w:val="2"/>
                <w:rtl/>
              </w:rPr>
              <w:t xml:space="preserve"> و</w:t>
            </w:r>
            <w:r w:rsidRPr="0004693C">
              <w:rPr>
                <w:b/>
                <w:bCs/>
                <w:position w:val="2"/>
                <w:rtl/>
              </w:rPr>
              <w:t>المنتسبين إليه</w:t>
            </w:r>
            <w:r w:rsidRPr="0004693C">
              <w:rPr>
                <w:b/>
                <w:bCs/>
                <w:position w:val="2"/>
                <w:rtl/>
              </w:rPr>
              <w:br/>
            </w:r>
            <w:r w:rsidRPr="0004693C">
              <w:rPr>
                <w:b/>
                <w:bCs/>
                <w:position w:val="2"/>
                <w:rtl/>
                <w:lang w:bidi="ar-EG"/>
              </w:rPr>
              <w:t xml:space="preserve">المشاركين في أعمال لجنة الدراسات </w:t>
            </w:r>
            <w:r w:rsidR="0004693C" w:rsidRPr="0004693C">
              <w:rPr>
                <w:b/>
                <w:bCs/>
                <w:position w:val="2"/>
                <w:lang w:val="en-GB" w:bidi="ar-EG"/>
              </w:rPr>
              <w:t>1</w:t>
            </w:r>
            <w:r w:rsidRPr="0004693C">
              <w:rPr>
                <w:b/>
                <w:bCs/>
                <w:position w:val="2"/>
                <w:rtl/>
                <w:lang w:bidi="ar-EG"/>
              </w:rPr>
              <w:t xml:space="preserve"> للاتصالات الراديوية</w:t>
            </w:r>
            <w:r w:rsidRPr="0004693C">
              <w:rPr>
                <w:rFonts w:hint="cs"/>
                <w:b/>
                <w:bCs/>
                <w:position w:val="2"/>
                <w:rtl/>
                <w:lang w:bidi="ar-EG"/>
              </w:rPr>
              <w:t xml:space="preserve"> والهيئات الأكاديمية المنضمة إلى الاتحاد</w:t>
            </w:r>
          </w:p>
        </w:tc>
      </w:tr>
      <w:tr w:rsidR="000F7BBE" w:rsidRPr="000F7BBE" w14:paraId="78B71EEB" w14:textId="77777777" w:rsidTr="00153E23">
        <w:tc>
          <w:tcPr>
            <w:tcW w:w="5000" w:type="pct"/>
            <w:gridSpan w:val="3"/>
            <w:shd w:val="clear" w:color="auto" w:fill="auto"/>
          </w:tcPr>
          <w:p w14:paraId="76C82EC4" w14:textId="77777777" w:rsidR="000F7BBE" w:rsidRPr="000F7BBE" w:rsidRDefault="000F7BBE" w:rsidP="004111FB">
            <w:pPr>
              <w:spacing w:before="0" w:line="260" w:lineRule="exact"/>
              <w:rPr>
                <w:position w:val="2"/>
                <w:rtl/>
                <w:lang w:bidi="ar-SY"/>
              </w:rPr>
            </w:pPr>
          </w:p>
        </w:tc>
      </w:tr>
      <w:tr w:rsidR="000F7BBE" w:rsidRPr="000F7BBE" w14:paraId="7DEE6B75" w14:textId="77777777" w:rsidTr="00153E23">
        <w:tc>
          <w:tcPr>
            <w:tcW w:w="5000" w:type="pct"/>
            <w:gridSpan w:val="3"/>
            <w:shd w:val="clear" w:color="auto" w:fill="auto"/>
          </w:tcPr>
          <w:p w14:paraId="242A182E" w14:textId="77777777" w:rsidR="000F7BBE" w:rsidRPr="000F7BBE" w:rsidRDefault="000F7BBE" w:rsidP="004111FB">
            <w:pPr>
              <w:spacing w:before="0" w:line="260" w:lineRule="exact"/>
              <w:rPr>
                <w:position w:val="2"/>
                <w:rtl/>
                <w:lang w:bidi="ar-SY"/>
              </w:rPr>
            </w:pPr>
          </w:p>
        </w:tc>
      </w:tr>
      <w:tr w:rsidR="000F7BBE" w:rsidRPr="000F7BBE" w14:paraId="1E7F33CC" w14:textId="77777777" w:rsidTr="00153E23">
        <w:trPr>
          <w:trHeight w:val="452"/>
        </w:trPr>
        <w:tc>
          <w:tcPr>
            <w:tcW w:w="699" w:type="pct"/>
            <w:shd w:val="clear" w:color="auto" w:fill="auto"/>
          </w:tcPr>
          <w:p w14:paraId="3E9D6409" w14:textId="77777777" w:rsidR="000F7BBE" w:rsidRPr="000F7BBE" w:rsidRDefault="000F7BBE" w:rsidP="000F7BBE">
            <w:pPr>
              <w:spacing w:before="80" w:after="60" w:line="300" w:lineRule="exact"/>
              <w:rPr>
                <w:position w:val="2"/>
                <w:lang w:val="fr-FR" w:bidi="ar-EG"/>
              </w:rPr>
            </w:pPr>
            <w:r w:rsidRPr="000F7BBE">
              <w:rPr>
                <w:position w:val="2"/>
                <w:rtl/>
              </w:rPr>
              <w:t>الموضوع</w:t>
            </w:r>
            <w:r w:rsidRPr="000F7BBE">
              <w:rPr>
                <w:position w:val="2"/>
                <w:lang w:val="en-GB" w:bidi="ar-EG"/>
              </w:rPr>
              <w:t>:</w:t>
            </w:r>
          </w:p>
        </w:tc>
        <w:tc>
          <w:tcPr>
            <w:tcW w:w="4301" w:type="pct"/>
            <w:gridSpan w:val="2"/>
            <w:shd w:val="clear" w:color="auto" w:fill="auto"/>
          </w:tcPr>
          <w:p w14:paraId="371382EA" w14:textId="1934A450" w:rsidR="00D37F70" w:rsidRPr="00EC23A0" w:rsidRDefault="0004693C" w:rsidP="0004693C">
            <w:pPr>
              <w:spacing w:before="60" w:after="60" w:line="300" w:lineRule="exact"/>
              <w:rPr>
                <w:b/>
                <w:bCs/>
                <w:position w:val="2"/>
                <w:lang w:bidi="ar-EG"/>
              </w:rPr>
            </w:pPr>
            <w:r w:rsidRPr="00EC23A0">
              <w:rPr>
                <w:b/>
                <w:bCs/>
                <w:position w:val="2"/>
                <w:rtl/>
              </w:rPr>
              <w:t xml:space="preserve">لجنة الدراسات </w:t>
            </w:r>
            <w:r w:rsidRPr="00EC23A0">
              <w:rPr>
                <w:b/>
                <w:bCs/>
                <w:position w:val="2"/>
              </w:rPr>
              <w:t>1</w:t>
            </w:r>
            <w:r w:rsidRPr="00EC23A0">
              <w:rPr>
                <w:b/>
                <w:bCs/>
                <w:position w:val="2"/>
                <w:rtl/>
              </w:rPr>
              <w:t xml:space="preserve"> للاتصالات الراديوية (إدارة الطيف)</w:t>
            </w:r>
          </w:p>
          <w:p w14:paraId="396623FB" w14:textId="7115A5F9" w:rsidR="000F7BBE" w:rsidRPr="00EC23A0" w:rsidRDefault="00D37F70" w:rsidP="00EB1128">
            <w:pPr>
              <w:tabs>
                <w:tab w:val="clear" w:pos="794"/>
                <w:tab w:val="left" w:pos="386"/>
              </w:tabs>
              <w:spacing w:before="60" w:after="60" w:line="300" w:lineRule="exact"/>
              <w:ind w:left="386" w:hanging="386"/>
              <w:rPr>
                <w:b/>
                <w:bCs/>
                <w:position w:val="2"/>
                <w:lang w:bidi="ar-EG"/>
              </w:rPr>
            </w:pPr>
            <w:r w:rsidRPr="00EC23A0">
              <w:rPr>
                <w:rFonts w:hint="cs"/>
                <w:b/>
                <w:bCs/>
                <w:position w:val="2"/>
                <w:rtl/>
                <w:lang w:bidi="ar-EG"/>
              </w:rPr>
              <w:t>-</w:t>
            </w:r>
            <w:r w:rsidRPr="00EC23A0">
              <w:rPr>
                <w:b/>
                <w:bCs/>
                <w:position w:val="2"/>
                <w:rtl/>
                <w:lang w:bidi="ar-EG"/>
              </w:rPr>
              <w:tab/>
            </w:r>
            <w:r w:rsidR="0004693C" w:rsidRPr="00EC23A0">
              <w:rPr>
                <w:b/>
                <w:bCs/>
                <w:position w:val="2"/>
                <w:rtl/>
              </w:rPr>
              <w:t xml:space="preserve">اقتراح اعتماد مشروعي مراجَعة توصيتين لقطاع الاتصالات الراديوية والموافقة عليهما في نفس الوقت بالمراسلة وفقاً للفقرة </w:t>
            </w:r>
            <w:r w:rsidR="0004693C" w:rsidRPr="00EC23A0">
              <w:rPr>
                <w:b/>
                <w:bCs/>
                <w:position w:val="2"/>
                <w:lang w:val="en-GB" w:bidi="ar-EG"/>
              </w:rPr>
              <w:t>4.2.6.A2</w:t>
            </w:r>
            <w:r w:rsidR="0004693C" w:rsidRPr="00EC23A0">
              <w:rPr>
                <w:b/>
                <w:bCs/>
                <w:position w:val="2"/>
                <w:rtl/>
              </w:rPr>
              <w:t xml:space="preserve"> من القرار</w:t>
            </w:r>
            <w:r w:rsidR="00EB1128" w:rsidRPr="00EC23A0">
              <w:rPr>
                <w:rFonts w:hint="cs"/>
                <w:b/>
                <w:bCs/>
                <w:position w:val="2"/>
                <w:rtl/>
              </w:rPr>
              <w:t xml:space="preserve"> </w:t>
            </w:r>
            <w:r w:rsidR="00EB1128" w:rsidRPr="00EC23A0">
              <w:rPr>
                <w:b/>
                <w:bCs/>
                <w:position w:val="2"/>
                <w:lang w:val="en-GB"/>
              </w:rPr>
              <w:t>ITU</w:t>
            </w:r>
            <w:r w:rsidR="00EB1128" w:rsidRPr="00EC23A0">
              <w:rPr>
                <w:b/>
                <w:bCs/>
                <w:position w:val="2"/>
                <w:lang w:val="en-GB"/>
              </w:rPr>
              <w:noBreakHyphen/>
              <w:t>R 1-9</w:t>
            </w:r>
            <w:r w:rsidR="0004693C" w:rsidRPr="00EC23A0">
              <w:rPr>
                <w:b/>
                <w:bCs/>
                <w:position w:val="2"/>
                <w:rtl/>
              </w:rPr>
              <w:t xml:space="preserve"> (إجراء الاعتماد والموافقة في نفس الوقت عن طريق المراسلة)</w:t>
            </w:r>
          </w:p>
        </w:tc>
      </w:tr>
      <w:tr w:rsidR="00FC09E8" w:rsidRPr="000F7BBE" w14:paraId="3DF4EDC4" w14:textId="77777777" w:rsidTr="00153E23">
        <w:trPr>
          <w:trHeight w:val="452"/>
        </w:trPr>
        <w:tc>
          <w:tcPr>
            <w:tcW w:w="699" w:type="pct"/>
            <w:shd w:val="clear" w:color="auto" w:fill="auto"/>
          </w:tcPr>
          <w:p w14:paraId="10F2DAE6" w14:textId="77777777" w:rsidR="00FC09E8" w:rsidRPr="000F7BBE" w:rsidRDefault="00FC09E8" w:rsidP="000F7BBE">
            <w:pPr>
              <w:spacing w:before="80" w:after="60" w:line="300" w:lineRule="exact"/>
              <w:rPr>
                <w:position w:val="2"/>
                <w:rtl/>
              </w:rPr>
            </w:pPr>
          </w:p>
        </w:tc>
        <w:tc>
          <w:tcPr>
            <w:tcW w:w="4301" w:type="pct"/>
            <w:gridSpan w:val="2"/>
            <w:shd w:val="clear" w:color="auto" w:fill="auto"/>
          </w:tcPr>
          <w:p w14:paraId="4FC46F76" w14:textId="77777777" w:rsidR="00FC09E8" w:rsidRDefault="00FC09E8" w:rsidP="00F16820">
            <w:pPr>
              <w:tabs>
                <w:tab w:val="clear" w:pos="794"/>
                <w:tab w:val="left" w:pos="385"/>
              </w:tabs>
              <w:spacing w:before="80" w:after="60" w:line="300" w:lineRule="exact"/>
              <w:ind w:left="385" w:hanging="385"/>
              <w:rPr>
                <w:b/>
                <w:bCs/>
                <w:position w:val="2"/>
                <w:rtl/>
                <w:lang w:bidi="ar-EG"/>
              </w:rPr>
            </w:pPr>
          </w:p>
        </w:tc>
      </w:tr>
    </w:tbl>
    <w:p w14:paraId="4F138E27" w14:textId="47A7F631" w:rsidR="0004693C" w:rsidRPr="0004693C" w:rsidRDefault="0004693C" w:rsidP="00D24991">
      <w:pPr>
        <w:pStyle w:val="Normalaftertitle"/>
        <w:rPr>
          <w:lang w:bidi="ar-SA"/>
        </w:rPr>
      </w:pPr>
      <w:r w:rsidRPr="0004693C">
        <w:rPr>
          <w:rtl/>
        </w:rPr>
        <w:t xml:space="preserve">قررت لجنة الدراسات 1 للاتصالات الراديوية في اجتماعها المنعقد في </w:t>
      </w:r>
      <w:r w:rsidRPr="0004693C">
        <w:t>19</w:t>
      </w:r>
      <w:r w:rsidRPr="0004693C">
        <w:rPr>
          <w:rtl/>
        </w:rPr>
        <w:t xml:space="preserve"> يونيو </w:t>
      </w:r>
      <w:r w:rsidRPr="0004693C">
        <w:t>2025</w:t>
      </w:r>
      <w:r w:rsidRPr="0004693C">
        <w:rPr>
          <w:rtl/>
        </w:rPr>
        <w:t xml:space="preserve">، أن تلتمس اعتماد مشروعي مراجَعة توصيتين لقطاع الاتصالات الراديوية عن طريق المراسلة (الفقرة </w:t>
      </w:r>
      <w:r w:rsidRPr="0004693C">
        <w:rPr>
          <w:lang w:val="fr-CH"/>
        </w:rPr>
        <w:t>2.6.A2</w:t>
      </w:r>
      <w:r w:rsidRPr="0004693C">
        <w:rPr>
          <w:rtl/>
        </w:rPr>
        <w:t xml:space="preserve"> من القرار </w:t>
      </w:r>
      <w:hyperlink r:id="rId8" w:history="1">
        <w:r w:rsidR="00EB1128" w:rsidRPr="00EB1128">
          <w:rPr>
            <w:rStyle w:val="Hyperlink"/>
            <w:lang w:val="en-GB"/>
          </w:rPr>
          <w:t>ITU-R 1-9</w:t>
        </w:r>
      </w:hyperlink>
      <w:r w:rsidRPr="0004693C">
        <w:rPr>
          <w:rtl/>
        </w:rPr>
        <w:t xml:space="preserve">) وقررت كذلك تطبيق إجراء الاعتماد والموافقة في نفس الوقت عن طريق المراسلة </w:t>
      </w:r>
      <w:r w:rsidRPr="0004693C">
        <w:t>(</w:t>
      </w:r>
      <w:r w:rsidRPr="0004693C">
        <w:rPr>
          <w:lang w:val="fr-CH"/>
        </w:rPr>
        <w:t>PSAA</w:t>
      </w:r>
      <w:r w:rsidRPr="0004693C">
        <w:t>)</w:t>
      </w:r>
      <w:r w:rsidRPr="0004693C">
        <w:rPr>
          <w:rtl/>
        </w:rPr>
        <w:t xml:space="preserve"> (الفقرة </w:t>
      </w:r>
      <w:r w:rsidRPr="0004693C">
        <w:rPr>
          <w:lang w:val="fr-CH"/>
        </w:rPr>
        <w:t>4.2.6.A2</w:t>
      </w:r>
      <w:r w:rsidRPr="0004693C">
        <w:rPr>
          <w:rtl/>
        </w:rPr>
        <w:t xml:space="preserve"> من القرار </w:t>
      </w:r>
      <w:r w:rsidR="00EB1128" w:rsidRPr="00EB1128">
        <w:rPr>
          <w:lang w:val="en-GB"/>
        </w:rPr>
        <w:t>ITU</w:t>
      </w:r>
      <w:r w:rsidR="00EB1128" w:rsidRPr="00EB1128">
        <w:rPr>
          <w:lang w:val="en-GB"/>
        </w:rPr>
        <w:noBreakHyphen/>
        <w:t>R 1-9</w:t>
      </w:r>
      <w:r w:rsidRPr="0004693C">
        <w:rPr>
          <w:rtl/>
        </w:rPr>
        <w:t>). ويرد في الملحق بهذه الرسالة عنوانا وملخصا مشروعي التوصيتين. ويرجى من أي دولة عضو تبدي اعتراضاً على اعتماد مشروع توصية أن تخبر المدير ورئيس لجنة الدراسات بأسباب اعتراضها.</w:t>
      </w:r>
      <w:bookmarkStart w:id="0" w:name="_Hlk116571750"/>
      <w:bookmarkEnd w:id="0"/>
    </w:p>
    <w:p w14:paraId="3C415E30" w14:textId="77777777" w:rsidR="0004693C" w:rsidRPr="0004693C" w:rsidRDefault="0004693C" w:rsidP="00D24991">
      <w:r w:rsidRPr="0004693C">
        <w:rPr>
          <w:rtl/>
        </w:rPr>
        <w:t xml:space="preserve">وتمتد فترة النظر لمدة شهرين تنتهي في </w:t>
      </w:r>
      <w:r w:rsidRPr="0004693C">
        <w:rPr>
          <w:u w:val="single"/>
        </w:rPr>
        <w:t>1</w:t>
      </w:r>
      <w:r w:rsidRPr="0004693C">
        <w:rPr>
          <w:u w:val="single"/>
          <w:rtl/>
        </w:rPr>
        <w:t xml:space="preserve"> سبتمبر </w:t>
      </w:r>
      <w:r w:rsidRPr="0004693C">
        <w:rPr>
          <w:u w:val="single"/>
        </w:rPr>
        <w:t>2025</w:t>
      </w:r>
      <w:r w:rsidRPr="0004693C">
        <w:rPr>
          <w:rtl/>
        </w:rPr>
        <w:t xml:space="preserve">. وإذا لم ترد أي اعتراضات من الدول الأعضاء خلال هذه الفترة فإن مشروعي التوصيتين يعتبران قد اعتمدتهما لجنة الدراسات 1. وعلاوةً على ذلك، ولما كان قد تم اتباع إجراء الاعتماد والموافقة في نفس الوقت عن طريق المراسلة، </w:t>
      </w:r>
      <w:r w:rsidRPr="0004693C">
        <w:rPr>
          <w:rtl/>
          <w:lang w:bidi="ar-EG"/>
        </w:rPr>
        <w:t>فإن مشروعي التوصيتين يعتبران أيضاً بحكم الموافَق عليهما</w:t>
      </w:r>
      <w:r w:rsidRPr="0004693C">
        <w:rPr>
          <w:rtl/>
        </w:rPr>
        <w:t xml:space="preserve"> </w:t>
      </w:r>
    </w:p>
    <w:p w14:paraId="32C7201E" w14:textId="28F2980E" w:rsidR="0004693C" w:rsidRPr="0004693C" w:rsidRDefault="0004693C" w:rsidP="00D24991">
      <w:r w:rsidRPr="0004693C">
        <w:rPr>
          <w:rtl/>
        </w:rPr>
        <w:t xml:space="preserve">وبعد المهلة المحددة أعلاه، ستُعلن نتائج الإجراءات المذكورة أعلاه في رسالة إدارية معممة </w:t>
      </w:r>
      <w:r w:rsidRPr="0004693C">
        <w:rPr>
          <w:rtl/>
          <w:lang w:bidi="ar-EG"/>
        </w:rPr>
        <w:t xml:space="preserve">وستُنشر التوصيتان الموافَق عليهما </w:t>
      </w:r>
      <w:r w:rsidRPr="0004693C">
        <w:rPr>
          <w:rtl/>
        </w:rPr>
        <w:t xml:space="preserve">في أقرب وقت ممكن (انظر </w:t>
      </w:r>
      <w:hyperlink r:id="rId9" w:history="1">
        <w:r w:rsidR="00EB1128" w:rsidRPr="00EB1128">
          <w:rPr>
            <w:rStyle w:val="Hyperlink"/>
            <w:lang w:val="en-GB" w:bidi="ar-SY"/>
          </w:rPr>
          <w:t>http://www.itu.int/pub/R-REC</w:t>
        </w:r>
      </w:hyperlink>
      <w:r w:rsidRPr="0004693C">
        <w:rPr>
          <w:rtl/>
        </w:rPr>
        <w:t>)</w:t>
      </w:r>
      <w:r w:rsidR="00EB1128">
        <w:rPr>
          <w:rFonts w:hint="cs"/>
          <w:rtl/>
        </w:rPr>
        <w:t>.</w:t>
      </w:r>
    </w:p>
    <w:p w14:paraId="069E5EA4" w14:textId="55B1FD9B" w:rsidR="00D02121" w:rsidRPr="00D226D5" w:rsidRDefault="0004693C" w:rsidP="00752D9D">
      <w:pPr>
        <w:keepNext/>
        <w:keepLines/>
        <w:rPr>
          <w:rtl/>
          <w:lang w:bidi="ar-EG"/>
        </w:rPr>
      </w:pPr>
      <w:r w:rsidRPr="0004693C">
        <w:rPr>
          <w:rtl/>
        </w:rPr>
        <w:lastRenderedPageBreak/>
        <w:t xml:space="preserve">ويرجى من أي منظمة عضو في الاتحاد تعلم بوجود براءة اختراع لديها أو لدى غيرها تغطي كلياً أو جزئياً عناصر من مشاريع التوصيات المذكورة في هذه الرسالة أن تبلغ الأمانة بهذه المعلومات بأسرع ما يمكن. ويمكن الاطلاع على السياسة المشتركة للبراءات </w:t>
      </w:r>
      <w:r w:rsidR="00EB1128">
        <w:rPr>
          <w:rFonts w:hint="cs"/>
          <w:rtl/>
        </w:rPr>
        <w:t>"</w:t>
      </w:r>
      <w:r w:rsidR="00EB1128" w:rsidRPr="00EB1128">
        <w:rPr>
          <w:lang w:val="en-GB"/>
        </w:rPr>
        <w:t>ITU</w:t>
      </w:r>
      <w:r w:rsidR="00EB1128" w:rsidRPr="00EB1128">
        <w:rPr>
          <w:lang w:val="en-GB"/>
        </w:rPr>
        <w:noBreakHyphen/>
        <w:t>T/ITU</w:t>
      </w:r>
      <w:r w:rsidR="00EB1128" w:rsidRPr="00EB1128">
        <w:rPr>
          <w:lang w:val="en-GB"/>
        </w:rPr>
        <w:noBreakHyphen/>
        <w:t>R/ISO/IEC</w:t>
      </w:r>
      <w:r w:rsidR="00EB1128">
        <w:rPr>
          <w:rFonts w:hint="cs"/>
          <w:rtl/>
          <w:lang w:val="en-GB"/>
        </w:rPr>
        <w:t xml:space="preserve">" </w:t>
      </w:r>
      <w:r w:rsidRPr="0004693C">
        <w:rPr>
          <w:rtl/>
        </w:rPr>
        <w:t>في الموقع الإلكتروني</w:t>
      </w:r>
      <w:r w:rsidRPr="0004693C">
        <w:rPr>
          <w:lang w:val="fr-CH"/>
        </w:rPr>
        <w:t>:</w:t>
      </w:r>
      <w:r w:rsidRPr="0004693C">
        <w:rPr>
          <w:rtl/>
        </w:rPr>
        <w:t xml:space="preserve"> </w:t>
      </w:r>
      <w:hyperlink r:id="rId10" w:history="1">
        <w:r w:rsidR="002E1E4A" w:rsidRPr="000B0E84">
          <w:rPr>
            <w:rStyle w:val="Hyperlink"/>
          </w:rPr>
          <w:t>https://www.itu.int/ar/ITU-T/ipr/Pages/policy.aspx</w:t>
        </w:r>
      </w:hyperlink>
      <w:r w:rsidR="00EB1128">
        <w:rPr>
          <w:rFonts w:hint="cs"/>
          <w:rtl/>
        </w:rPr>
        <w:t>.</w:t>
      </w:r>
    </w:p>
    <w:p w14:paraId="716A128C" w14:textId="77777777" w:rsidR="00D02121" w:rsidRDefault="00D02121" w:rsidP="00DE2A14">
      <w:pPr>
        <w:keepNext/>
        <w:keepLines/>
        <w:spacing w:before="1200"/>
        <w:jc w:val="left"/>
      </w:pPr>
      <w:r w:rsidRPr="00F16820">
        <w:rPr>
          <w:rtl/>
        </w:rPr>
        <w:t xml:space="preserve">ماريو </w:t>
      </w:r>
      <w:proofErr w:type="spellStart"/>
      <w:r w:rsidRPr="00F16820">
        <w:rPr>
          <w:rtl/>
        </w:rPr>
        <w:t>مانيفيتش</w:t>
      </w:r>
      <w:proofErr w:type="spellEnd"/>
      <w:r w:rsidRPr="00F16820">
        <w:rPr>
          <w:rtl/>
        </w:rPr>
        <w:br/>
      </w:r>
      <w:r w:rsidRPr="00F16820">
        <w:rPr>
          <w:rFonts w:hint="cs"/>
          <w:rtl/>
        </w:rPr>
        <w:t>المدير</w:t>
      </w:r>
    </w:p>
    <w:p w14:paraId="359010B1" w14:textId="2C14EC1A" w:rsidR="0004693C" w:rsidRPr="0004693C" w:rsidRDefault="0004693C" w:rsidP="00752D9D">
      <w:pPr>
        <w:keepNext/>
        <w:keepLines/>
        <w:spacing w:before="2400"/>
        <w:rPr>
          <w:rtl/>
        </w:rPr>
      </w:pPr>
      <w:r w:rsidRPr="0004693C">
        <w:rPr>
          <w:b/>
          <w:bCs/>
          <w:rtl/>
        </w:rPr>
        <w:t>الملحق</w:t>
      </w:r>
      <w:r w:rsidR="005A1A62">
        <w:rPr>
          <w:rFonts w:hint="cs"/>
          <w:b/>
          <w:bCs/>
          <w:rtl/>
          <w:lang w:val="fr-CH" w:bidi="ar-EG"/>
        </w:rPr>
        <w:t>:</w:t>
      </w:r>
      <w:r w:rsidRPr="0004693C">
        <w:rPr>
          <w:b/>
          <w:bCs/>
          <w:rtl/>
        </w:rPr>
        <w:tab/>
      </w:r>
      <w:r w:rsidRPr="0004693C">
        <w:rPr>
          <w:rtl/>
          <w:lang w:bidi="ar-EG"/>
        </w:rPr>
        <w:t>عنوان وملخص كل من مشروعي التوصيتين</w:t>
      </w:r>
    </w:p>
    <w:p w14:paraId="72DD21FA" w14:textId="0A25CB43" w:rsidR="0004693C" w:rsidRPr="0004693C" w:rsidRDefault="0004693C" w:rsidP="00752D9D">
      <w:pPr>
        <w:spacing w:before="960"/>
        <w:rPr>
          <w:lang w:val="ar-SA" w:bidi="ar-EG"/>
        </w:rPr>
      </w:pPr>
      <w:r w:rsidRPr="0004693C">
        <w:rPr>
          <w:b/>
          <w:bCs/>
          <w:rtl/>
        </w:rPr>
        <w:t>الوثائق</w:t>
      </w:r>
      <w:r w:rsidR="005A1A62">
        <w:rPr>
          <w:rFonts w:hint="cs"/>
          <w:b/>
          <w:bCs/>
          <w:rtl/>
        </w:rPr>
        <w:t>:</w:t>
      </w:r>
      <w:r w:rsidRPr="0004693C">
        <w:rPr>
          <w:rtl/>
        </w:rPr>
        <w:tab/>
        <w:t xml:space="preserve">الوثيقتان </w:t>
      </w:r>
      <w:r w:rsidR="00EB1128">
        <w:t>1/49</w:t>
      </w:r>
      <w:r w:rsidRPr="0004693C">
        <w:rPr>
          <w:rtl/>
        </w:rPr>
        <w:t xml:space="preserve"> و</w:t>
      </w:r>
      <w:r w:rsidR="00EB1128" w:rsidRPr="00EB1128">
        <w:rPr>
          <w:lang w:val="en-GB"/>
        </w:rPr>
        <w:t>1/52(Rev.1)</w:t>
      </w:r>
    </w:p>
    <w:p w14:paraId="0D568776" w14:textId="450BBA4D" w:rsidR="00D02121" w:rsidRPr="0004693C" w:rsidRDefault="0004693C" w:rsidP="00752D9D">
      <w:pPr>
        <w:rPr>
          <w:lang w:bidi="ar-EG"/>
        </w:rPr>
      </w:pPr>
      <w:r w:rsidRPr="0004693C">
        <w:rPr>
          <w:rtl/>
        </w:rPr>
        <w:t>وتتاح هاتان الوثيقتان في نسق إلكتروني في</w:t>
      </w:r>
      <w:r w:rsidR="00EB1128">
        <w:rPr>
          <w:rFonts w:hint="cs"/>
          <w:rtl/>
          <w:lang w:bidi="ar-EG"/>
        </w:rPr>
        <w:t xml:space="preserve">: </w:t>
      </w:r>
      <w:hyperlink r:id="rId11" w:history="1">
        <w:r w:rsidR="00EB1128" w:rsidRPr="00EB1128">
          <w:rPr>
            <w:rStyle w:val="Hyperlink"/>
            <w:lang w:val="en-GB" w:bidi="ar-EG"/>
          </w:rPr>
          <w:t>https://www.itu.int/md/R23-SG01-C/en</w:t>
        </w:r>
      </w:hyperlink>
    </w:p>
    <w:p w14:paraId="4B97846C" w14:textId="77777777" w:rsidR="00FC09E8" w:rsidRDefault="00FC09E8" w:rsidP="007A1910">
      <w:pPr>
        <w:rPr>
          <w:rtl/>
        </w:rPr>
      </w:pPr>
      <w:r>
        <w:rPr>
          <w:rtl/>
        </w:rPr>
        <w:br w:type="page"/>
      </w:r>
    </w:p>
    <w:p w14:paraId="2878E888" w14:textId="092F3F8B" w:rsidR="0004693C" w:rsidRPr="0004693C" w:rsidRDefault="002E1E4A" w:rsidP="008528F4">
      <w:pPr>
        <w:pStyle w:val="AnnexNotitle"/>
        <w:rPr>
          <w:lang w:val="ar-SA" w:bidi="ar-EG"/>
        </w:rPr>
      </w:pPr>
      <w:r>
        <w:rPr>
          <w:rFonts w:hint="cs"/>
          <w:rtl/>
        </w:rPr>
        <w:lastRenderedPageBreak/>
        <w:t>الملحق</w:t>
      </w:r>
      <w:r w:rsidR="00761F19">
        <w:br/>
      </w:r>
      <w:r w:rsidR="00761F19">
        <w:br/>
      </w:r>
      <w:r w:rsidR="0004693C" w:rsidRPr="0004693C">
        <w:rPr>
          <w:rtl/>
        </w:rPr>
        <w:t>عنوان كل من مشروعي التوصيتين وملخصهما</w:t>
      </w:r>
    </w:p>
    <w:p w14:paraId="417D662C" w14:textId="59FBED32" w:rsidR="0004693C" w:rsidRPr="0004693C" w:rsidRDefault="0004693C" w:rsidP="001646EC">
      <w:pPr>
        <w:tabs>
          <w:tab w:val="clear" w:pos="794"/>
          <w:tab w:val="left" w:pos="8505"/>
        </w:tabs>
        <w:rPr>
          <w:lang w:val="ar-SA" w:bidi="ar-EG"/>
        </w:rPr>
      </w:pPr>
      <w:r w:rsidRPr="0004693C">
        <w:rPr>
          <w:u w:val="single"/>
          <w:rtl/>
        </w:rPr>
        <w:t xml:space="preserve">مشروع مراجعة التوصية </w:t>
      </w:r>
      <w:r w:rsidR="00EB1128" w:rsidRPr="00EB1128">
        <w:rPr>
          <w:u w:val="single"/>
          <w:lang w:val="en-GB"/>
        </w:rPr>
        <w:t>ITU-R SM.328-11</w:t>
      </w:r>
      <w:r w:rsidRPr="0004693C">
        <w:rPr>
          <w:rtl/>
        </w:rPr>
        <w:tab/>
        <w:t xml:space="preserve">الوثيقة </w:t>
      </w:r>
      <w:r w:rsidR="00EB1128" w:rsidRPr="00EB1128">
        <w:rPr>
          <w:lang w:val="en-GB"/>
        </w:rPr>
        <w:t>1/49</w:t>
      </w:r>
    </w:p>
    <w:p w14:paraId="02C58BBE" w14:textId="77777777" w:rsidR="0004693C" w:rsidRPr="0004693C" w:rsidRDefault="0004693C" w:rsidP="001646EC">
      <w:pPr>
        <w:pStyle w:val="Rectitle"/>
        <w:rPr>
          <w:lang w:val="ar-SA" w:bidi="ar-EG"/>
        </w:rPr>
      </w:pPr>
      <w:r w:rsidRPr="0004693C">
        <w:rPr>
          <w:rtl/>
        </w:rPr>
        <w:t>أطياف وعرض نطاق البث</w:t>
      </w:r>
    </w:p>
    <w:p w14:paraId="6F8E9EC2" w14:textId="77777777" w:rsidR="0004693C" w:rsidRPr="0004693C" w:rsidRDefault="0004693C" w:rsidP="0004693C">
      <w:pPr>
        <w:rPr>
          <w:lang w:val="ar-SA" w:bidi="ar-EG"/>
        </w:rPr>
      </w:pPr>
      <w:r w:rsidRPr="0004693C">
        <w:rPr>
          <w:rtl/>
        </w:rPr>
        <w:t>ملخص المراجعة</w:t>
      </w:r>
    </w:p>
    <w:p w14:paraId="4D6D7529" w14:textId="6B696C8E" w:rsidR="0004693C" w:rsidRPr="0004693C" w:rsidRDefault="0091644B" w:rsidP="001646EC">
      <w:pPr>
        <w:pStyle w:val="enumlev1"/>
        <w:rPr>
          <w:lang w:bidi="en-GB"/>
        </w:rPr>
      </w:pPr>
      <w:r>
        <w:rPr>
          <w:rFonts w:hint="cs"/>
          <w:rtl/>
          <w:lang w:val="fr-CH" w:bidi="ar-EG"/>
        </w:rPr>
        <w:t>-</w:t>
      </w:r>
      <w:r w:rsidR="0004693C" w:rsidRPr="0004693C">
        <w:rPr>
          <w:rtl/>
        </w:rPr>
        <w:tab/>
        <w:t xml:space="preserve">مراجعة النصوص لمراعاة أحدث أساليب عمل قطاع الاتصالات الراديوية، مثل استخدام اللغات الرسمية الست للاتحاد أو نقل الإحالات إلى أحكام لوائح الراديو من جزء </w:t>
      </w:r>
      <w:r w:rsidR="0004693C" w:rsidRPr="002E1E4A">
        <w:rPr>
          <w:rtl/>
        </w:rPr>
        <w:t>"</w:t>
      </w:r>
      <w:r w:rsidR="0004693C" w:rsidRPr="008528F4">
        <w:rPr>
          <w:i/>
          <w:iCs/>
          <w:rtl/>
        </w:rPr>
        <w:t>إذ تضع في اعتبارها</w:t>
      </w:r>
      <w:r w:rsidR="0004693C" w:rsidRPr="002E1E4A">
        <w:rPr>
          <w:rtl/>
        </w:rPr>
        <w:t>"</w:t>
      </w:r>
      <w:r w:rsidR="0004693C" w:rsidRPr="0004693C">
        <w:rPr>
          <w:rtl/>
        </w:rPr>
        <w:t xml:space="preserve"> إلى جزء </w:t>
      </w:r>
      <w:r w:rsidR="0004693C" w:rsidRPr="002E1E4A">
        <w:rPr>
          <w:rtl/>
        </w:rPr>
        <w:t>"</w:t>
      </w:r>
      <w:r w:rsidR="0004693C" w:rsidRPr="008528F4">
        <w:rPr>
          <w:i/>
          <w:iCs/>
          <w:rtl/>
        </w:rPr>
        <w:t>وإذ تدرك</w:t>
      </w:r>
      <w:r w:rsidR="0004693C" w:rsidRPr="002E1E4A">
        <w:rPr>
          <w:rtl/>
        </w:rPr>
        <w:t>"</w:t>
      </w:r>
      <w:r w:rsidR="0004693C" w:rsidRPr="0004693C">
        <w:rPr>
          <w:rtl/>
        </w:rPr>
        <w:t>، وإدخال التعديلات الأخرى تبعاً لذلك؛</w:t>
      </w:r>
    </w:p>
    <w:p w14:paraId="7B347A09" w14:textId="46766751" w:rsidR="0004693C" w:rsidRPr="0004693C" w:rsidRDefault="0091644B" w:rsidP="00903C5C">
      <w:pPr>
        <w:pStyle w:val="enumlev1"/>
        <w:rPr>
          <w:lang w:val="ar-SA" w:bidi="ar-EG"/>
        </w:rPr>
      </w:pPr>
      <w:r>
        <w:rPr>
          <w:rFonts w:hint="cs"/>
          <w:rtl/>
          <w:lang w:val="fr-CH" w:bidi="ar-EG"/>
        </w:rPr>
        <w:t>-</w:t>
      </w:r>
      <w:r w:rsidR="0004693C" w:rsidRPr="0004693C">
        <w:rPr>
          <w:rtl/>
        </w:rPr>
        <w:tab/>
        <w:t xml:space="preserve">إضافة إحالات إلى التوصيات </w:t>
      </w:r>
      <w:r w:rsidR="0004693C" w:rsidRPr="0004693C">
        <w:t>ITU-R SM.853</w:t>
      </w:r>
      <w:r w:rsidR="00EB1128">
        <w:rPr>
          <w:rFonts w:hint="cs"/>
          <w:rtl/>
        </w:rPr>
        <w:t xml:space="preserve"> </w:t>
      </w:r>
      <w:r w:rsidR="0004693C" w:rsidRPr="0004693C">
        <w:rPr>
          <w:rtl/>
        </w:rPr>
        <w:t>و</w:t>
      </w:r>
      <w:r w:rsidR="0004693C" w:rsidRPr="0004693C">
        <w:t>ITU-R SM.1046</w:t>
      </w:r>
      <w:r w:rsidR="00EB1128">
        <w:rPr>
          <w:rFonts w:hint="cs"/>
          <w:rtl/>
        </w:rPr>
        <w:t xml:space="preserve"> </w:t>
      </w:r>
      <w:r w:rsidR="0004693C" w:rsidRPr="0004693C">
        <w:rPr>
          <w:rtl/>
        </w:rPr>
        <w:t>و</w:t>
      </w:r>
      <w:r w:rsidR="0004693C" w:rsidRPr="0004693C">
        <w:t>ITU-R SM.1539</w:t>
      </w:r>
      <w:r w:rsidR="0004693C" w:rsidRPr="0004693C">
        <w:rPr>
          <w:rtl/>
        </w:rPr>
        <w:t>، وكذلك إلى التقريرين</w:t>
      </w:r>
      <w:r w:rsidR="00903C5C">
        <w:rPr>
          <w:rFonts w:hint="cs"/>
          <w:rtl/>
        </w:rPr>
        <w:t> </w:t>
      </w:r>
      <w:r w:rsidR="0004693C" w:rsidRPr="0004693C">
        <w:t>ITU</w:t>
      </w:r>
      <w:r w:rsidR="00903C5C">
        <w:noBreakHyphen/>
      </w:r>
      <w:r w:rsidR="0004693C" w:rsidRPr="0004693C">
        <w:t>R</w:t>
      </w:r>
      <w:r w:rsidR="00903C5C">
        <w:t> </w:t>
      </w:r>
      <w:r w:rsidR="0004693C" w:rsidRPr="0004693C">
        <w:t>SM.2048</w:t>
      </w:r>
      <w:r w:rsidR="0004693C" w:rsidRPr="0004693C">
        <w:rPr>
          <w:rtl/>
        </w:rPr>
        <w:t xml:space="preserve"> و</w:t>
      </w:r>
      <w:r w:rsidR="0004693C" w:rsidRPr="0004693C">
        <w:t>ITU-R SM.2421</w:t>
      </w:r>
      <w:r w:rsidR="0004693C" w:rsidRPr="0004693C">
        <w:rPr>
          <w:rtl/>
        </w:rPr>
        <w:t>؛</w:t>
      </w:r>
    </w:p>
    <w:p w14:paraId="273AAACD" w14:textId="47665F46" w:rsidR="0004693C" w:rsidRPr="0004693C" w:rsidRDefault="0091644B" w:rsidP="001646EC">
      <w:pPr>
        <w:pStyle w:val="enumlev1"/>
        <w:rPr>
          <w:lang w:val="ar-SA" w:bidi="ar-EG"/>
        </w:rPr>
      </w:pPr>
      <w:r>
        <w:rPr>
          <w:rFonts w:hint="cs"/>
          <w:rtl/>
          <w:lang w:val="fr-CH" w:bidi="ar-EG"/>
        </w:rPr>
        <w:t>-</w:t>
      </w:r>
      <w:r w:rsidR="0004693C" w:rsidRPr="0004693C">
        <w:rPr>
          <w:rtl/>
        </w:rPr>
        <w:tab/>
        <w:t xml:space="preserve">إضافة قسم </w:t>
      </w:r>
      <w:r w:rsidR="0004693C" w:rsidRPr="0004693C">
        <w:t>5</w:t>
      </w:r>
      <w:r w:rsidR="0004693C" w:rsidRPr="0004693C">
        <w:rPr>
          <w:rtl/>
        </w:rPr>
        <w:t xml:space="preserve"> جديد بشأن سمات عرض النطاق اللازم، في جزء </w:t>
      </w:r>
      <w:r w:rsidR="0004693C" w:rsidRPr="002E1E4A">
        <w:rPr>
          <w:rtl/>
        </w:rPr>
        <w:t>"</w:t>
      </w:r>
      <w:r w:rsidR="0004693C" w:rsidRPr="008528F4">
        <w:rPr>
          <w:i/>
          <w:iCs/>
          <w:rtl/>
        </w:rPr>
        <w:t>توصي</w:t>
      </w:r>
      <w:r w:rsidR="0004693C" w:rsidRPr="002E1E4A">
        <w:rPr>
          <w:rtl/>
        </w:rPr>
        <w:t>"</w:t>
      </w:r>
      <w:r w:rsidR="0004693C" w:rsidRPr="0004693C">
        <w:rPr>
          <w:rtl/>
        </w:rPr>
        <w:t>.</w:t>
      </w:r>
    </w:p>
    <w:p w14:paraId="10B733F2" w14:textId="07AD168E" w:rsidR="0004693C" w:rsidRPr="0004693C" w:rsidRDefault="0004693C" w:rsidP="00343B06">
      <w:pPr>
        <w:tabs>
          <w:tab w:val="clear" w:pos="794"/>
          <w:tab w:val="left" w:pos="7938"/>
        </w:tabs>
        <w:spacing w:before="360"/>
        <w:rPr>
          <w:lang w:val="ar-SA" w:bidi="ar-EG"/>
        </w:rPr>
      </w:pPr>
      <w:r w:rsidRPr="0004693C">
        <w:rPr>
          <w:u w:val="single"/>
          <w:rtl/>
        </w:rPr>
        <w:t xml:space="preserve">مشروع مراجعة التوصية </w:t>
      </w:r>
      <w:r w:rsidRPr="0004693C">
        <w:rPr>
          <w:u w:val="single"/>
        </w:rPr>
        <w:t>ITU-R SM.2110-1</w:t>
      </w:r>
      <w:r w:rsidRPr="0004693C">
        <w:rPr>
          <w:rtl/>
        </w:rPr>
        <w:tab/>
        <w:t xml:space="preserve">الوثيقة </w:t>
      </w:r>
      <w:r w:rsidR="00D56CA3" w:rsidRPr="00D56CA3">
        <w:rPr>
          <w:lang w:val="en-GB"/>
        </w:rPr>
        <w:t>1/52(Rev.1)</w:t>
      </w:r>
    </w:p>
    <w:p w14:paraId="5F508A9A" w14:textId="7FB28314" w:rsidR="0004693C" w:rsidRPr="0004693C" w:rsidRDefault="0004693C" w:rsidP="001646EC">
      <w:pPr>
        <w:pStyle w:val="Rectitle"/>
        <w:rPr>
          <w:lang w:val="ar-SA" w:bidi="ar-EG"/>
        </w:rPr>
      </w:pPr>
      <w:r w:rsidRPr="0004693C">
        <w:rPr>
          <w:rtl/>
        </w:rPr>
        <w:t xml:space="preserve">إرشادات بشأن مديات التردد من أجل تشغيل الأنظمة </w:t>
      </w:r>
      <w:proofErr w:type="spellStart"/>
      <w:r w:rsidRPr="0004693C">
        <w:rPr>
          <w:rtl/>
        </w:rPr>
        <w:t>اللاحزمية</w:t>
      </w:r>
      <w:proofErr w:type="spellEnd"/>
      <w:r w:rsidRPr="0004693C">
        <w:rPr>
          <w:rtl/>
        </w:rPr>
        <w:t xml:space="preserve"> </w:t>
      </w:r>
      <w:r w:rsidR="00752D9D">
        <w:br/>
      </w:r>
      <w:r w:rsidRPr="0004693C">
        <w:rPr>
          <w:rtl/>
        </w:rPr>
        <w:t>لإرسال القدرة لاسلكياً من أجل المركبات الكهربائية</w:t>
      </w:r>
    </w:p>
    <w:p w14:paraId="2FE21EEC" w14:textId="77777777" w:rsidR="0004693C" w:rsidRPr="0004693C" w:rsidRDefault="0004693C" w:rsidP="0004693C">
      <w:pPr>
        <w:rPr>
          <w:lang w:val="ar-SA" w:bidi="ar-EG"/>
        </w:rPr>
      </w:pPr>
      <w:r w:rsidRPr="0004693C">
        <w:rPr>
          <w:rtl/>
        </w:rPr>
        <w:t>ملخص المراجعة:</w:t>
      </w:r>
    </w:p>
    <w:p w14:paraId="10C90992" w14:textId="3D61D9E5" w:rsidR="0004693C" w:rsidRPr="0004693C" w:rsidRDefault="0091644B" w:rsidP="001646EC">
      <w:pPr>
        <w:pStyle w:val="enumlev1"/>
        <w:rPr>
          <w:lang w:val="ar-SA" w:bidi="ar-EG"/>
        </w:rPr>
      </w:pPr>
      <w:r>
        <w:rPr>
          <w:rFonts w:hint="cs"/>
          <w:rtl/>
          <w:lang w:val="fr-CH" w:bidi="ar-EG"/>
        </w:rPr>
        <w:t>-</w:t>
      </w:r>
      <w:r w:rsidR="0004693C" w:rsidRPr="0004693C">
        <w:rPr>
          <w:rtl/>
        </w:rPr>
        <w:tab/>
        <w:t>تحسين مجال التطبيق ليتماشى مع العنوان؛</w:t>
      </w:r>
    </w:p>
    <w:p w14:paraId="0B80E49C" w14:textId="6DF0FB62" w:rsidR="0004693C" w:rsidRPr="0004693C" w:rsidRDefault="0091644B" w:rsidP="001646EC">
      <w:pPr>
        <w:pStyle w:val="enumlev1"/>
        <w:rPr>
          <w:lang w:val="ar-SA" w:bidi="ar-EG"/>
        </w:rPr>
      </w:pPr>
      <w:r>
        <w:rPr>
          <w:rFonts w:hint="cs"/>
          <w:rtl/>
          <w:lang w:val="fr-CH" w:bidi="ar-EG"/>
        </w:rPr>
        <w:t>-</w:t>
      </w:r>
      <w:r w:rsidR="0004693C" w:rsidRPr="0004693C">
        <w:rPr>
          <w:rtl/>
        </w:rPr>
        <w:tab/>
        <w:t>تحديث المختصرات/الأسماء المختصرة؛</w:t>
      </w:r>
    </w:p>
    <w:p w14:paraId="6ACEDB7C" w14:textId="50E8CC98" w:rsidR="0004693C" w:rsidRPr="0004693C" w:rsidRDefault="0091644B" w:rsidP="001646EC">
      <w:pPr>
        <w:pStyle w:val="enumlev1"/>
        <w:rPr>
          <w:lang w:val="ar-SA" w:bidi="ar-EG"/>
        </w:rPr>
      </w:pPr>
      <w:r>
        <w:rPr>
          <w:rFonts w:hint="cs"/>
          <w:rtl/>
          <w:lang w:val="fr-CH" w:bidi="ar-EG"/>
        </w:rPr>
        <w:t>-</w:t>
      </w:r>
      <w:r w:rsidR="0004693C" w:rsidRPr="0004693C">
        <w:rPr>
          <w:rtl/>
        </w:rPr>
        <w:tab/>
        <w:t>إضافة عناوين إلى توصيات الاتحاد وتقاريره؛</w:t>
      </w:r>
    </w:p>
    <w:p w14:paraId="1CC70156" w14:textId="0DFDD5F0" w:rsidR="0004693C" w:rsidRPr="0004693C" w:rsidRDefault="0091644B" w:rsidP="001646EC">
      <w:pPr>
        <w:pStyle w:val="enumlev1"/>
        <w:rPr>
          <w:lang w:val="ar-SA" w:bidi="ar-EG"/>
        </w:rPr>
      </w:pPr>
      <w:r>
        <w:rPr>
          <w:rFonts w:hint="cs"/>
          <w:rtl/>
          <w:lang w:val="fr-CH" w:bidi="ar-EG"/>
        </w:rPr>
        <w:t>-</w:t>
      </w:r>
      <w:r w:rsidR="0004693C" w:rsidRPr="0004693C">
        <w:rPr>
          <w:rtl/>
        </w:rPr>
        <w:tab/>
        <w:t xml:space="preserve">إضافة إحالة إلى التقرير </w:t>
      </w:r>
      <w:r w:rsidR="0004693C" w:rsidRPr="0004693C">
        <w:t>ITU-R TF.2487</w:t>
      </w:r>
      <w:r w:rsidR="0004693C" w:rsidRPr="0004693C">
        <w:rPr>
          <w:rtl/>
        </w:rPr>
        <w:t>؛</w:t>
      </w:r>
    </w:p>
    <w:p w14:paraId="198AF944" w14:textId="5E050F2F" w:rsidR="0004693C" w:rsidRPr="0004693C" w:rsidRDefault="0091644B" w:rsidP="001646EC">
      <w:pPr>
        <w:pStyle w:val="enumlev1"/>
        <w:rPr>
          <w:lang w:val="ar-SA" w:bidi="ar-EG"/>
        </w:rPr>
      </w:pPr>
      <w:r>
        <w:rPr>
          <w:rFonts w:hint="cs"/>
          <w:rtl/>
          <w:lang w:val="fr-CH" w:bidi="ar-EG"/>
        </w:rPr>
        <w:t>-</w:t>
      </w:r>
      <w:r w:rsidR="0004693C" w:rsidRPr="0004693C">
        <w:rPr>
          <w:rtl/>
        </w:rPr>
        <w:tab/>
        <w:t xml:space="preserve">تحرير قسم </w:t>
      </w:r>
      <w:r w:rsidR="0004693C" w:rsidRPr="002E1E4A">
        <w:rPr>
          <w:rtl/>
        </w:rPr>
        <w:t>"</w:t>
      </w:r>
      <w:r w:rsidR="0004693C" w:rsidRPr="009045D2">
        <w:rPr>
          <w:i/>
          <w:iCs/>
          <w:rtl/>
        </w:rPr>
        <w:t>إذ تضع في اعتبارها</w:t>
      </w:r>
      <w:r w:rsidR="0004693C" w:rsidRPr="002E1E4A">
        <w:rPr>
          <w:rtl/>
        </w:rPr>
        <w:t>"</w:t>
      </w:r>
      <w:r w:rsidR="0004693C" w:rsidRPr="0004693C">
        <w:rPr>
          <w:rtl/>
        </w:rPr>
        <w:t>؛</w:t>
      </w:r>
    </w:p>
    <w:p w14:paraId="038961F3" w14:textId="0324645B" w:rsidR="0004693C" w:rsidRPr="0004693C" w:rsidRDefault="0091644B" w:rsidP="001646EC">
      <w:pPr>
        <w:pStyle w:val="enumlev1"/>
        <w:rPr>
          <w:lang w:val="ar-SA" w:bidi="ar-EG"/>
        </w:rPr>
      </w:pPr>
      <w:r>
        <w:rPr>
          <w:rFonts w:hint="cs"/>
          <w:rtl/>
          <w:lang w:val="fr-CH" w:bidi="ar-EG"/>
        </w:rPr>
        <w:t>-</w:t>
      </w:r>
      <w:r w:rsidR="0004693C" w:rsidRPr="0004693C">
        <w:rPr>
          <w:rtl/>
        </w:rPr>
        <w:tab/>
        <w:t xml:space="preserve">تحرير قسم </w:t>
      </w:r>
      <w:r w:rsidR="0004693C" w:rsidRPr="002E1E4A">
        <w:rPr>
          <w:rtl/>
        </w:rPr>
        <w:t>"</w:t>
      </w:r>
      <w:r w:rsidR="0004693C" w:rsidRPr="009045D2">
        <w:rPr>
          <w:i/>
          <w:iCs/>
          <w:rtl/>
        </w:rPr>
        <w:t>وإذ تدرك</w:t>
      </w:r>
      <w:r w:rsidR="0004693C" w:rsidRPr="002E1E4A">
        <w:rPr>
          <w:rtl/>
        </w:rPr>
        <w:t>"</w:t>
      </w:r>
      <w:r w:rsidR="0004693C" w:rsidRPr="0004693C">
        <w:rPr>
          <w:rtl/>
        </w:rPr>
        <w:t>؛</w:t>
      </w:r>
    </w:p>
    <w:p w14:paraId="487F5C40" w14:textId="262AA837" w:rsidR="0004693C" w:rsidRPr="0004693C" w:rsidRDefault="0091644B" w:rsidP="001646EC">
      <w:pPr>
        <w:pStyle w:val="enumlev1"/>
        <w:rPr>
          <w:lang w:val="ar-SA" w:bidi="ar-EG"/>
        </w:rPr>
      </w:pPr>
      <w:r w:rsidRPr="001929AB">
        <w:rPr>
          <w:rFonts w:hint="cs"/>
          <w:rtl/>
          <w:lang w:val="fr-CH" w:bidi="ar-EG"/>
        </w:rPr>
        <w:t>-</w:t>
      </w:r>
      <w:r w:rsidR="0004693C" w:rsidRPr="001929AB">
        <w:rPr>
          <w:rtl/>
        </w:rPr>
        <w:tab/>
        <w:t>تحديث المراجع في قسم "</w:t>
      </w:r>
      <w:r w:rsidR="0004693C" w:rsidRPr="001929AB">
        <w:rPr>
          <w:i/>
          <w:iCs/>
          <w:rtl/>
        </w:rPr>
        <w:t>إذ تلاحظ</w:t>
      </w:r>
      <w:r w:rsidR="0004693C" w:rsidRPr="001929AB">
        <w:rPr>
          <w:rtl/>
        </w:rPr>
        <w:t xml:space="preserve">" وإضافة </w:t>
      </w:r>
      <w:r w:rsidR="0004693C" w:rsidRPr="001929AB">
        <w:rPr>
          <w:i/>
          <w:iCs/>
          <w:rtl/>
        </w:rPr>
        <w:t>فقرة جديدة في هذا القسم</w:t>
      </w:r>
      <w:r w:rsidR="0004693C" w:rsidRPr="001929AB">
        <w:rPr>
          <w:rtl/>
        </w:rPr>
        <w:t>؛</w:t>
      </w:r>
    </w:p>
    <w:p w14:paraId="5902ED33" w14:textId="4D83FF74" w:rsidR="0004693C" w:rsidRPr="0004693C" w:rsidRDefault="0091644B" w:rsidP="001646EC">
      <w:pPr>
        <w:pStyle w:val="enumlev1"/>
        <w:rPr>
          <w:lang w:val="ar-SA" w:bidi="ar-EG"/>
        </w:rPr>
      </w:pPr>
      <w:r>
        <w:rPr>
          <w:rFonts w:hint="cs"/>
          <w:rtl/>
          <w:lang w:val="fr-CH" w:bidi="ar-EG"/>
        </w:rPr>
        <w:t>-</w:t>
      </w:r>
      <w:r w:rsidR="0004693C" w:rsidRPr="0004693C">
        <w:rPr>
          <w:rtl/>
        </w:rPr>
        <w:tab/>
        <w:t xml:space="preserve">تحرير ودمج فقرات </w:t>
      </w:r>
      <w:r w:rsidR="0004693C" w:rsidRPr="002E1E4A">
        <w:rPr>
          <w:rtl/>
        </w:rPr>
        <w:t>"</w:t>
      </w:r>
      <w:r w:rsidR="0004693C" w:rsidRPr="009045D2">
        <w:rPr>
          <w:i/>
          <w:iCs/>
          <w:rtl/>
        </w:rPr>
        <w:t>توصي</w:t>
      </w:r>
      <w:r w:rsidR="0004693C" w:rsidRPr="002E1E4A">
        <w:rPr>
          <w:rtl/>
        </w:rPr>
        <w:t>"</w:t>
      </w:r>
      <w:r w:rsidR="0004693C" w:rsidRPr="0004693C">
        <w:rPr>
          <w:rtl/>
        </w:rPr>
        <w:t>؛</w:t>
      </w:r>
    </w:p>
    <w:p w14:paraId="60529138" w14:textId="5BEBDBD5" w:rsidR="0004693C" w:rsidRPr="0004693C" w:rsidRDefault="0091644B" w:rsidP="001646EC">
      <w:pPr>
        <w:pStyle w:val="enumlev1"/>
        <w:rPr>
          <w:lang w:val="ar-SA" w:bidi="ar-EG"/>
        </w:rPr>
      </w:pPr>
      <w:r>
        <w:rPr>
          <w:rFonts w:hint="cs"/>
          <w:rtl/>
          <w:lang w:val="fr-CH" w:bidi="ar-EG"/>
        </w:rPr>
        <w:t>-</w:t>
      </w:r>
      <w:r w:rsidR="0004693C" w:rsidRPr="0004693C">
        <w:rPr>
          <w:rtl/>
        </w:rPr>
        <w:tab/>
        <w:t>تحديث الجدول 1 ليعكس فقط ترددات التشغيل الأساسية؛</w:t>
      </w:r>
    </w:p>
    <w:p w14:paraId="54E79CC5" w14:textId="025D5A4B" w:rsidR="00D02121" w:rsidRDefault="0091644B" w:rsidP="001646EC">
      <w:pPr>
        <w:pStyle w:val="enumlev1"/>
        <w:rPr>
          <w:rtl/>
          <w:lang w:bidi="ar-EG"/>
        </w:rPr>
      </w:pPr>
      <w:r>
        <w:rPr>
          <w:rFonts w:hint="cs"/>
          <w:rtl/>
          <w:lang w:val="fr-CH" w:bidi="ar-EG"/>
        </w:rPr>
        <w:t>-</w:t>
      </w:r>
      <w:r w:rsidR="0004693C" w:rsidRPr="0004693C">
        <w:rPr>
          <w:rtl/>
        </w:rPr>
        <w:tab/>
        <w:t xml:space="preserve">تحديث الملاحظة في الجدول </w:t>
      </w:r>
      <w:r w:rsidR="0004693C" w:rsidRPr="0004693C">
        <w:t>1</w:t>
      </w:r>
      <w:r w:rsidR="0004693C" w:rsidRPr="0004693C">
        <w:rPr>
          <w:rtl/>
        </w:rPr>
        <w:t xml:space="preserve"> لتوضيح حماية خدمة الترددات المعيارية وإشارات التوقيت </w:t>
      </w:r>
      <w:r w:rsidR="0004693C" w:rsidRPr="0004693C">
        <w:t>‏(SFTSS)</w:t>
      </w:r>
      <w:r w:rsidR="0004693C" w:rsidRPr="0004693C">
        <w:rPr>
          <w:rtl/>
        </w:rPr>
        <w:t>.</w:t>
      </w:r>
    </w:p>
    <w:p w14:paraId="70F7F4E8" w14:textId="77777777" w:rsidR="003B5733" w:rsidRDefault="003B5733" w:rsidP="003B5733">
      <w:pPr>
        <w:spacing w:before="600"/>
        <w:jc w:val="center"/>
        <w:rPr>
          <w:lang w:bidi="ar-EG"/>
        </w:rPr>
      </w:pPr>
      <w:r w:rsidRPr="00AA6EF1">
        <w:rPr>
          <w:rFonts w:hint="cs"/>
          <w:rtl/>
          <w:lang w:bidi="ar-EG"/>
        </w:rPr>
        <w:t>ــــــــــــــــــــــــــــــــــــــــــــــــــــــــــــــــــــــــــــــــــــــــــــــــ</w:t>
      </w:r>
    </w:p>
    <w:sectPr w:rsidR="003B5733" w:rsidSect="006C3242">
      <w:headerReference w:type="default" r:id="rId12"/>
      <w:footerReference w:type="default" r:id="rId13"/>
      <w:headerReference w:type="first" r:id="rId14"/>
      <w:footerReference w:type="first" r:id="rId1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EA1D7D" w14:textId="77777777" w:rsidR="00FE1BDE" w:rsidRDefault="00FE1BDE" w:rsidP="006C3242">
      <w:pPr>
        <w:spacing w:before="0" w:line="240" w:lineRule="auto"/>
      </w:pPr>
      <w:r>
        <w:separator/>
      </w:r>
    </w:p>
  </w:endnote>
  <w:endnote w:type="continuationSeparator" w:id="0">
    <w:p w14:paraId="70D91B13" w14:textId="77777777" w:rsidR="00FE1BDE" w:rsidRDefault="00FE1BDE"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AC269" w14:textId="2BF45D06" w:rsidR="006C3242" w:rsidRPr="0026373E" w:rsidRDefault="006C3242" w:rsidP="00FE5872">
    <w:pPr>
      <w:pStyle w:val="Footer"/>
      <w:tabs>
        <w:tab w:val="clear" w:pos="4153"/>
        <w:tab w:val="clear" w:pos="8306"/>
        <w:tab w:val="center" w:pos="5103"/>
        <w:tab w:val="right" w:pos="9639"/>
      </w:tabs>
      <w:spacing w:before="120"/>
      <w:rPr>
        <w:sz w:val="16"/>
        <w:szCs w:val="16"/>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3BA11" w14:textId="77777777" w:rsidR="00FC09E8" w:rsidRPr="00FC09E8" w:rsidRDefault="00FC09E8" w:rsidP="00FC09E8">
    <w:pPr>
      <w:tabs>
        <w:tab w:val="clear" w:pos="794"/>
      </w:tabs>
      <w:bidi w:val="0"/>
      <w:spacing w:before="40" w:line="240" w:lineRule="auto"/>
      <w:ind w:left="-397" w:right="-397"/>
      <w:jc w:val="center"/>
      <w:rPr>
        <w:rFonts w:ascii="Calibri" w:eastAsia="Times New Roman" w:hAnsi="Calibri" w:cs="Calibri"/>
        <w:color w:val="4F81BD"/>
        <w:sz w:val="19"/>
        <w:szCs w:val="19"/>
        <w:lang w:val="fr-CH" w:eastAsia="en-US"/>
      </w:rPr>
    </w:pPr>
    <w:r w:rsidRPr="00FC09E8">
      <w:rPr>
        <w:rFonts w:ascii="Calibri" w:eastAsia="Times New Roman" w:hAnsi="Calibri" w:cs="Calibri"/>
        <w:color w:val="4F81BD"/>
        <w:sz w:val="19"/>
        <w:szCs w:val="19"/>
        <w:lang w:val="fr-CH" w:eastAsia="en-US"/>
      </w:rPr>
      <w:t xml:space="preserve">International </w:t>
    </w:r>
    <w:proofErr w:type="spellStart"/>
    <w:r w:rsidRPr="00FC09E8">
      <w:rPr>
        <w:rFonts w:ascii="Calibri" w:eastAsia="Times New Roman" w:hAnsi="Calibri" w:cs="Calibri"/>
        <w:color w:val="4F81BD"/>
        <w:sz w:val="19"/>
        <w:szCs w:val="19"/>
        <w:lang w:val="fr-CH" w:eastAsia="en-US"/>
      </w:rPr>
      <w:t>Telecommunication</w:t>
    </w:r>
    <w:proofErr w:type="spellEnd"/>
    <w:r w:rsidRPr="00FC09E8">
      <w:rPr>
        <w:rFonts w:ascii="Calibri" w:eastAsia="Times New Roman" w:hAnsi="Calibri" w:cs="Calibri"/>
        <w:color w:val="4F81BD"/>
        <w:sz w:val="19"/>
        <w:szCs w:val="19"/>
        <w:lang w:val="fr-CH" w:eastAsia="en-US"/>
      </w:rPr>
      <w:t xml:space="preserve"> Union • Place des Nations, CH</w:t>
    </w:r>
    <w:r w:rsidRPr="00FC09E8">
      <w:rPr>
        <w:rFonts w:ascii="Calibri" w:eastAsia="Times New Roman" w:hAnsi="Calibri" w:cs="Calibri"/>
        <w:color w:val="4F81BD"/>
        <w:sz w:val="19"/>
        <w:szCs w:val="19"/>
        <w:lang w:val="fr-CH" w:eastAsia="en-US"/>
      </w:rPr>
      <w:noBreakHyphen/>
      <w:t xml:space="preserve">1211 Geneva 20, </w:t>
    </w:r>
    <w:proofErr w:type="spellStart"/>
    <w:r w:rsidRPr="00FC09E8">
      <w:rPr>
        <w:rFonts w:ascii="Calibri" w:eastAsia="Times New Roman" w:hAnsi="Calibri" w:cs="Calibri"/>
        <w:color w:val="4F81BD"/>
        <w:sz w:val="19"/>
        <w:szCs w:val="19"/>
        <w:lang w:val="fr-CH" w:eastAsia="en-US"/>
      </w:rPr>
      <w:t>Switzerland</w:t>
    </w:r>
    <w:proofErr w:type="spellEnd"/>
    <w:r w:rsidRPr="00FC09E8">
      <w:rPr>
        <w:rFonts w:ascii="Calibri" w:eastAsia="Times New Roman" w:hAnsi="Calibri" w:cs="Calibri"/>
        <w:color w:val="4F81BD"/>
        <w:sz w:val="19"/>
        <w:szCs w:val="19"/>
        <w:lang w:val="fr-CH" w:eastAsia="en-US"/>
      </w:rPr>
      <w:t xml:space="preserve"> • </w:t>
    </w:r>
    <w:r w:rsidRPr="00FC09E8">
      <w:rPr>
        <w:rFonts w:ascii="Calibri" w:eastAsia="Times New Roman" w:hAnsi="Calibri" w:cs="Calibri"/>
        <w:color w:val="4F81BD"/>
        <w:sz w:val="19"/>
        <w:szCs w:val="19"/>
        <w:lang w:val="fr-CH" w:eastAsia="en-US"/>
      </w:rPr>
      <w:br/>
    </w:r>
    <w:proofErr w:type="gramStart"/>
    <w:r w:rsidRPr="00FC09E8">
      <w:rPr>
        <w:rFonts w:ascii="Calibri" w:eastAsia="Times New Roman" w:hAnsi="Calibri" w:cs="Calibri"/>
        <w:color w:val="4F81BD"/>
        <w:sz w:val="19"/>
        <w:szCs w:val="19"/>
        <w:lang w:val="fr-CH" w:eastAsia="en-US"/>
      </w:rPr>
      <w:t>Tel:</w:t>
    </w:r>
    <w:proofErr w:type="gramEnd"/>
    <w:r w:rsidRPr="00FC09E8">
      <w:rPr>
        <w:rFonts w:ascii="Calibri" w:eastAsia="Times New Roman" w:hAnsi="Calibri" w:cs="Calibri"/>
        <w:color w:val="4F81BD"/>
        <w:sz w:val="19"/>
        <w:szCs w:val="19"/>
        <w:lang w:val="fr-CH" w:eastAsia="en-US"/>
      </w:rPr>
      <w:t xml:space="preserve"> +41 22 730 5111 • </w:t>
    </w:r>
    <w:proofErr w:type="gramStart"/>
    <w:r w:rsidRPr="00FC09E8">
      <w:rPr>
        <w:rFonts w:ascii="Calibri" w:eastAsia="Times New Roman" w:hAnsi="Calibri" w:cs="Calibri"/>
        <w:color w:val="4F81BD"/>
        <w:sz w:val="19"/>
        <w:szCs w:val="19"/>
        <w:lang w:val="fr-CH" w:eastAsia="en-US"/>
      </w:rPr>
      <w:t>E-mail:</w:t>
    </w:r>
    <w:proofErr w:type="gramEnd"/>
    <w:r w:rsidRPr="00FC09E8">
      <w:rPr>
        <w:rFonts w:ascii="Calibri" w:eastAsia="Times New Roman" w:hAnsi="Calibri" w:cs="Calibri"/>
        <w:color w:val="4F81BD"/>
        <w:sz w:val="19"/>
        <w:szCs w:val="19"/>
        <w:lang w:val="fr-CH" w:eastAsia="en-US"/>
      </w:rPr>
      <w:t xml:space="preserve"> </w:t>
    </w:r>
    <w:hyperlink r:id="rId1" w:history="1">
      <w:r w:rsidRPr="00FC09E8">
        <w:rPr>
          <w:rFonts w:ascii="Calibri" w:eastAsia="Times New Roman" w:hAnsi="Calibri" w:cs="Calibri"/>
          <w:color w:val="0000FF"/>
          <w:sz w:val="19"/>
          <w:szCs w:val="19"/>
          <w:u w:val="single"/>
          <w:lang w:val="fr-CH" w:eastAsia="en-US"/>
        </w:rPr>
        <w:t>itumail@itu.int</w:t>
      </w:r>
    </w:hyperlink>
    <w:r w:rsidRPr="00FC09E8">
      <w:rPr>
        <w:rFonts w:ascii="Calibri" w:eastAsia="Times New Roman" w:hAnsi="Calibri" w:cs="Calibri"/>
        <w:color w:val="4F81BD"/>
        <w:sz w:val="19"/>
        <w:szCs w:val="19"/>
        <w:lang w:val="fr-CH" w:eastAsia="en-US"/>
      </w:rPr>
      <w:t xml:space="preserve">  • </w:t>
    </w:r>
    <w:proofErr w:type="gramStart"/>
    <w:r w:rsidRPr="00FC09E8">
      <w:rPr>
        <w:rFonts w:ascii="Calibri" w:eastAsia="Times New Roman" w:hAnsi="Calibri" w:cs="Calibri"/>
        <w:color w:val="3E8EDE"/>
        <w:sz w:val="18"/>
        <w:szCs w:val="18"/>
        <w:lang w:val="fr-CH" w:eastAsia="en-US"/>
      </w:rPr>
      <w:t>Fax:</w:t>
    </w:r>
    <w:proofErr w:type="gramEnd"/>
    <w:r w:rsidRPr="00FC09E8">
      <w:rPr>
        <w:rFonts w:ascii="Calibri" w:eastAsia="Times New Roman" w:hAnsi="Calibri" w:cs="Calibri"/>
        <w:color w:val="3E8EDE"/>
        <w:sz w:val="18"/>
        <w:szCs w:val="18"/>
        <w:lang w:val="fr-CH" w:eastAsia="en-US"/>
      </w:rPr>
      <w:t xml:space="preserve"> +41 22 733 7256 </w:t>
    </w:r>
    <w:r w:rsidRPr="00FC09E8">
      <w:rPr>
        <w:rFonts w:ascii="Calibri" w:eastAsia="Times New Roman" w:hAnsi="Calibri" w:cs="Calibri"/>
        <w:color w:val="4F81BD"/>
        <w:sz w:val="19"/>
        <w:szCs w:val="19"/>
        <w:lang w:val="fr-CH" w:eastAsia="en-US"/>
      </w:rPr>
      <w:t>• www.itu.int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269598" w14:textId="77777777" w:rsidR="00FE1BDE" w:rsidRDefault="00FE1BDE" w:rsidP="006C3242">
      <w:pPr>
        <w:spacing w:before="0" w:line="240" w:lineRule="auto"/>
      </w:pPr>
      <w:r>
        <w:separator/>
      </w:r>
    </w:p>
  </w:footnote>
  <w:footnote w:type="continuationSeparator" w:id="0">
    <w:p w14:paraId="432CCB61" w14:textId="77777777" w:rsidR="00FE1BDE" w:rsidRDefault="00FE1BDE"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01322" w14:textId="77777777" w:rsidR="00447F32" w:rsidRPr="00447F32" w:rsidRDefault="00F16820" w:rsidP="0026373E">
    <w:pPr>
      <w:pStyle w:val="Header"/>
      <w:bidi w:val="0"/>
      <w:spacing w:before="120" w:after="240" w:line="192" w:lineRule="auto"/>
      <w:jc w:val="center"/>
      <w:rPr>
        <w:rFonts w:cs="Calibri"/>
        <w:sz w:val="20"/>
        <w:szCs w:val="20"/>
      </w:rPr>
    </w:pPr>
    <w:r>
      <w:t xml:space="preserve">- </w:t>
    </w: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sdtContent>
    </w:sdt>
    <w:r>
      <w:rPr>
        <w:rFonts w:cs="Calibri"/>
        <w:noProof/>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4BD8E" w14:textId="77777777" w:rsidR="004C39C6" w:rsidRDefault="00B02BF4" w:rsidP="00B02BF4">
    <w:pPr>
      <w:pStyle w:val="Header"/>
      <w:spacing w:before="120"/>
      <w:jc w:val="center"/>
    </w:pPr>
    <w:r>
      <w:rPr>
        <w:noProof/>
        <w:lang w:val="en-GB" w:eastAsia="en-GB"/>
      </w:rPr>
      <w:drawing>
        <wp:inline distT="0" distB="0" distL="0" distR="0" wp14:anchorId="27167E5F" wp14:editId="24FACCC5">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01690970">
    <w:abstractNumId w:val="9"/>
  </w:num>
  <w:num w:numId="2" w16cid:durableId="811025633">
    <w:abstractNumId w:val="7"/>
  </w:num>
  <w:num w:numId="3" w16cid:durableId="1277058861">
    <w:abstractNumId w:val="6"/>
  </w:num>
  <w:num w:numId="4" w16cid:durableId="2097970484">
    <w:abstractNumId w:val="5"/>
  </w:num>
  <w:num w:numId="5" w16cid:durableId="965625990">
    <w:abstractNumId w:val="4"/>
  </w:num>
  <w:num w:numId="6" w16cid:durableId="1089816412">
    <w:abstractNumId w:val="8"/>
  </w:num>
  <w:num w:numId="7" w16cid:durableId="394012498">
    <w:abstractNumId w:val="3"/>
  </w:num>
  <w:num w:numId="8" w16cid:durableId="746345294">
    <w:abstractNumId w:val="2"/>
  </w:num>
  <w:num w:numId="9" w16cid:durableId="1696803635">
    <w:abstractNumId w:val="1"/>
  </w:num>
  <w:num w:numId="10" w16cid:durableId="2140490306">
    <w:abstractNumId w:val="0"/>
  </w:num>
  <w:num w:numId="11" w16cid:durableId="14001302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3CB"/>
    <w:rsid w:val="0004693C"/>
    <w:rsid w:val="0006468A"/>
    <w:rsid w:val="000902D7"/>
    <w:rsid w:val="00090574"/>
    <w:rsid w:val="000C1C0E"/>
    <w:rsid w:val="000C548A"/>
    <w:rsid w:val="000F7BBE"/>
    <w:rsid w:val="00150DB9"/>
    <w:rsid w:val="001646EC"/>
    <w:rsid w:val="001929AB"/>
    <w:rsid w:val="001C0169"/>
    <w:rsid w:val="001D1D50"/>
    <w:rsid w:val="001D6745"/>
    <w:rsid w:val="001E446E"/>
    <w:rsid w:val="00204D14"/>
    <w:rsid w:val="002154EE"/>
    <w:rsid w:val="002276D2"/>
    <w:rsid w:val="0023283D"/>
    <w:rsid w:val="0026373E"/>
    <w:rsid w:val="00271C43"/>
    <w:rsid w:val="00290728"/>
    <w:rsid w:val="002978F4"/>
    <w:rsid w:val="002B028D"/>
    <w:rsid w:val="002E1E4A"/>
    <w:rsid w:val="002E6541"/>
    <w:rsid w:val="00334924"/>
    <w:rsid w:val="003409BC"/>
    <w:rsid w:val="00343B06"/>
    <w:rsid w:val="00357185"/>
    <w:rsid w:val="003704CA"/>
    <w:rsid w:val="00383829"/>
    <w:rsid w:val="003B5733"/>
    <w:rsid w:val="003F4B29"/>
    <w:rsid w:val="004111FB"/>
    <w:rsid w:val="0042686F"/>
    <w:rsid w:val="004317D8"/>
    <w:rsid w:val="00434183"/>
    <w:rsid w:val="00443869"/>
    <w:rsid w:val="00447F32"/>
    <w:rsid w:val="004563AF"/>
    <w:rsid w:val="004C39C6"/>
    <w:rsid w:val="004E11DC"/>
    <w:rsid w:val="005033CB"/>
    <w:rsid w:val="00525DDD"/>
    <w:rsid w:val="005409AC"/>
    <w:rsid w:val="0055516A"/>
    <w:rsid w:val="00577B92"/>
    <w:rsid w:val="0058491B"/>
    <w:rsid w:val="00592EA5"/>
    <w:rsid w:val="005A1A62"/>
    <w:rsid w:val="005A3170"/>
    <w:rsid w:val="005C3178"/>
    <w:rsid w:val="00677396"/>
    <w:rsid w:val="0069200F"/>
    <w:rsid w:val="006A65CB"/>
    <w:rsid w:val="006C3242"/>
    <w:rsid w:val="006C7CC0"/>
    <w:rsid w:val="006D5CEB"/>
    <w:rsid w:val="006D65BA"/>
    <w:rsid w:val="006E5F73"/>
    <w:rsid w:val="006F63F7"/>
    <w:rsid w:val="007025C7"/>
    <w:rsid w:val="00706D7A"/>
    <w:rsid w:val="00722F0D"/>
    <w:rsid w:val="0074420E"/>
    <w:rsid w:val="00752D9D"/>
    <w:rsid w:val="007605BE"/>
    <w:rsid w:val="00761F19"/>
    <w:rsid w:val="00783E26"/>
    <w:rsid w:val="007A08A7"/>
    <w:rsid w:val="007A1910"/>
    <w:rsid w:val="007C3BC7"/>
    <w:rsid w:val="007C3BCD"/>
    <w:rsid w:val="007D4ACF"/>
    <w:rsid w:val="007F0787"/>
    <w:rsid w:val="00810B7B"/>
    <w:rsid w:val="0082358A"/>
    <w:rsid w:val="008235CD"/>
    <w:rsid w:val="008247DE"/>
    <w:rsid w:val="00840B10"/>
    <w:rsid w:val="0084263B"/>
    <w:rsid w:val="008513CB"/>
    <w:rsid w:val="008528F4"/>
    <w:rsid w:val="008A4A32"/>
    <w:rsid w:val="008A7F84"/>
    <w:rsid w:val="00903C5C"/>
    <w:rsid w:val="009045D2"/>
    <w:rsid w:val="0091644B"/>
    <w:rsid w:val="0091702E"/>
    <w:rsid w:val="00923B0C"/>
    <w:rsid w:val="0094021C"/>
    <w:rsid w:val="00952F86"/>
    <w:rsid w:val="00982B28"/>
    <w:rsid w:val="009C026E"/>
    <w:rsid w:val="009D313F"/>
    <w:rsid w:val="00A20A02"/>
    <w:rsid w:val="00A43752"/>
    <w:rsid w:val="00A47A5A"/>
    <w:rsid w:val="00A6683B"/>
    <w:rsid w:val="00A97F94"/>
    <w:rsid w:val="00AA7EA2"/>
    <w:rsid w:val="00B02BF4"/>
    <w:rsid w:val="00B03099"/>
    <w:rsid w:val="00B05BC8"/>
    <w:rsid w:val="00B1143A"/>
    <w:rsid w:val="00B64B47"/>
    <w:rsid w:val="00BD49AC"/>
    <w:rsid w:val="00C002DE"/>
    <w:rsid w:val="00C502CD"/>
    <w:rsid w:val="00C53BF8"/>
    <w:rsid w:val="00C66157"/>
    <w:rsid w:val="00C674FE"/>
    <w:rsid w:val="00C67501"/>
    <w:rsid w:val="00C75633"/>
    <w:rsid w:val="00CE2EE1"/>
    <w:rsid w:val="00CE3349"/>
    <w:rsid w:val="00CE36E5"/>
    <w:rsid w:val="00CF27F5"/>
    <w:rsid w:val="00CF3FFD"/>
    <w:rsid w:val="00D02121"/>
    <w:rsid w:val="00D10CCF"/>
    <w:rsid w:val="00D24991"/>
    <w:rsid w:val="00D37F70"/>
    <w:rsid w:val="00D56CA3"/>
    <w:rsid w:val="00D77D0F"/>
    <w:rsid w:val="00D837D9"/>
    <w:rsid w:val="00DA1CF0"/>
    <w:rsid w:val="00DC1E02"/>
    <w:rsid w:val="00DC24B4"/>
    <w:rsid w:val="00DC5FB0"/>
    <w:rsid w:val="00DE2A14"/>
    <w:rsid w:val="00DF16DC"/>
    <w:rsid w:val="00E45211"/>
    <w:rsid w:val="00E473C5"/>
    <w:rsid w:val="00E92863"/>
    <w:rsid w:val="00EB1128"/>
    <w:rsid w:val="00EB796D"/>
    <w:rsid w:val="00EC23A0"/>
    <w:rsid w:val="00F058DC"/>
    <w:rsid w:val="00F16820"/>
    <w:rsid w:val="00F24FC4"/>
    <w:rsid w:val="00F2676C"/>
    <w:rsid w:val="00F84366"/>
    <w:rsid w:val="00F85089"/>
    <w:rsid w:val="00F974C5"/>
    <w:rsid w:val="00FA6F46"/>
    <w:rsid w:val="00FC09E8"/>
    <w:rsid w:val="00FE1BDE"/>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9F848"/>
  <w15:chartTrackingRefBased/>
  <w15:docId w15:val="{1DF0D0E2-9FA0-44A3-93B9-AF2923AB8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910"/>
    <w:pPr>
      <w:tabs>
        <w:tab w:val="left" w:pos="794"/>
      </w:tabs>
      <w:bidi/>
      <w:spacing w:before="120" w:after="12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jc w:val="center"/>
    </w:pPr>
    <w:rPr>
      <w:sz w:val="26"/>
      <w:szCs w:val="26"/>
    </w:rPr>
  </w:style>
  <w:style w:type="paragraph" w:customStyle="1" w:styleId="Rectitle">
    <w:name w:val="Rec_title"/>
    <w:basedOn w:val="Normal"/>
    <w:qFormat/>
    <w:rsid w:val="002E1E4A"/>
    <w:pPr>
      <w:keepNext/>
      <w:keepLines/>
      <w:spacing w:before="240" w:after="24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jc w:val="center"/>
    </w:pPr>
    <w:rPr>
      <w:b/>
      <w:bCs/>
      <w:sz w:val="32"/>
      <w:szCs w:val="32"/>
    </w:rPr>
  </w:style>
  <w:style w:type="paragraph" w:customStyle="1" w:styleId="FigureNo">
    <w:name w:val="Figure No"/>
    <w:basedOn w:val="Normal"/>
    <w:qFormat/>
    <w:rsid w:val="00F974C5"/>
    <w:pPr>
      <w:keepNext/>
      <w:spacing w:before="24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16820"/>
    <w:pPr>
      <w:keepNext/>
      <w:spacing w:before="80" w:after="60" w:line="260" w:lineRule="exact"/>
      <w:jc w:val="center"/>
    </w:pPr>
    <w:rPr>
      <w:b/>
      <w:bCs/>
      <w:position w:val="2"/>
      <w:sz w:val="20"/>
      <w:szCs w:val="20"/>
    </w:rPr>
  </w:style>
  <w:style w:type="paragraph" w:customStyle="1" w:styleId="Tabletexte">
    <w:name w:val="Table texte"/>
    <w:basedOn w:val="Normal"/>
    <w:qFormat/>
    <w:rsid w:val="00F16820"/>
    <w:pPr>
      <w:spacing w:before="80" w:after="60" w:line="260" w:lineRule="exact"/>
    </w:pPr>
    <w:rPr>
      <w:position w:val="2"/>
      <w:sz w:val="20"/>
      <w:szCs w:val="20"/>
      <w:lang w:bidi="ar-SY"/>
    </w:rPr>
  </w:style>
  <w:style w:type="paragraph" w:customStyle="1" w:styleId="Title1">
    <w:name w:val="Title 1"/>
    <w:basedOn w:val="Normal"/>
    <w:qFormat/>
    <w:rsid w:val="007C3BCD"/>
    <w:pPr>
      <w:keepNext/>
      <w:spacing w:before="36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QuestionNoBR">
    <w:name w:val="Question_No_BR"/>
    <w:basedOn w:val="Normal"/>
    <w:qFormat/>
    <w:rsid w:val="00D02121"/>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80"/>
      <w:jc w:val="center"/>
    </w:pPr>
    <w:rPr>
      <w:rFonts w:ascii="Calibri" w:hAnsi="Calibri" w:cs="Traditional Arabic"/>
      <w:sz w:val="26"/>
      <w:szCs w:val="36"/>
    </w:rPr>
  </w:style>
  <w:style w:type="paragraph" w:customStyle="1" w:styleId="AnnexNotitle">
    <w:name w:val="Annex_No &amp; title"/>
    <w:basedOn w:val="Annextitle"/>
    <w:qFormat/>
    <w:rsid w:val="00D02121"/>
  </w:style>
  <w:style w:type="character" w:styleId="UnresolvedMention">
    <w:name w:val="Unresolved Mention"/>
    <w:basedOn w:val="DefaultParagraphFont"/>
    <w:uiPriority w:val="99"/>
    <w:semiHidden/>
    <w:unhideWhenUsed/>
    <w:rsid w:val="00EB1128"/>
    <w:rPr>
      <w:color w:val="605E5C"/>
      <w:shd w:val="clear" w:color="auto" w:fill="E1DFDD"/>
    </w:rPr>
  </w:style>
  <w:style w:type="character" w:styleId="FollowedHyperlink">
    <w:name w:val="FollowedHyperlink"/>
    <w:basedOn w:val="DefaultParagraphFont"/>
    <w:uiPriority w:val="99"/>
    <w:semiHidden/>
    <w:unhideWhenUsed/>
    <w:rsid w:val="009C026E"/>
    <w:rPr>
      <w:color w:val="954F72" w:themeColor="followedHyperlink"/>
      <w:u w:val="single"/>
    </w:rPr>
  </w:style>
  <w:style w:type="paragraph" w:styleId="Revision">
    <w:name w:val="Revision"/>
    <w:hidden/>
    <w:uiPriority w:val="99"/>
    <w:semiHidden/>
    <w:rsid w:val="00752D9D"/>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pub/R-RES-R.1-9-2023"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23-SG01-C/e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tu.int/ar/ITU-T/ipr/Pages/policy.aspx" TargetMode="External"/><Relationship Id="rId4" Type="http://schemas.openxmlformats.org/officeDocument/2006/relationships/settings" Target="settings.xml"/><Relationship Id="rId9" Type="http://schemas.openxmlformats.org/officeDocument/2006/relationships/hyperlink" Target="https://www.itu.int/pub/R-REC/ar"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Work\ITU\03%20Third%20Contract%20Work%20(05-05-2025%20---%2027-06-2025\06%20June\23\2501537A\Typing\PA_CACE%20Mode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F022A-36F3-42BF-A968-9669DBAEE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PA_CACE Model.dotx</Template>
  <TotalTime>3</TotalTime>
  <Pages>3</Pages>
  <Words>546</Words>
  <Characters>3003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PC-28</dc:creator>
  <cp:keywords/>
  <dc:description/>
  <cp:lastModifiedBy>Chamova, Alisa</cp:lastModifiedBy>
  <cp:revision>5</cp:revision>
  <dcterms:created xsi:type="dcterms:W3CDTF">2025-06-23T15:39:00Z</dcterms:created>
  <dcterms:modified xsi:type="dcterms:W3CDTF">2025-06-30T07:03:00Z</dcterms:modified>
</cp:coreProperties>
</file>