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527825D" w14:textId="77777777" w:rsidTr="00153E23">
        <w:tc>
          <w:tcPr>
            <w:tcW w:w="5000" w:type="pct"/>
            <w:gridSpan w:val="3"/>
            <w:shd w:val="clear" w:color="auto" w:fill="auto"/>
          </w:tcPr>
          <w:p w14:paraId="1A7E216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3D4C8C7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730BF21" w14:textId="77777777" w:rsidTr="00153E23">
        <w:tc>
          <w:tcPr>
            <w:tcW w:w="2707" w:type="pct"/>
            <w:gridSpan w:val="2"/>
            <w:shd w:val="clear" w:color="auto" w:fill="auto"/>
          </w:tcPr>
          <w:p w14:paraId="17C0FE3B" w14:textId="4339E575" w:rsidR="000F7BBE" w:rsidRPr="000F7BBE" w:rsidRDefault="000F7BBE" w:rsidP="0061538C">
            <w:pPr>
              <w:spacing w:before="0" w:after="0" w:line="300" w:lineRule="exact"/>
              <w:rPr>
                <w:position w:val="2"/>
                <w:lang w:bidi="ar-EG"/>
              </w:rPr>
            </w:pPr>
            <w:r w:rsidRPr="00556EC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1E5EC1B" w14:textId="4BFFFD95" w:rsidR="000F7BBE" w:rsidRPr="00A837DA" w:rsidRDefault="005C3F28" w:rsidP="0061538C">
            <w:pPr>
              <w:spacing w:before="0" w:after="0" w:line="300" w:lineRule="exact"/>
              <w:rPr>
                <w:position w:val="2"/>
                <w:rtl/>
                <w:lang w:bidi="ar-SY"/>
              </w:rPr>
            </w:pPr>
            <w:r w:rsidRPr="00D139D2">
              <w:rPr>
                <w:rFonts w:eastAsia="Times New Roman"/>
                <w:b/>
                <w:bCs/>
                <w:rtl/>
              </w:rPr>
              <w:t>CACE/1145</w:t>
            </w:r>
          </w:p>
        </w:tc>
        <w:tc>
          <w:tcPr>
            <w:tcW w:w="2293" w:type="pct"/>
            <w:shd w:val="clear" w:color="auto" w:fill="auto"/>
          </w:tcPr>
          <w:p w14:paraId="4C9FBD5F" w14:textId="4A8204EB" w:rsidR="000F7BBE" w:rsidRPr="001D4499" w:rsidRDefault="005C3F28" w:rsidP="00F16820">
            <w:pPr>
              <w:spacing w:before="80" w:after="60" w:line="300" w:lineRule="exact"/>
              <w:jc w:val="right"/>
              <w:rPr>
                <w:rtl/>
              </w:rPr>
            </w:pPr>
            <w:r w:rsidRPr="001D4499">
              <w:rPr>
                <w:rFonts w:eastAsia="Times New Roman"/>
                <w:rtl/>
              </w:rPr>
              <w:t>11 يونيو</w:t>
            </w:r>
            <w:r w:rsidR="000F7BBE" w:rsidRPr="001D4499">
              <w:rPr>
                <w:rFonts w:hint="cs"/>
                <w:rtl/>
                <w:lang w:bidi="ar-SY"/>
              </w:rPr>
              <w:t xml:space="preserve"> </w:t>
            </w:r>
            <w:r w:rsidR="00014A33" w:rsidRPr="001D4499">
              <w:rPr>
                <w:lang w:bidi="ar-EG"/>
              </w:rPr>
              <w:t>2025</w:t>
            </w:r>
          </w:p>
        </w:tc>
      </w:tr>
      <w:tr w:rsidR="000F7BBE" w:rsidRPr="000F7BBE" w14:paraId="53B2FEDD" w14:textId="77777777" w:rsidTr="00153E23">
        <w:tc>
          <w:tcPr>
            <w:tcW w:w="5000" w:type="pct"/>
            <w:gridSpan w:val="3"/>
            <w:shd w:val="clear" w:color="auto" w:fill="auto"/>
          </w:tcPr>
          <w:p w14:paraId="142111C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07B3712" w14:textId="77777777" w:rsidTr="00153E23">
        <w:tc>
          <w:tcPr>
            <w:tcW w:w="5000" w:type="pct"/>
            <w:gridSpan w:val="3"/>
            <w:shd w:val="clear" w:color="auto" w:fill="auto"/>
          </w:tcPr>
          <w:p w14:paraId="14E857C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B929792" w14:textId="77777777" w:rsidTr="00153E23">
        <w:tc>
          <w:tcPr>
            <w:tcW w:w="5000" w:type="pct"/>
            <w:gridSpan w:val="3"/>
            <w:shd w:val="clear" w:color="auto" w:fill="auto"/>
          </w:tcPr>
          <w:p w14:paraId="01FC6A9C" w14:textId="565B497D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56ECD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556ECD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556ECD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556ECD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556ECD">
              <w:rPr>
                <w:b/>
                <w:bCs/>
                <w:position w:val="2"/>
                <w:rtl/>
              </w:rPr>
              <w:t>المنتسبين إليه</w:t>
            </w:r>
            <w:r w:rsidRPr="00556ECD">
              <w:rPr>
                <w:b/>
                <w:bCs/>
                <w:position w:val="2"/>
                <w:rtl/>
              </w:rPr>
              <w:br/>
            </w:r>
            <w:r w:rsidRPr="00556ECD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C3F28" w:rsidRPr="00556ECD">
              <w:rPr>
                <w:b/>
                <w:bCs/>
                <w:position w:val="2"/>
                <w:lang w:val="en-GB" w:bidi="ar-EG"/>
              </w:rPr>
              <w:t>7</w:t>
            </w:r>
            <w:r w:rsidRPr="00556EC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56EC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85A71A2" w14:textId="77777777" w:rsidTr="00153E23">
        <w:tc>
          <w:tcPr>
            <w:tcW w:w="5000" w:type="pct"/>
            <w:gridSpan w:val="3"/>
            <w:shd w:val="clear" w:color="auto" w:fill="auto"/>
          </w:tcPr>
          <w:p w14:paraId="51CD9F05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18B262A" w14:textId="77777777" w:rsidTr="00153E23">
        <w:tc>
          <w:tcPr>
            <w:tcW w:w="5000" w:type="pct"/>
            <w:gridSpan w:val="3"/>
            <w:shd w:val="clear" w:color="auto" w:fill="auto"/>
          </w:tcPr>
          <w:p w14:paraId="20C6467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7184A5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24403A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64D1B2D" w14:textId="07E351D2" w:rsidR="000F7BBE" w:rsidRPr="000F7BBE" w:rsidRDefault="00556ECD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D139D2">
              <w:rPr>
                <w:rFonts w:eastAsia="Times New Roman"/>
                <w:b/>
                <w:bCs/>
                <w:rtl/>
              </w:rPr>
              <w:t xml:space="preserve">لجنة </w:t>
            </w:r>
            <w:r w:rsidRPr="003B6CA0">
              <w:rPr>
                <w:rFonts w:eastAsia="Times New Roman"/>
                <w:b/>
                <w:bCs/>
                <w:rtl/>
              </w:rPr>
              <w:t>الدراسات 7 بقطاع الاتصالات الراديوية</w:t>
            </w:r>
            <w:r w:rsidRPr="00D139D2">
              <w:rPr>
                <w:rFonts w:eastAsia="Times New Roman"/>
                <w:b/>
                <w:bCs/>
                <w:rtl/>
              </w:rPr>
              <w:t xml:space="preserve"> </w:t>
            </w:r>
            <w:r>
              <w:rPr>
                <w:rFonts w:eastAsia="Times New Roman" w:hint="cs"/>
                <w:b/>
                <w:bCs/>
                <w:rtl/>
                <w:lang w:bidi="ar-EG"/>
              </w:rPr>
              <w:t xml:space="preserve">بالاتحاد </w:t>
            </w:r>
            <w:r w:rsidRPr="00D139D2">
              <w:rPr>
                <w:rFonts w:eastAsia="Times New Roman"/>
                <w:b/>
                <w:bCs/>
                <w:rtl/>
              </w:rPr>
              <w:t>(الخدمات العلمية)</w:t>
            </w:r>
          </w:p>
        </w:tc>
      </w:tr>
      <w:tr w:rsidR="00FC09E8" w:rsidRPr="000F7BBE" w14:paraId="21B73CB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9E8D6E4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488DDF1" w14:textId="5F6D32AB" w:rsidR="00FC09E8" w:rsidRPr="00556ECD" w:rsidRDefault="00556ECD" w:rsidP="00556ECD">
            <w:pPr>
              <w:tabs>
                <w:tab w:val="clear" w:pos="794"/>
                <w:tab w:val="left" w:pos="385"/>
              </w:tabs>
              <w:spacing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556ECD">
              <w:rPr>
                <w:rFonts w:eastAsia="Times New Roman"/>
                <w:b/>
                <w:bCs/>
                <w:rtl/>
              </w:rPr>
              <w:t>-</w:t>
            </w:r>
            <w:r>
              <w:rPr>
                <w:rFonts w:eastAsia="Times New Roman"/>
                <w:b/>
                <w:bCs/>
                <w:rtl/>
              </w:rPr>
              <w:tab/>
            </w:r>
            <w:r w:rsidRPr="00556ECD">
              <w:rPr>
                <w:rFonts w:eastAsia="Times New Roman"/>
                <w:b/>
                <w:bCs/>
                <w:rtl/>
              </w:rPr>
              <w:t xml:space="preserve">اعتماد توصية جديدة وثلاث توصيات مراجعة قيد الإصدار عن قطاع الاتصالات الراديوية، والموافقة عليها، بالمراسلة في آن وفقاً للفقرة </w:t>
            </w:r>
            <w:r w:rsidR="0061538C">
              <w:rPr>
                <w:rFonts w:eastAsia="Times New Roman"/>
                <w:b/>
                <w:bCs/>
              </w:rPr>
              <w:t>4.2.6.A2</w:t>
            </w:r>
            <w:r w:rsidR="0061538C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556ECD">
              <w:rPr>
                <w:rFonts w:eastAsia="Times New Roman"/>
                <w:b/>
                <w:bCs/>
                <w:rtl/>
              </w:rPr>
              <w:t>من القرار ITU-R 1-9 (إجراءات الاعتماد والموافقة المتزامنين بالمراسلة)</w:t>
            </w:r>
          </w:p>
        </w:tc>
      </w:tr>
    </w:tbl>
    <w:p w14:paraId="22539463" w14:textId="60B51FBB" w:rsidR="00556ECD" w:rsidRPr="003B6CA0" w:rsidRDefault="00556ECD" w:rsidP="0061538C">
      <w:pPr>
        <w:spacing w:before="360"/>
        <w:rPr>
          <w:rtl/>
        </w:rPr>
      </w:pPr>
      <w:r w:rsidRPr="003B6CA0">
        <w:rPr>
          <w:rtl/>
        </w:rPr>
        <w:t xml:space="preserve">بموجب الرسالة الإدارية المعممة </w:t>
      </w:r>
      <w:hyperlink r:id="rId8" w:history="1">
        <w:r w:rsidRPr="003B6CA0">
          <w:rPr>
            <w:rStyle w:val="Hyperlink"/>
            <w:rtl/>
          </w:rPr>
          <w:t>CACE/1141</w:t>
        </w:r>
      </w:hyperlink>
      <w:r w:rsidRPr="003B6CA0">
        <w:rPr>
          <w:rtl/>
        </w:rPr>
        <w:t xml:space="preserve"> المؤرخة 4 أبريل 2025، قُدم مشروع توصية جديدة و3 مشاريع مراجعة لتوصيات بقطاع</w:t>
      </w:r>
      <w:r>
        <w:rPr>
          <w:rFonts w:hint="cs"/>
          <w:rtl/>
        </w:rPr>
        <w:t xml:space="preserve"> </w:t>
      </w:r>
      <w:r w:rsidRPr="003B6CA0">
        <w:rPr>
          <w:rtl/>
        </w:rPr>
        <w:t>الاتصالات الراديوية بالاتحاد لاعتمادها والموافقة عليها بالمراسلة (PSAA) في آن، وفقاً للإجراء الوارد في القرار ITUR 1</w:t>
      </w:r>
      <w:r w:rsidRPr="003B6CA0">
        <w:rPr>
          <w:rtl/>
        </w:rPr>
        <w:noBreakHyphen/>
        <w:t>9 (</w:t>
      </w:r>
      <w:r w:rsidRPr="0061538C">
        <w:rPr>
          <w:rtl/>
        </w:rPr>
        <w:t xml:space="preserve">الفقرة </w:t>
      </w:r>
      <w:r w:rsidR="0061538C" w:rsidRPr="0061538C">
        <w:t>4.2.6.A2</w:t>
      </w:r>
      <w:r w:rsidRPr="0061538C">
        <w:rPr>
          <w:rtl/>
        </w:rPr>
        <w:t>).</w:t>
      </w:r>
    </w:p>
    <w:p w14:paraId="0F8957E5" w14:textId="77777777" w:rsidR="00556ECD" w:rsidRPr="003B6CA0" w:rsidRDefault="00556ECD" w:rsidP="0061538C">
      <w:pPr>
        <w:rPr>
          <w:rtl/>
        </w:rPr>
      </w:pPr>
      <w:r w:rsidRPr="003B6CA0">
        <w:rPr>
          <w:rtl/>
        </w:rPr>
        <w:t>وقد استوفيت الشروط المنظمة لهذا الإجراء في 4 يونيو 2025.</w:t>
      </w:r>
    </w:p>
    <w:p w14:paraId="0DA13457" w14:textId="6AB85C74" w:rsidR="00F16820" w:rsidRDefault="00556ECD" w:rsidP="0061538C">
      <w:pPr>
        <w:rPr>
          <w:rtl/>
        </w:rPr>
      </w:pPr>
      <w:r w:rsidRPr="003B6CA0">
        <w:rPr>
          <w:rtl/>
        </w:rPr>
        <w:t>وسينشر الاتحاد التوصيات الموافق عليها، ويقدم ملحق هذه الرسالة المعممة عناوينها والأرقام المسندة</w:t>
      </w:r>
      <w:r>
        <w:rPr>
          <w:rFonts w:hint="cs"/>
          <w:rtl/>
        </w:rPr>
        <w:t xml:space="preserve"> </w:t>
      </w:r>
      <w:r w:rsidRPr="003B6CA0">
        <w:rPr>
          <w:rtl/>
        </w:rPr>
        <w:t>إليها</w:t>
      </w:r>
      <w:r w:rsidR="001D4499">
        <w:rPr>
          <w:rFonts w:hint="cs"/>
          <w:rtl/>
        </w:rPr>
        <w:t>.</w:t>
      </w:r>
    </w:p>
    <w:p w14:paraId="7C61AABE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9E0439E" w14:textId="77777777" w:rsidR="00F16820" w:rsidRDefault="00F16820" w:rsidP="00F77167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69943F6A" w14:textId="7751A26A" w:rsidR="00556ECD" w:rsidRDefault="00556ECD" w:rsidP="00F77167">
      <w:pPr>
        <w:spacing w:before="2400"/>
        <w:jc w:val="left"/>
        <w:rPr>
          <w:rtl/>
        </w:rPr>
      </w:pPr>
      <w:r w:rsidRPr="0061538C">
        <w:rPr>
          <w:b/>
          <w:bCs/>
          <w:rtl/>
        </w:rPr>
        <w:t>الملحق</w:t>
      </w:r>
      <w:r w:rsidRPr="003B6CA0">
        <w:rPr>
          <w:rtl/>
        </w:rPr>
        <w:t>: 1</w:t>
      </w:r>
    </w:p>
    <w:p w14:paraId="3B8EE355" w14:textId="77777777" w:rsidR="00FC09E8" w:rsidRDefault="00FC09E8" w:rsidP="00A7177B">
      <w:pPr>
        <w:rPr>
          <w:rtl/>
        </w:rPr>
      </w:pPr>
      <w:r>
        <w:rPr>
          <w:rtl/>
        </w:rPr>
        <w:br w:type="page"/>
      </w:r>
    </w:p>
    <w:p w14:paraId="435C5219" w14:textId="1E22E662" w:rsidR="00556ECD" w:rsidRPr="00556ECD" w:rsidRDefault="00556ECD" w:rsidP="00556ECD">
      <w:pPr>
        <w:pStyle w:val="AppendixNo"/>
        <w:rPr>
          <w:b/>
          <w:bCs/>
          <w:lang w:val="en-GB" w:bidi="ar-EG"/>
        </w:rPr>
      </w:pPr>
      <w:r w:rsidRPr="00556ECD">
        <w:rPr>
          <w:b/>
          <w:bCs/>
          <w:rtl/>
        </w:rPr>
        <w:lastRenderedPageBreak/>
        <w:t>الملحق</w:t>
      </w:r>
      <w:r w:rsidRPr="00556ECD">
        <w:rPr>
          <w:b/>
          <w:bCs/>
          <w:rtl/>
        </w:rPr>
        <w:br/>
      </w:r>
      <w:r w:rsidRPr="00556ECD">
        <w:rPr>
          <w:b/>
          <w:bCs/>
          <w:rtl/>
        </w:rPr>
        <w:br/>
        <w:t>توصيات قطاع الاتصالات الراديوية بالاتحاد الموافق عليها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556ECD" w:rsidRPr="00556ECD" w14:paraId="47B429C9" w14:textId="77777777" w:rsidTr="00BD29DC">
        <w:trPr>
          <w:jc w:val="center"/>
        </w:trPr>
        <w:tc>
          <w:tcPr>
            <w:tcW w:w="2377" w:type="dxa"/>
            <w:vAlign w:val="center"/>
          </w:tcPr>
          <w:p w14:paraId="47C65CDA" w14:textId="77777777" w:rsidR="00556ECD" w:rsidRPr="00556ECD" w:rsidRDefault="00556ECD" w:rsidP="0061538C">
            <w:pPr>
              <w:pStyle w:val="TableHead"/>
              <w:rPr>
                <w:lang w:val="en-GB" w:bidi="ar-EG"/>
              </w:rPr>
            </w:pPr>
            <w:r w:rsidRPr="00556ECD">
              <w:rPr>
                <w:rtl/>
              </w:rPr>
              <w:t>التوصية قيد الإصدار عن قطاع الاتصالات الراديوية بالاتحاد</w:t>
            </w:r>
          </w:p>
        </w:tc>
        <w:tc>
          <w:tcPr>
            <w:tcW w:w="5274" w:type="dxa"/>
            <w:vAlign w:val="center"/>
          </w:tcPr>
          <w:p w14:paraId="1FE4F3E2" w14:textId="77777777" w:rsidR="00556ECD" w:rsidRPr="00556ECD" w:rsidRDefault="00556ECD" w:rsidP="0061538C">
            <w:pPr>
              <w:pStyle w:val="TableHead"/>
              <w:rPr>
                <w:lang w:val="en-GB" w:bidi="ar-EG"/>
              </w:rPr>
            </w:pPr>
            <w:r w:rsidRPr="00556ECD">
              <w:rPr>
                <w:rtl/>
              </w:rPr>
              <w:t xml:space="preserve">العنوان </w:t>
            </w:r>
          </w:p>
        </w:tc>
        <w:tc>
          <w:tcPr>
            <w:tcW w:w="1842" w:type="dxa"/>
            <w:vAlign w:val="center"/>
          </w:tcPr>
          <w:p w14:paraId="2D6CF307" w14:textId="77777777" w:rsidR="00556ECD" w:rsidRPr="00556ECD" w:rsidRDefault="00556ECD" w:rsidP="0061538C">
            <w:pPr>
              <w:pStyle w:val="TableHead"/>
              <w:rPr>
                <w:lang w:val="en-GB" w:bidi="ar-EG"/>
              </w:rPr>
            </w:pPr>
            <w:r w:rsidRPr="00556ECD">
              <w:rPr>
                <w:rtl/>
              </w:rPr>
              <w:t>الوثيقة</w:t>
            </w:r>
          </w:p>
        </w:tc>
      </w:tr>
      <w:tr w:rsidR="00556ECD" w:rsidRPr="00556ECD" w14:paraId="77C767FE" w14:textId="77777777" w:rsidTr="00BD29DC">
        <w:trPr>
          <w:jc w:val="center"/>
        </w:trPr>
        <w:tc>
          <w:tcPr>
            <w:tcW w:w="2377" w:type="dxa"/>
            <w:vAlign w:val="center"/>
          </w:tcPr>
          <w:p w14:paraId="65B3E07B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rtl/>
              </w:rPr>
              <w:t>SA.2169-0</w:t>
            </w:r>
          </w:p>
        </w:tc>
        <w:tc>
          <w:tcPr>
            <w:tcW w:w="5274" w:type="dxa"/>
            <w:vAlign w:val="center"/>
          </w:tcPr>
          <w:p w14:paraId="40B7AE11" w14:textId="7FF4B350" w:rsidR="00556ECD" w:rsidRPr="001D4499" w:rsidRDefault="00556ECD" w:rsidP="0061538C">
            <w:pPr>
              <w:pStyle w:val="Tabletexte"/>
              <w:rPr>
                <w:spacing w:val="2"/>
                <w:lang w:val="en-GB" w:bidi="ar-EG"/>
              </w:rPr>
            </w:pPr>
            <w:r w:rsidRPr="001D4499">
              <w:rPr>
                <w:spacing w:val="2"/>
                <w:rtl/>
              </w:rPr>
              <w:t xml:space="preserve">الخصائص التقنية والتشغيلية لأنظمة خدمة العمليات الفضائية (SOS) التي تستخدم نطاقي الترددات </w:t>
            </w:r>
            <w:proofErr w:type="spellStart"/>
            <w:r w:rsidRPr="001D4499">
              <w:rPr>
                <w:spacing w:val="2"/>
                <w:rtl/>
              </w:rPr>
              <w:t>MHz</w:t>
            </w:r>
            <w:proofErr w:type="spellEnd"/>
            <w:r w:rsidRPr="001D4499">
              <w:rPr>
                <w:spacing w:val="2"/>
                <w:rtl/>
              </w:rPr>
              <w:t xml:space="preserve"> 2 110-2 025 (أرض-فضاء) (فضاء-فضاء) </w:t>
            </w:r>
            <w:proofErr w:type="spellStart"/>
            <w:r w:rsidRPr="001D4499">
              <w:rPr>
                <w:spacing w:val="2"/>
                <w:rtl/>
              </w:rPr>
              <w:t>وMHz</w:t>
            </w:r>
            <w:proofErr w:type="spellEnd"/>
            <w:r w:rsidRPr="001D4499">
              <w:rPr>
                <w:spacing w:val="2"/>
                <w:rtl/>
              </w:rPr>
              <w:t xml:space="preserve"> 2 290-2 200 (فضاء-أرض) (فضاء-فضاء) </w:t>
            </w:r>
            <w:r w:rsidRPr="001D4499">
              <w:rPr>
                <w:spacing w:val="2"/>
                <w:rtl/>
                <w:lang w:bidi="ar-EG"/>
              </w:rPr>
              <w:t>في</w:t>
            </w:r>
            <w:r w:rsidR="001D4499">
              <w:rPr>
                <w:rFonts w:hint="cs"/>
                <w:spacing w:val="2"/>
                <w:rtl/>
                <w:lang w:bidi="ar-EG"/>
              </w:rPr>
              <w:t> </w:t>
            </w:r>
            <w:r w:rsidRPr="001D4499">
              <w:rPr>
                <w:spacing w:val="2"/>
                <w:rtl/>
              </w:rPr>
              <w:t>تقييم التداخل وإجراء دراسات التقاسم</w:t>
            </w:r>
          </w:p>
        </w:tc>
        <w:tc>
          <w:tcPr>
            <w:tcW w:w="1842" w:type="dxa"/>
            <w:vAlign w:val="center"/>
          </w:tcPr>
          <w:p w14:paraId="619DA4C8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lang w:bidi="ar-EG"/>
              </w:rPr>
              <w:t>24(Rev.1)</w:t>
            </w:r>
          </w:p>
        </w:tc>
      </w:tr>
      <w:tr w:rsidR="00556ECD" w:rsidRPr="00556ECD" w14:paraId="7CD9BC8A" w14:textId="77777777" w:rsidTr="00BD29DC">
        <w:trPr>
          <w:jc w:val="center"/>
        </w:trPr>
        <w:tc>
          <w:tcPr>
            <w:tcW w:w="2377" w:type="dxa"/>
            <w:vAlign w:val="center"/>
          </w:tcPr>
          <w:p w14:paraId="37ED6539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rtl/>
              </w:rPr>
              <w:t>RS.1166-6</w:t>
            </w:r>
          </w:p>
        </w:tc>
        <w:tc>
          <w:tcPr>
            <w:tcW w:w="5274" w:type="dxa"/>
            <w:vAlign w:val="center"/>
          </w:tcPr>
          <w:p w14:paraId="29510F8E" w14:textId="77777777" w:rsidR="00556ECD" w:rsidRPr="00556ECD" w:rsidRDefault="00556ECD" w:rsidP="0061538C">
            <w:pPr>
              <w:pStyle w:val="Tabletexte"/>
              <w:rPr>
                <w:bCs/>
                <w:lang w:val="en-GB" w:bidi="ar-EG"/>
              </w:rPr>
            </w:pPr>
            <w:r w:rsidRPr="00556ECD">
              <w:rPr>
                <w:rtl/>
              </w:rPr>
              <w:t>معايير الأداء والتداخل لأجهزة الاستشعار النشطة المحمولة في الفضاء</w:t>
            </w:r>
          </w:p>
        </w:tc>
        <w:tc>
          <w:tcPr>
            <w:tcW w:w="1842" w:type="dxa"/>
            <w:vAlign w:val="center"/>
          </w:tcPr>
          <w:p w14:paraId="25CE77E1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lang w:bidi="ar-EG"/>
              </w:rPr>
              <w:t>22(Rev.1)</w:t>
            </w:r>
          </w:p>
        </w:tc>
      </w:tr>
      <w:tr w:rsidR="00556ECD" w:rsidRPr="00556ECD" w14:paraId="617FD68F" w14:textId="77777777" w:rsidTr="00BD29DC">
        <w:trPr>
          <w:jc w:val="center"/>
        </w:trPr>
        <w:tc>
          <w:tcPr>
            <w:tcW w:w="2377" w:type="dxa"/>
            <w:vAlign w:val="center"/>
          </w:tcPr>
          <w:p w14:paraId="4822F71D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rtl/>
              </w:rPr>
              <w:t>RS.2105-3</w:t>
            </w:r>
          </w:p>
        </w:tc>
        <w:tc>
          <w:tcPr>
            <w:tcW w:w="5274" w:type="dxa"/>
            <w:vAlign w:val="center"/>
          </w:tcPr>
          <w:p w14:paraId="006EEC7B" w14:textId="77777777" w:rsidR="00556ECD" w:rsidRPr="0061538C" w:rsidRDefault="00556ECD" w:rsidP="0061538C">
            <w:pPr>
              <w:pStyle w:val="Tabletexte"/>
              <w:rPr>
                <w:bCs/>
                <w:spacing w:val="-2"/>
                <w:lang w:val="en-GB" w:bidi="ar-EG"/>
              </w:rPr>
            </w:pPr>
            <w:r w:rsidRPr="0061538C">
              <w:rPr>
                <w:spacing w:val="-2"/>
                <w:rtl/>
              </w:rPr>
              <w:t xml:space="preserve">الخصائص التقنية والتشغيلية النمطية لأنظمة خدمة استكشاف الأرض الساتلية (النشطة) التي تستخدم توزيعات تمتد بين </w:t>
            </w:r>
            <w:proofErr w:type="spellStart"/>
            <w:r w:rsidRPr="0061538C">
              <w:rPr>
                <w:spacing w:val="-2"/>
                <w:rtl/>
              </w:rPr>
              <w:t>MHz</w:t>
            </w:r>
            <w:proofErr w:type="spellEnd"/>
            <w:r w:rsidRPr="0061538C">
              <w:rPr>
                <w:spacing w:val="-2"/>
                <w:rtl/>
              </w:rPr>
              <w:t xml:space="preserve"> 40 </w:t>
            </w:r>
            <w:proofErr w:type="spellStart"/>
            <w:r w:rsidRPr="0061538C">
              <w:rPr>
                <w:spacing w:val="-2"/>
                <w:rtl/>
              </w:rPr>
              <w:t>وGHz</w:t>
            </w:r>
            <w:proofErr w:type="spellEnd"/>
            <w:r w:rsidRPr="0061538C">
              <w:rPr>
                <w:spacing w:val="-2"/>
                <w:rtl/>
              </w:rPr>
              <w:t xml:space="preserve"> 238</w:t>
            </w:r>
          </w:p>
        </w:tc>
        <w:tc>
          <w:tcPr>
            <w:tcW w:w="1842" w:type="dxa"/>
            <w:vAlign w:val="center"/>
          </w:tcPr>
          <w:p w14:paraId="3A72CF19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lang w:bidi="ar-EG"/>
              </w:rPr>
              <w:t>23(Rev.1)</w:t>
            </w:r>
          </w:p>
        </w:tc>
      </w:tr>
      <w:tr w:rsidR="00556ECD" w:rsidRPr="00556ECD" w14:paraId="5E09322D" w14:textId="77777777" w:rsidTr="00BD29DC">
        <w:trPr>
          <w:jc w:val="center"/>
        </w:trPr>
        <w:tc>
          <w:tcPr>
            <w:tcW w:w="2377" w:type="dxa"/>
            <w:vAlign w:val="center"/>
          </w:tcPr>
          <w:p w14:paraId="00572783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rtl/>
              </w:rPr>
              <w:t>SA.2141-1</w:t>
            </w:r>
          </w:p>
        </w:tc>
        <w:tc>
          <w:tcPr>
            <w:tcW w:w="5274" w:type="dxa"/>
            <w:vAlign w:val="center"/>
          </w:tcPr>
          <w:p w14:paraId="2A936DDC" w14:textId="77777777" w:rsidR="00556ECD" w:rsidRPr="0061538C" w:rsidRDefault="00556ECD" w:rsidP="0061538C">
            <w:pPr>
              <w:pStyle w:val="Tabletexte"/>
              <w:rPr>
                <w:bCs/>
                <w:spacing w:val="-6"/>
                <w:lang w:val="en-GB" w:bidi="ar-EG"/>
              </w:rPr>
            </w:pPr>
            <w:r w:rsidRPr="0061538C">
              <w:rPr>
                <w:spacing w:val="-6"/>
                <w:rtl/>
              </w:rPr>
              <w:t xml:space="preserve">خصائص أنظمة خدمة الأبحاث الفضائية في مدى التردد </w:t>
            </w:r>
            <w:proofErr w:type="spellStart"/>
            <w:r w:rsidRPr="0061538C">
              <w:rPr>
                <w:spacing w:val="-6"/>
                <w:rtl/>
              </w:rPr>
              <w:t>GHz</w:t>
            </w:r>
            <w:proofErr w:type="spellEnd"/>
            <w:r w:rsidRPr="0061538C">
              <w:rPr>
                <w:spacing w:val="-6"/>
                <w:rtl/>
              </w:rPr>
              <w:t xml:space="preserve"> 15,35-14,8</w:t>
            </w:r>
          </w:p>
        </w:tc>
        <w:tc>
          <w:tcPr>
            <w:tcW w:w="1842" w:type="dxa"/>
            <w:vAlign w:val="center"/>
          </w:tcPr>
          <w:p w14:paraId="74EA5D46" w14:textId="77777777" w:rsidR="00556ECD" w:rsidRPr="00556ECD" w:rsidRDefault="00556ECD" w:rsidP="0061538C">
            <w:pPr>
              <w:pStyle w:val="Tabletexte"/>
              <w:jc w:val="center"/>
              <w:rPr>
                <w:lang w:val="en-GB" w:bidi="ar-EG"/>
              </w:rPr>
            </w:pPr>
            <w:r w:rsidRPr="00556ECD">
              <w:rPr>
                <w:lang w:bidi="ar-EG"/>
              </w:rPr>
              <w:t>25(Rev.1)</w:t>
            </w:r>
          </w:p>
        </w:tc>
      </w:tr>
    </w:tbl>
    <w:p w14:paraId="5E4B3455" w14:textId="77777777" w:rsidR="00BA4006" w:rsidRDefault="00BA4006" w:rsidP="00BA40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A4006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4DF2" w14:textId="77777777" w:rsidR="005C3F28" w:rsidRDefault="005C3F28" w:rsidP="006C3242">
      <w:pPr>
        <w:spacing w:before="0" w:line="240" w:lineRule="auto"/>
      </w:pPr>
      <w:r>
        <w:separator/>
      </w:r>
    </w:p>
  </w:endnote>
  <w:endnote w:type="continuationSeparator" w:id="0">
    <w:p w14:paraId="2B1BAA33" w14:textId="77777777" w:rsidR="005C3F28" w:rsidRDefault="005C3F2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78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5E77" w14:textId="77777777" w:rsidR="005C3F28" w:rsidRDefault="005C3F28" w:rsidP="006C3242">
      <w:pPr>
        <w:spacing w:before="0" w:line="240" w:lineRule="auto"/>
      </w:pPr>
      <w:r>
        <w:separator/>
      </w:r>
    </w:p>
  </w:footnote>
  <w:footnote w:type="continuationSeparator" w:id="0">
    <w:p w14:paraId="57D8A6E8" w14:textId="77777777" w:rsidR="005C3F28" w:rsidRDefault="005C3F2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10F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4CF4" w14:textId="77777777" w:rsidR="004C39C6" w:rsidRDefault="00583181" w:rsidP="00583181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2289CA92" wp14:editId="1B2D194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3CD3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F811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160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06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1CA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A44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0A8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BCA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4AD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2E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516262"/>
    <w:multiLevelType w:val="hybridMultilevel"/>
    <w:tmpl w:val="B40A55FC"/>
    <w:lvl w:ilvl="0" w:tplc="972E470A">
      <w:start w:val="11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  <w:num w:numId="12" w16cid:durableId="994601238">
    <w:abstractNumId w:val="11"/>
  </w:num>
  <w:num w:numId="13" w16cid:durableId="458651922">
    <w:abstractNumId w:val="8"/>
  </w:num>
  <w:num w:numId="14" w16cid:durableId="240723242">
    <w:abstractNumId w:val="3"/>
  </w:num>
  <w:num w:numId="15" w16cid:durableId="1634751731">
    <w:abstractNumId w:val="2"/>
  </w:num>
  <w:num w:numId="16" w16cid:durableId="455104558">
    <w:abstractNumId w:val="1"/>
  </w:num>
  <w:num w:numId="17" w16cid:durableId="1559248733">
    <w:abstractNumId w:val="0"/>
  </w:num>
  <w:num w:numId="18" w16cid:durableId="170922876">
    <w:abstractNumId w:val="8"/>
  </w:num>
  <w:num w:numId="19" w16cid:durableId="1045327767">
    <w:abstractNumId w:val="3"/>
  </w:num>
  <w:num w:numId="20" w16cid:durableId="424889658">
    <w:abstractNumId w:val="2"/>
  </w:num>
  <w:num w:numId="21" w16cid:durableId="1975717520">
    <w:abstractNumId w:val="1"/>
  </w:num>
  <w:num w:numId="22" w16cid:durableId="404108979">
    <w:abstractNumId w:val="0"/>
  </w:num>
  <w:num w:numId="23" w16cid:durableId="800271848">
    <w:abstractNumId w:val="8"/>
  </w:num>
  <w:num w:numId="24" w16cid:durableId="1461653868">
    <w:abstractNumId w:val="3"/>
  </w:num>
  <w:num w:numId="25" w16cid:durableId="598948488">
    <w:abstractNumId w:val="2"/>
  </w:num>
  <w:num w:numId="26" w16cid:durableId="1586108934">
    <w:abstractNumId w:val="1"/>
  </w:num>
  <w:num w:numId="27" w16cid:durableId="837430718">
    <w:abstractNumId w:val="0"/>
  </w:num>
  <w:num w:numId="28" w16cid:durableId="579096332">
    <w:abstractNumId w:val="8"/>
  </w:num>
  <w:num w:numId="29" w16cid:durableId="484443992">
    <w:abstractNumId w:val="3"/>
  </w:num>
  <w:num w:numId="30" w16cid:durableId="157813357">
    <w:abstractNumId w:val="2"/>
  </w:num>
  <w:num w:numId="31" w16cid:durableId="307980230">
    <w:abstractNumId w:val="1"/>
  </w:num>
  <w:num w:numId="32" w16cid:durableId="969164127">
    <w:abstractNumId w:val="0"/>
  </w:num>
  <w:num w:numId="33" w16cid:durableId="443960947">
    <w:abstractNumId w:val="8"/>
  </w:num>
  <w:num w:numId="34" w16cid:durableId="1500273848">
    <w:abstractNumId w:val="3"/>
  </w:num>
  <w:num w:numId="35" w16cid:durableId="1853912696">
    <w:abstractNumId w:val="2"/>
  </w:num>
  <w:num w:numId="36" w16cid:durableId="68237095">
    <w:abstractNumId w:val="1"/>
  </w:num>
  <w:num w:numId="37" w16cid:durableId="1755937532">
    <w:abstractNumId w:val="0"/>
  </w:num>
  <w:num w:numId="38" w16cid:durableId="798690307">
    <w:abstractNumId w:val="8"/>
  </w:num>
  <w:num w:numId="39" w16cid:durableId="1391077708">
    <w:abstractNumId w:val="3"/>
  </w:num>
  <w:num w:numId="40" w16cid:durableId="1314337408">
    <w:abstractNumId w:val="2"/>
  </w:num>
  <w:num w:numId="41" w16cid:durableId="272515391">
    <w:abstractNumId w:val="1"/>
  </w:num>
  <w:num w:numId="42" w16cid:durableId="113502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28"/>
    <w:rsid w:val="00014A33"/>
    <w:rsid w:val="0006468A"/>
    <w:rsid w:val="000677D7"/>
    <w:rsid w:val="00090574"/>
    <w:rsid w:val="000952FD"/>
    <w:rsid w:val="000C1C0E"/>
    <w:rsid w:val="000C548A"/>
    <w:rsid w:val="000F7BBE"/>
    <w:rsid w:val="00150DB9"/>
    <w:rsid w:val="001C0169"/>
    <w:rsid w:val="001D1D50"/>
    <w:rsid w:val="001D4499"/>
    <w:rsid w:val="001D6745"/>
    <w:rsid w:val="001E446E"/>
    <w:rsid w:val="002042A6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057AB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56ECD"/>
    <w:rsid w:val="00583181"/>
    <w:rsid w:val="0058491B"/>
    <w:rsid w:val="00592EA5"/>
    <w:rsid w:val="005A3170"/>
    <w:rsid w:val="005C3F28"/>
    <w:rsid w:val="0061538C"/>
    <w:rsid w:val="00677396"/>
    <w:rsid w:val="0069200F"/>
    <w:rsid w:val="006A65CB"/>
    <w:rsid w:val="006C3242"/>
    <w:rsid w:val="006C7CC0"/>
    <w:rsid w:val="006E5F73"/>
    <w:rsid w:val="006F1A7F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7177B"/>
    <w:rsid w:val="00A837DA"/>
    <w:rsid w:val="00A97F94"/>
    <w:rsid w:val="00AA7EA2"/>
    <w:rsid w:val="00B03099"/>
    <w:rsid w:val="00B05BC8"/>
    <w:rsid w:val="00B1143A"/>
    <w:rsid w:val="00B64B47"/>
    <w:rsid w:val="00B74B14"/>
    <w:rsid w:val="00BA4006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202B"/>
    <w:rsid w:val="00EB796D"/>
    <w:rsid w:val="00F058DC"/>
    <w:rsid w:val="00F16820"/>
    <w:rsid w:val="00F24FC4"/>
    <w:rsid w:val="00F2676C"/>
    <w:rsid w:val="00F43A5A"/>
    <w:rsid w:val="00F77167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D7BC8"/>
  <w15:chartTrackingRefBased/>
  <w15:docId w15:val="{781397F9-9BDF-4DB0-B0AA-B137A94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A6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2042A6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042A6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042A6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paragraph" w:customStyle="1" w:styleId="Normalaftertitle0">
    <w:name w:val="Normal_after_title"/>
    <w:basedOn w:val="Normal"/>
    <w:next w:val="Normal"/>
    <w:link w:val="NormalaftertitleChar"/>
    <w:uiPriority w:val="99"/>
    <w:rsid w:val="00556EC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00" w:after="0" w:line="280" w:lineRule="exact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customStyle="1" w:styleId="NormalaftertitleChar">
    <w:name w:val="Normal_after_title Char"/>
    <w:basedOn w:val="DefaultParagraphFont"/>
    <w:link w:val="Normalaftertitle0"/>
    <w:uiPriority w:val="99"/>
    <w:rsid w:val="00556ECD"/>
    <w:rPr>
      <w:rFonts w:ascii="Calibri" w:eastAsia="Times New Roman" w:hAnsi="Calibri" w:cs="Calibri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5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5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Chamova, Alisa</cp:lastModifiedBy>
  <cp:revision>4</cp:revision>
  <dcterms:created xsi:type="dcterms:W3CDTF">2025-06-09T07:01:00Z</dcterms:created>
  <dcterms:modified xsi:type="dcterms:W3CDTF">2025-06-09T07:31:00Z</dcterms:modified>
</cp:coreProperties>
</file>