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F2B8C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845B8F" w14:textId="51B777AB" w:rsidR="008E38B4" w:rsidRPr="000F2B8C" w:rsidRDefault="008E38B4" w:rsidP="005034EB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0F2B8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0F2B8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34B93C7D" w14:textId="77777777" w:rsidR="008E38B4" w:rsidRPr="000F2B8C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0F2B8C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0F2B8C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0F2B8C">
              <w:rPr>
                <w:szCs w:val="24"/>
                <w:lang w:val="en-GB"/>
              </w:rPr>
              <w:t>Administrative Circular</w:t>
            </w:r>
          </w:p>
          <w:p w14:paraId="2475C660" w14:textId="5B13C86B" w:rsidR="00651777" w:rsidRPr="000F2B8C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0F2B8C">
              <w:rPr>
                <w:b/>
                <w:bCs/>
                <w:szCs w:val="24"/>
                <w:lang w:val="en-GB"/>
              </w:rPr>
              <w:t>CACE</w:t>
            </w:r>
            <w:r w:rsidR="00D74BDE" w:rsidRPr="000F2B8C">
              <w:rPr>
                <w:b/>
                <w:bCs/>
                <w:szCs w:val="24"/>
                <w:lang w:val="en-GB"/>
              </w:rPr>
              <w:t>/</w:t>
            </w:r>
            <w:r w:rsidR="00F80AB0" w:rsidRPr="000F2B8C">
              <w:rPr>
                <w:b/>
                <w:bCs/>
                <w:szCs w:val="24"/>
                <w:lang w:val="en-GB"/>
              </w:rPr>
              <w:t>1134</w:t>
            </w:r>
          </w:p>
        </w:tc>
        <w:tc>
          <w:tcPr>
            <w:tcW w:w="2835" w:type="dxa"/>
            <w:shd w:val="clear" w:color="auto" w:fill="auto"/>
          </w:tcPr>
          <w:p w14:paraId="55482518" w14:textId="42B4206A" w:rsidR="00651777" w:rsidRPr="000F2B8C" w:rsidRDefault="00F80AB0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0F2B8C">
              <w:rPr>
                <w:rFonts w:cs="Arial"/>
                <w:szCs w:val="24"/>
                <w:lang w:val="en-GB"/>
              </w:rPr>
              <w:t>1</w:t>
            </w:r>
            <w:r w:rsidR="00991AFF">
              <w:rPr>
                <w:rFonts w:cs="Arial"/>
                <w:szCs w:val="24"/>
                <w:lang w:val="en-GB"/>
              </w:rPr>
              <w:t>1</w:t>
            </w:r>
            <w:r w:rsidRPr="000F2B8C">
              <w:rPr>
                <w:rFonts w:cs="Arial"/>
                <w:szCs w:val="24"/>
                <w:lang w:val="en-GB"/>
              </w:rPr>
              <w:t xml:space="preserve"> February 2025</w:t>
            </w:r>
          </w:p>
        </w:tc>
      </w:tr>
      <w:tr w:rsidR="0037309C" w:rsidRPr="000F2B8C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0F2B8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0F2B8C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0F2B8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0F2B8C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F27E2F" w14:textId="13485AF5" w:rsidR="00DC7E87" w:rsidRPr="000F2B8C" w:rsidRDefault="00DC7E87" w:rsidP="00BC3D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0F2B8C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0F2B8C">
              <w:rPr>
                <w:b/>
                <w:lang w:val="en-GB"/>
              </w:rPr>
              <w:t>Radiocommunication Sector Members, ITU</w:t>
            </w:r>
            <w:r w:rsidRPr="000F2B8C">
              <w:rPr>
                <w:b/>
                <w:lang w:val="en-GB"/>
              </w:rPr>
              <w:noBreakHyphen/>
              <w:t xml:space="preserve">R Associates </w:t>
            </w:r>
            <w:r w:rsidR="00BC3D48" w:rsidRPr="000F2B8C">
              <w:rPr>
                <w:b/>
                <w:lang w:val="en-GB"/>
              </w:rPr>
              <w:t xml:space="preserve">and ITU Academia </w:t>
            </w:r>
            <w:r w:rsidRPr="000F2B8C">
              <w:rPr>
                <w:b/>
                <w:lang w:val="en-GB"/>
              </w:rPr>
              <w:t xml:space="preserve">participating in the work of Radiocommunication Study Group </w:t>
            </w:r>
            <w:r w:rsidR="00F80AB0" w:rsidRPr="000F2B8C">
              <w:rPr>
                <w:b/>
                <w:lang w:val="en-GB"/>
              </w:rPr>
              <w:t>6</w:t>
            </w:r>
          </w:p>
        </w:tc>
      </w:tr>
      <w:tr w:rsidR="0037309C" w:rsidRPr="000F2B8C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0F2B8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5034EB" w:rsidRPr="000F2B8C" w14:paraId="1BDF7C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E51EE8" w14:textId="77777777" w:rsidR="005034EB" w:rsidRPr="000F2B8C" w:rsidRDefault="005034EB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0F2B8C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0F2B8C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0F2B8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48897533" w:rsidR="00DC7E87" w:rsidRPr="000F2B8C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0F2B8C">
              <w:rPr>
                <w:b/>
                <w:bCs/>
                <w:lang w:val="en-GB"/>
              </w:rPr>
              <w:t xml:space="preserve">Radiocommunication Study Group </w:t>
            </w:r>
            <w:r w:rsidR="00F80AB0" w:rsidRPr="000F2B8C">
              <w:rPr>
                <w:b/>
                <w:bCs/>
                <w:lang w:val="en-GB"/>
              </w:rPr>
              <w:t>6 (Broadcasting Service)</w:t>
            </w:r>
          </w:p>
          <w:p w14:paraId="56D4B159" w14:textId="3124D06E" w:rsidR="00D74BDE" w:rsidRPr="000F2B8C" w:rsidRDefault="00DC7E87" w:rsidP="00F80AB0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0F2B8C">
              <w:rPr>
                <w:rFonts w:asciiTheme="minorHAnsi" w:hAnsiTheme="minorHAnsi" w:cstheme="minorHAnsi"/>
                <w:b/>
                <w:bCs/>
              </w:rPr>
              <w:t>–</w:t>
            </w:r>
            <w:r w:rsidRPr="000F2B8C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80AB0" w:rsidRPr="000F2B8C">
              <w:rPr>
                <w:rFonts w:asciiTheme="minorHAnsi" w:hAnsiTheme="minorHAnsi" w:cstheme="minorHAnsi"/>
                <w:b/>
                <w:bCs/>
              </w:rPr>
              <w:t>2</w:t>
            </w:r>
            <w:r w:rsidRPr="000F2B8C">
              <w:rPr>
                <w:rFonts w:asciiTheme="minorHAnsi" w:hAnsiTheme="minorHAnsi" w:cstheme="minorHAnsi"/>
                <w:b/>
                <w:bCs/>
              </w:rPr>
              <w:t xml:space="preserve"> new and </w:t>
            </w:r>
            <w:r w:rsidR="00F80AB0" w:rsidRPr="000F2B8C">
              <w:rPr>
                <w:rFonts w:asciiTheme="minorHAnsi" w:hAnsiTheme="minorHAnsi" w:cstheme="minorHAnsi"/>
                <w:b/>
                <w:bCs/>
              </w:rPr>
              <w:t>4</w:t>
            </w:r>
            <w:r w:rsidRPr="000F2B8C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D74BDE" w:rsidRPr="000F2B8C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0F2B8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0F2B8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0F2B8C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0F2B8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0F2B8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0F2B8C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0F2B8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46D7139F" w:rsidR="00DC7E87" w:rsidRPr="000F2B8C" w:rsidRDefault="00DC7E87" w:rsidP="0014286E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0F2B8C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="006E159B" w:rsidRPr="006E159B">
          <w:rPr>
            <w:rStyle w:val="Hyperlink"/>
            <w:rFonts w:asciiTheme="minorHAnsi" w:hAnsiTheme="minorHAnsi" w:cstheme="minorHAnsi"/>
          </w:rPr>
          <w:t>CACE/1124</w:t>
        </w:r>
      </w:hyperlink>
      <w:r w:rsidR="00F80AB0" w:rsidRPr="000F2B8C">
        <w:rPr>
          <w:rFonts w:asciiTheme="minorHAnsi" w:hAnsiTheme="minorHAnsi" w:cstheme="minorHAnsi"/>
        </w:rPr>
        <w:t xml:space="preserve"> </w:t>
      </w:r>
      <w:r w:rsidRPr="000F2B8C">
        <w:rPr>
          <w:rFonts w:asciiTheme="minorHAnsi" w:hAnsiTheme="minorHAnsi" w:cstheme="minorHAnsi"/>
        </w:rPr>
        <w:t xml:space="preserve">dated </w:t>
      </w:r>
      <w:r w:rsidR="00F80AB0" w:rsidRPr="000F2B8C">
        <w:rPr>
          <w:rFonts w:asciiTheme="minorHAnsi" w:hAnsiTheme="minorHAnsi" w:cstheme="minorHAnsi"/>
        </w:rPr>
        <w:t>4 December 2024</w:t>
      </w:r>
      <w:r w:rsidRPr="000F2B8C">
        <w:rPr>
          <w:rFonts w:asciiTheme="minorHAnsi" w:hAnsiTheme="minorHAnsi" w:cstheme="minorHAnsi"/>
        </w:rPr>
        <w:t xml:space="preserve">, </w:t>
      </w:r>
      <w:r w:rsidR="00F80AB0" w:rsidRPr="000F2B8C">
        <w:rPr>
          <w:rFonts w:asciiTheme="minorHAnsi" w:hAnsiTheme="minorHAnsi" w:cstheme="minorHAnsi"/>
        </w:rPr>
        <w:t>2</w:t>
      </w:r>
      <w:r w:rsidRPr="000F2B8C">
        <w:rPr>
          <w:rFonts w:asciiTheme="minorHAnsi" w:hAnsiTheme="minorHAnsi" w:cstheme="minorHAnsi"/>
        </w:rPr>
        <w:t xml:space="preserve"> draft new and </w:t>
      </w:r>
      <w:r w:rsidR="00F80AB0" w:rsidRPr="000F2B8C">
        <w:rPr>
          <w:rFonts w:asciiTheme="minorHAnsi" w:hAnsiTheme="minorHAnsi" w:cstheme="minorHAnsi"/>
        </w:rPr>
        <w:t>4 </w:t>
      </w:r>
      <w:r w:rsidRPr="000F2B8C">
        <w:rPr>
          <w:rFonts w:asciiTheme="minorHAnsi" w:hAnsiTheme="minorHAnsi" w:cstheme="minorHAnsi"/>
        </w:rPr>
        <w:t>draft revised</w:t>
      </w:r>
      <w:r w:rsidR="006B40EE" w:rsidRPr="000F2B8C">
        <w:rPr>
          <w:rFonts w:asciiTheme="minorHAnsi" w:hAnsiTheme="minorHAnsi" w:cstheme="minorHAnsi"/>
        </w:rPr>
        <w:t xml:space="preserve"> ITU</w:t>
      </w:r>
      <w:r w:rsidR="006B40EE" w:rsidRPr="000F2B8C">
        <w:rPr>
          <w:rFonts w:asciiTheme="minorHAnsi" w:hAnsiTheme="minorHAnsi" w:cstheme="minorHAnsi"/>
        </w:rPr>
        <w:noBreakHyphen/>
      </w:r>
      <w:r w:rsidRPr="000F2B8C">
        <w:rPr>
          <w:rFonts w:asciiTheme="minorHAnsi" w:hAnsiTheme="minorHAnsi" w:cstheme="minorHAnsi"/>
        </w:rPr>
        <w:t>R Recommendations were submitted for approval following the procedure of Resolution ITU</w:t>
      </w:r>
      <w:r w:rsidRPr="000F2B8C">
        <w:rPr>
          <w:rFonts w:asciiTheme="minorHAnsi" w:hAnsiTheme="minorHAnsi" w:cstheme="minorHAnsi"/>
        </w:rPr>
        <w:noBreakHyphen/>
        <w:t>R 1-</w:t>
      </w:r>
      <w:r w:rsidR="007864D8" w:rsidRPr="000F2B8C">
        <w:rPr>
          <w:rFonts w:asciiTheme="minorHAnsi" w:hAnsiTheme="minorHAnsi" w:cstheme="minorHAnsi"/>
        </w:rPr>
        <w:t>9</w:t>
      </w:r>
      <w:r w:rsidRPr="000F2B8C">
        <w:rPr>
          <w:rFonts w:asciiTheme="minorHAnsi" w:hAnsiTheme="minorHAnsi" w:cstheme="minorHAnsi"/>
        </w:rPr>
        <w:t xml:space="preserve"> (§ A2.6.2.3). </w:t>
      </w:r>
    </w:p>
    <w:p w14:paraId="02342B07" w14:textId="6FF418A5" w:rsidR="00DC7E87" w:rsidRPr="000F2B8C" w:rsidRDefault="00DC7E87" w:rsidP="00DC7E87">
      <w:pPr>
        <w:rPr>
          <w:rFonts w:asciiTheme="minorHAnsi" w:hAnsiTheme="minorHAnsi" w:cstheme="minorHAnsi"/>
          <w:lang w:val="en-GB"/>
        </w:rPr>
      </w:pPr>
      <w:r w:rsidRPr="000F2B8C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F80AB0" w:rsidRPr="000F2B8C">
        <w:rPr>
          <w:rFonts w:asciiTheme="minorHAnsi" w:hAnsiTheme="minorHAnsi" w:cstheme="minorHAnsi"/>
          <w:lang w:val="en-GB"/>
        </w:rPr>
        <w:t xml:space="preserve">4 </w:t>
      </w:r>
      <w:r w:rsidR="005F3475" w:rsidRPr="000F2B8C">
        <w:rPr>
          <w:rFonts w:asciiTheme="minorHAnsi" w:hAnsiTheme="minorHAnsi" w:cstheme="minorHAnsi"/>
          <w:lang w:val="en-GB"/>
        </w:rPr>
        <w:t>February</w:t>
      </w:r>
      <w:r w:rsidR="00F80AB0" w:rsidRPr="000F2B8C">
        <w:rPr>
          <w:rFonts w:asciiTheme="minorHAnsi" w:hAnsiTheme="minorHAnsi" w:cstheme="minorHAnsi"/>
          <w:lang w:val="en-GB"/>
        </w:rPr>
        <w:t xml:space="preserve"> 2025</w:t>
      </w:r>
      <w:r w:rsidRPr="000F2B8C">
        <w:rPr>
          <w:rFonts w:asciiTheme="minorHAnsi" w:hAnsiTheme="minorHAnsi" w:cstheme="minorHAnsi"/>
          <w:lang w:val="en-GB"/>
        </w:rPr>
        <w:t>.</w:t>
      </w:r>
    </w:p>
    <w:p w14:paraId="266363F7" w14:textId="35D8BCAD" w:rsidR="00DC7E87" w:rsidRPr="000F2B8C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0F2B8C">
        <w:rPr>
          <w:rFonts w:asciiTheme="minorHAnsi" w:hAnsiTheme="minorHAnsi" w:cstheme="minorHAnsi"/>
          <w:lang w:val="en-GB"/>
        </w:rPr>
        <w:t>The approved Recommendations will be published by ITU and the Annex</w:t>
      </w:r>
      <w:r w:rsidR="00405092" w:rsidRPr="000F2B8C">
        <w:rPr>
          <w:rFonts w:asciiTheme="minorHAnsi" w:hAnsiTheme="minorHAnsi" w:cstheme="minorHAnsi"/>
          <w:lang w:val="en-GB"/>
        </w:rPr>
        <w:t xml:space="preserve"> to this Circular </w:t>
      </w:r>
      <w:r w:rsidRPr="000F2B8C">
        <w:rPr>
          <w:rFonts w:asciiTheme="minorHAnsi" w:hAnsiTheme="minorHAnsi" w:cstheme="minorHAnsi"/>
          <w:lang w:val="en-GB"/>
        </w:rPr>
        <w:t xml:space="preserve">provides their titles, with the assigned numbers. </w:t>
      </w:r>
    </w:p>
    <w:p w14:paraId="4DFECBF4" w14:textId="77777777" w:rsidR="00DC7E87" w:rsidRPr="000F2B8C" w:rsidRDefault="00DC7E87" w:rsidP="007E333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0F2B8C">
        <w:rPr>
          <w:szCs w:val="24"/>
          <w:lang w:val="en-GB"/>
        </w:rPr>
        <w:t>Mario Maniewicz</w:t>
      </w:r>
      <w:r w:rsidR="002B7CE0" w:rsidRPr="000F2B8C">
        <w:rPr>
          <w:szCs w:val="24"/>
          <w:lang w:val="en-GB"/>
        </w:rPr>
        <w:br/>
      </w:r>
      <w:r w:rsidRPr="000F2B8C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482E34E2" w:rsidR="00DC7E87" w:rsidRPr="000F2B8C" w:rsidRDefault="00DC7E87" w:rsidP="007E3331">
      <w:pPr>
        <w:tabs>
          <w:tab w:val="left" w:pos="4820"/>
        </w:tabs>
        <w:spacing w:before="2400"/>
        <w:rPr>
          <w:u w:val="single"/>
          <w:lang w:val="en-GB"/>
        </w:rPr>
      </w:pPr>
      <w:r w:rsidRPr="000F2B8C">
        <w:rPr>
          <w:b/>
          <w:lang w:val="en-GB"/>
        </w:rPr>
        <w:t>Annex:</w:t>
      </w:r>
      <w:r w:rsidRPr="000F2B8C">
        <w:rPr>
          <w:lang w:val="en-GB"/>
        </w:rPr>
        <w:t xml:space="preserve"> </w:t>
      </w:r>
      <w:r w:rsidR="00F80AB0" w:rsidRPr="000F2B8C">
        <w:rPr>
          <w:lang w:val="en-GB"/>
        </w:rPr>
        <w:t>1</w:t>
      </w:r>
    </w:p>
    <w:p w14:paraId="22982461" w14:textId="77777777" w:rsidR="00DC7E87" w:rsidRPr="000F2B8C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0F2B8C">
        <w:rPr>
          <w:lang w:val="en-GB"/>
        </w:rPr>
        <w:br w:type="page"/>
      </w:r>
    </w:p>
    <w:p w14:paraId="41B86791" w14:textId="48C6D5CB" w:rsidR="00DC7E87" w:rsidRPr="000F2B8C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0F2B8C">
        <w:rPr>
          <w:rFonts w:asciiTheme="minorHAnsi" w:hAnsiTheme="minorHAnsi" w:cstheme="minorHAnsi"/>
        </w:rPr>
        <w:lastRenderedPageBreak/>
        <w:t>Annex</w:t>
      </w:r>
      <w:r w:rsidR="006B40EE" w:rsidRPr="000F2B8C">
        <w:rPr>
          <w:rFonts w:asciiTheme="minorHAnsi" w:hAnsiTheme="minorHAnsi" w:cstheme="minorHAnsi"/>
        </w:rPr>
        <w:br/>
      </w:r>
      <w:r w:rsidR="006B40EE" w:rsidRPr="000F2B8C">
        <w:rPr>
          <w:rFonts w:asciiTheme="minorHAnsi" w:hAnsiTheme="minorHAnsi" w:cstheme="minorHAnsi"/>
        </w:rPr>
        <w:br/>
      </w:r>
      <w:r w:rsidRPr="000F2B8C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026"/>
        <w:gridCol w:w="5907"/>
        <w:gridCol w:w="1423"/>
      </w:tblGrid>
      <w:tr w:rsidR="005172C3" w:rsidRPr="000F2B8C" w14:paraId="257CC8E4" w14:textId="77777777" w:rsidTr="0014286E">
        <w:tc>
          <w:tcPr>
            <w:tcW w:w="2026" w:type="dxa"/>
            <w:vAlign w:val="center"/>
          </w:tcPr>
          <w:p w14:paraId="30903036" w14:textId="7B6EE24E" w:rsidR="005172C3" w:rsidRPr="000F2B8C" w:rsidRDefault="005172C3" w:rsidP="00D20E2F">
            <w:pPr>
              <w:pStyle w:val="Tablehead"/>
              <w:rPr>
                <w:lang w:val="en-GB"/>
              </w:rPr>
            </w:pPr>
            <w:r w:rsidRPr="000F2B8C">
              <w:rPr>
                <w:lang w:val="en-GB"/>
              </w:rPr>
              <w:t>Recommendation</w:t>
            </w:r>
            <w:r w:rsidRPr="000F2B8C">
              <w:rPr>
                <w:lang w:val="en-GB"/>
              </w:rPr>
              <w:br/>
              <w:t>ITU-R</w:t>
            </w:r>
          </w:p>
        </w:tc>
        <w:tc>
          <w:tcPr>
            <w:tcW w:w="5907" w:type="dxa"/>
            <w:vAlign w:val="center"/>
          </w:tcPr>
          <w:p w14:paraId="26965505" w14:textId="77777777" w:rsidR="005172C3" w:rsidRPr="000F2B8C" w:rsidRDefault="005172C3" w:rsidP="00D20E2F">
            <w:pPr>
              <w:pStyle w:val="Tablehead"/>
              <w:rPr>
                <w:lang w:val="en-GB"/>
              </w:rPr>
            </w:pPr>
            <w:r w:rsidRPr="000F2B8C">
              <w:rPr>
                <w:lang w:val="en-GB"/>
              </w:rPr>
              <w:t>Title</w:t>
            </w:r>
          </w:p>
        </w:tc>
        <w:tc>
          <w:tcPr>
            <w:tcW w:w="1423" w:type="dxa"/>
            <w:vAlign w:val="center"/>
          </w:tcPr>
          <w:p w14:paraId="70486CA4" w14:textId="55ACE76E" w:rsidR="005172C3" w:rsidRPr="000F2B8C" w:rsidRDefault="005172C3" w:rsidP="00D20E2F">
            <w:pPr>
              <w:pStyle w:val="Tablehead"/>
              <w:rPr>
                <w:lang w:val="en-GB"/>
              </w:rPr>
            </w:pPr>
            <w:r w:rsidRPr="000F2B8C">
              <w:rPr>
                <w:lang w:val="en-GB"/>
              </w:rPr>
              <w:t>Doc</w:t>
            </w:r>
            <w:r w:rsidR="005927F9" w:rsidRPr="000F2B8C">
              <w:rPr>
                <w:lang w:val="en-GB"/>
              </w:rPr>
              <w:t>ument</w:t>
            </w:r>
          </w:p>
        </w:tc>
      </w:tr>
      <w:tr w:rsidR="005172C3" w:rsidRPr="000F2B8C" w14:paraId="3152533C" w14:textId="77777777" w:rsidTr="0014286E">
        <w:tc>
          <w:tcPr>
            <w:tcW w:w="2026" w:type="dxa"/>
          </w:tcPr>
          <w:p w14:paraId="3F33894D" w14:textId="2021224E" w:rsidR="005172C3" w:rsidRPr="000F2B8C" w:rsidRDefault="000F6785" w:rsidP="006E159B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BT.2167-0</w:t>
            </w:r>
          </w:p>
        </w:tc>
        <w:tc>
          <w:tcPr>
            <w:tcW w:w="5907" w:type="dxa"/>
          </w:tcPr>
          <w:p w14:paraId="37272AD6" w14:textId="6C43F235" w:rsidR="005172C3" w:rsidRPr="000F2B8C" w:rsidRDefault="00186F7B" w:rsidP="00DC0C95">
            <w:pPr>
              <w:pStyle w:val="Tabletext"/>
              <w:rPr>
                <w:lang w:val="en-GB"/>
              </w:rPr>
            </w:pPr>
            <w:r w:rsidRPr="000F2B8C">
              <w:rPr>
                <w:lang w:val="en-GB"/>
              </w:rPr>
              <w:t>A framework for content-adaptive methods for reduction of energy consumption in television displays</w:t>
            </w:r>
          </w:p>
        </w:tc>
        <w:tc>
          <w:tcPr>
            <w:tcW w:w="1423" w:type="dxa"/>
          </w:tcPr>
          <w:p w14:paraId="74A321BD" w14:textId="05AFBB9E" w:rsidR="005172C3" w:rsidRPr="000F2B8C" w:rsidRDefault="00186F7B" w:rsidP="003A4E89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6/19</w:t>
            </w:r>
            <w:r w:rsidR="005172C3" w:rsidRPr="000F2B8C">
              <w:rPr>
                <w:lang w:val="en-GB"/>
              </w:rPr>
              <w:t>(Rev.1)</w:t>
            </w:r>
          </w:p>
        </w:tc>
      </w:tr>
      <w:tr w:rsidR="00DC0C95" w:rsidRPr="000F2B8C" w14:paraId="49307AE1" w14:textId="77777777" w:rsidTr="0014286E">
        <w:tc>
          <w:tcPr>
            <w:tcW w:w="2026" w:type="dxa"/>
          </w:tcPr>
          <w:p w14:paraId="6A2748D4" w14:textId="32FE0A6C" w:rsidR="00DC0C95" w:rsidRPr="000F2B8C" w:rsidRDefault="000F6785" w:rsidP="00BF3EFD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BS.2168-0</w:t>
            </w:r>
            <w:r w:rsidRPr="000F2B8C" w:rsidDel="00186F7B">
              <w:rPr>
                <w:highlight w:val="yellow"/>
                <w:lang w:val="en-GB"/>
              </w:rPr>
              <w:t xml:space="preserve"> </w:t>
            </w:r>
          </w:p>
        </w:tc>
        <w:tc>
          <w:tcPr>
            <w:tcW w:w="5907" w:type="dxa"/>
          </w:tcPr>
          <w:p w14:paraId="0021D279" w14:textId="145830F3" w:rsidR="00DC0C95" w:rsidRPr="000F2B8C" w:rsidRDefault="00186F7B" w:rsidP="00DC0C95">
            <w:pPr>
              <w:pStyle w:val="Tabletext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Audio definition model and serial representation of audio definition model profile for advanced sound systems emission</w:t>
            </w:r>
          </w:p>
        </w:tc>
        <w:tc>
          <w:tcPr>
            <w:tcW w:w="1423" w:type="dxa"/>
          </w:tcPr>
          <w:p w14:paraId="2C941D30" w14:textId="165A9A7E" w:rsidR="00DC0C95" w:rsidRPr="000F2B8C" w:rsidRDefault="00186F7B" w:rsidP="003A4E8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6/35(Rev.1)</w:t>
            </w:r>
          </w:p>
        </w:tc>
      </w:tr>
      <w:tr w:rsidR="00186F7B" w:rsidRPr="000F2B8C" w14:paraId="3039D470" w14:textId="77777777" w:rsidTr="0014286E">
        <w:tc>
          <w:tcPr>
            <w:tcW w:w="2026" w:type="dxa"/>
          </w:tcPr>
          <w:p w14:paraId="4089CEC0" w14:textId="374542EA" w:rsidR="00186F7B" w:rsidRPr="000F2B8C" w:rsidRDefault="00186F7B" w:rsidP="00BF3EFD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BT.1666-1</w:t>
            </w:r>
          </w:p>
        </w:tc>
        <w:tc>
          <w:tcPr>
            <w:tcW w:w="5907" w:type="dxa"/>
          </w:tcPr>
          <w:p w14:paraId="01CD7A63" w14:textId="11480E6B" w:rsidR="00186F7B" w:rsidRPr="000F2B8C" w:rsidRDefault="00186F7B" w:rsidP="00DC0C95">
            <w:pPr>
              <w:pStyle w:val="Tabletext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 xml:space="preserve">User requirements for </w:t>
            </w:r>
            <w:r w:rsidRPr="000F2B8C">
              <w:rPr>
                <w:lang w:val="en-GB" w:eastAsia="ja-JP"/>
              </w:rPr>
              <w:t xml:space="preserve">television </w:t>
            </w:r>
            <w:r w:rsidRPr="000F2B8C">
              <w:rPr>
                <w:lang w:val="en-GB"/>
              </w:rPr>
              <w:t>applications intended for presentation in a theatrical environment</w:t>
            </w:r>
          </w:p>
        </w:tc>
        <w:tc>
          <w:tcPr>
            <w:tcW w:w="1423" w:type="dxa"/>
          </w:tcPr>
          <w:p w14:paraId="42DCEB40" w14:textId="68D5E490" w:rsidR="00186F7B" w:rsidRPr="000F2B8C" w:rsidRDefault="00186F7B" w:rsidP="003A4E8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6/23</w:t>
            </w:r>
          </w:p>
        </w:tc>
      </w:tr>
      <w:tr w:rsidR="00186F7B" w:rsidRPr="000F2B8C" w14:paraId="6AE73F77" w14:textId="77777777" w:rsidTr="0014286E">
        <w:tc>
          <w:tcPr>
            <w:tcW w:w="2026" w:type="dxa"/>
          </w:tcPr>
          <w:p w14:paraId="7641EA20" w14:textId="6CD0ECE5" w:rsidR="00186F7B" w:rsidRPr="000F2B8C" w:rsidRDefault="00186F7B" w:rsidP="00BF3EFD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BT.1662-1</w:t>
            </w:r>
          </w:p>
        </w:tc>
        <w:tc>
          <w:tcPr>
            <w:tcW w:w="5907" w:type="dxa"/>
          </w:tcPr>
          <w:p w14:paraId="59BFB866" w14:textId="7B0200D1" w:rsidR="00186F7B" w:rsidRPr="000F2B8C" w:rsidRDefault="00186F7B" w:rsidP="00DC0C95">
            <w:pPr>
              <w:pStyle w:val="Tabletext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General reference chain and management of post-processing headroom for programme essence in television applications</w:t>
            </w:r>
          </w:p>
        </w:tc>
        <w:tc>
          <w:tcPr>
            <w:tcW w:w="1423" w:type="dxa"/>
          </w:tcPr>
          <w:p w14:paraId="2B11F4C0" w14:textId="3461E5D3" w:rsidR="00186F7B" w:rsidRPr="000F2B8C" w:rsidRDefault="00186F7B" w:rsidP="003A4E8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6/24</w:t>
            </w:r>
          </w:p>
        </w:tc>
      </w:tr>
      <w:tr w:rsidR="00186F7B" w:rsidRPr="000F2B8C" w14:paraId="1A8C952F" w14:textId="77777777" w:rsidTr="0014286E">
        <w:tc>
          <w:tcPr>
            <w:tcW w:w="2026" w:type="dxa"/>
          </w:tcPr>
          <w:p w14:paraId="57B2FD41" w14:textId="3151BB94" w:rsidR="00186F7B" w:rsidRPr="000F2B8C" w:rsidRDefault="00186F7B" w:rsidP="00BF3EFD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BS.2076-3</w:t>
            </w:r>
          </w:p>
        </w:tc>
        <w:tc>
          <w:tcPr>
            <w:tcW w:w="5907" w:type="dxa"/>
          </w:tcPr>
          <w:p w14:paraId="08AA9848" w14:textId="45AC925F" w:rsidR="00186F7B" w:rsidRPr="000F2B8C" w:rsidRDefault="00186F7B" w:rsidP="00DC0C95">
            <w:pPr>
              <w:pStyle w:val="Tabletext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Audio Definition Model</w:t>
            </w:r>
          </w:p>
        </w:tc>
        <w:tc>
          <w:tcPr>
            <w:tcW w:w="1423" w:type="dxa"/>
          </w:tcPr>
          <w:p w14:paraId="13A0CAB1" w14:textId="43FCB9CB" w:rsidR="00186F7B" w:rsidRPr="000F2B8C" w:rsidRDefault="00186F7B" w:rsidP="003A4E8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6/36(Rev.1)</w:t>
            </w:r>
          </w:p>
        </w:tc>
      </w:tr>
      <w:tr w:rsidR="00186F7B" w:rsidRPr="000F2B8C" w14:paraId="0A349D11" w14:textId="77777777" w:rsidTr="0014286E">
        <w:tc>
          <w:tcPr>
            <w:tcW w:w="2026" w:type="dxa"/>
          </w:tcPr>
          <w:p w14:paraId="05526AF8" w14:textId="3BEF16EB" w:rsidR="00186F7B" w:rsidRPr="000F2B8C" w:rsidRDefault="00186F7B" w:rsidP="00BF3EFD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BS.2094-2</w:t>
            </w:r>
          </w:p>
        </w:tc>
        <w:tc>
          <w:tcPr>
            <w:tcW w:w="5907" w:type="dxa"/>
          </w:tcPr>
          <w:p w14:paraId="45DE517C" w14:textId="53FADC1E" w:rsidR="00186F7B" w:rsidRPr="000F2B8C" w:rsidRDefault="00186F7B" w:rsidP="00DC0C95">
            <w:pPr>
              <w:pStyle w:val="Tabletext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Common definitions for the Audio Definition Model</w:t>
            </w:r>
          </w:p>
        </w:tc>
        <w:tc>
          <w:tcPr>
            <w:tcW w:w="1423" w:type="dxa"/>
          </w:tcPr>
          <w:p w14:paraId="7CE8CE05" w14:textId="351F026C" w:rsidR="00186F7B" w:rsidRPr="000F2B8C" w:rsidRDefault="00186F7B" w:rsidP="003A4E8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F2B8C">
              <w:rPr>
                <w:lang w:val="en-GB"/>
              </w:rPr>
              <w:t>6/37</w:t>
            </w:r>
          </w:p>
        </w:tc>
      </w:tr>
    </w:tbl>
    <w:p w14:paraId="037378C3" w14:textId="77777777" w:rsidR="002B7CE0" w:rsidRPr="000F2B8C" w:rsidRDefault="002B7CE0" w:rsidP="00991AFF">
      <w:pPr>
        <w:rPr>
          <w:lang w:val="en-GB"/>
        </w:rPr>
      </w:pPr>
      <w:bookmarkStart w:id="0" w:name="_Hlk190073114"/>
    </w:p>
    <w:p w14:paraId="7FEC80B7" w14:textId="77777777" w:rsidR="002B7CE0" w:rsidRPr="000F2B8C" w:rsidRDefault="002B7CE0" w:rsidP="002B7CE0">
      <w:pPr>
        <w:jc w:val="center"/>
        <w:rPr>
          <w:lang w:val="en-GB"/>
        </w:rPr>
      </w:pPr>
      <w:r w:rsidRPr="000F2B8C">
        <w:rPr>
          <w:lang w:val="en-GB"/>
        </w:rPr>
        <w:t>______________</w:t>
      </w:r>
      <w:bookmarkEnd w:id="0"/>
    </w:p>
    <w:sectPr w:rsidR="002B7CE0" w:rsidRPr="000F2B8C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9A9B" w14:textId="052D2EAE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>Tel</w:t>
    </w:r>
    <w:r w:rsidR="007E3331">
      <w:rPr>
        <w:color w:val="4F81BD" w:themeColor="accent1"/>
        <w:sz w:val="19"/>
        <w:szCs w:val="19"/>
        <w:lang w:val="en-GB"/>
      </w:rPr>
      <w:t>.</w:t>
    </w:r>
    <w:r w:rsidRPr="00D20E2F">
      <w:rPr>
        <w:color w:val="4F81BD" w:themeColor="accent1"/>
        <w:sz w:val="19"/>
        <w:szCs w:val="19"/>
        <w:lang w:val="en-GB"/>
      </w:rPr>
      <w:t xml:space="preserve">: +41 22 730 5111 </w:t>
    </w:r>
    <w:bookmarkStart w:id="1" w:name="_Hlk190073211"/>
    <w:r w:rsidRPr="00D20E2F">
      <w:rPr>
        <w:color w:val="4F81BD" w:themeColor="accent1"/>
        <w:sz w:val="19"/>
        <w:szCs w:val="19"/>
        <w:lang w:val="en-GB"/>
      </w:rPr>
      <w:t>•</w:t>
    </w:r>
    <w:bookmarkEnd w:id="1"/>
    <w:r w:rsidRPr="00D20E2F">
      <w:rPr>
        <w:color w:val="4F81BD" w:themeColor="accent1"/>
        <w:sz w:val="19"/>
        <w:szCs w:val="19"/>
        <w:lang w:val="en-GB"/>
      </w:rPr>
      <w:t xml:space="preserve">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F3AC" w14:textId="4B93ECFD" w:rsidR="00BC3D48" w:rsidRDefault="00BC3D48" w:rsidP="00BC3D4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BFFFC9B" wp14:editId="468A881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949356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82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6CB"/>
    <w:rsid w:val="00015C76"/>
    <w:rsid w:val="00026CF8"/>
    <w:rsid w:val="00030BD7"/>
    <w:rsid w:val="00031E64"/>
    <w:rsid w:val="00034340"/>
    <w:rsid w:val="00042A76"/>
    <w:rsid w:val="00045A8D"/>
    <w:rsid w:val="0005167A"/>
    <w:rsid w:val="00054E5D"/>
    <w:rsid w:val="00070258"/>
    <w:rsid w:val="0007323C"/>
    <w:rsid w:val="000832F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2B8C"/>
    <w:rsid w:val="000F6785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86E"/>
    <w:rsid w:val="00144DFB"/>
    <w:rsid w:val="00186F7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965AB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453"/>
    <w:rsid w:val="004326DB"/>
    <w:rsid w:val="0043682E"/>
    <w:rsid w:val="00436CD1"/>
    <w:rsid w:val="00447ECB"/>
    <w:rsid w:val="004623F7"/>
    <w:rsid w:val="004722E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189F"/>
    <w:rsid w:val="004E43BB"/>
    <w:rsid w:val="004E460D"/>
    <w:rsid w:val="004F178E"/>
    <w:rsid w:val="004F4543"/>
    <w:rsid w:val="004F57BB"/>
    <w:rsid w:val="005034E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27F9"/>
    <w:rsid w:val="005A03A3"/>
    <w:rsid w:val="005A2B92"/>
    <w:rsid w:val="005A79E9"/>
    <w:rsid w:val="005B214C"/>
    <w:rsid w:val="005D1AE1"/>
    <w:rsid w:val="005D3669"/>
    <w:rsid w:val="005E5EB3"/>
    <w:rsid w:val="005F3475"/>
    <w:rsid w:val="005F3CB6"/>
    <w:rsid w:val="005F657C"/>
    <w:rsid w:val="00602D53"/>
    <w:rsid w:val="006047E5"/>
    <w:rsid w:val="006231F4"/>
    <w:rsid w:val="00625D60"/>
    <w:rsid w:val="00626142"/>
    <w:rsid w:val="006319BB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6E159B"/>
    <w:rsid w:val="007054B8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55423"/>
    <w:rsid w:val="00782354"/>
    <w:rsid w:val="007864D8"/>
    <w:rsid w:val="007921A7"/>
    <w:rsid w:val="007B3DB1"/>
    <w:rsid w:val="007B51AE"/>
    <w:rsid w:val="007C4AB2"/>
    <w:rsid w:val="007D183E"/>
    <w:rsid w:val="007D43D0"/>
    <w:rsid w:val="007E1833"/>
    <w:rsid w:val="007E3331"/>
    <w:rsid w:val="007E3F13"/>
    <w:rsid w:val="007E653D"/>
    <w:rsid w:val="007F751A"/>
    <w:rsid w:val="00800012"/>
    <w:rsid w:val="0080261F"/>
    <w:rsid w:val="00806160"/>
    <w:rsid w:val="008143A4"/>
    <w:rsid w:val="0081513E"/>
    <w:rsid w:val="00840645"/>
    <w:rsid w:val="0084354F"/>
    <w:rsid w:val="00854131"/>
    <w:rsid w:val="008548E8"/>
    <w:rsid w:val="0085652D"/>
    <w:rsid w:val="00867202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387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91AFF"/>
    <w:rsid w:val="009A009A"/>
    <w:rsid w:val="009A6BB6"/>
    <w:rsid w:val="009B3F43"/>
    <w:rsid w:val="009B4978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17B88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07A79"/>
    <w:rsid w:val="00B10147"/>
    <w:rsid w:val="00B16348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C3D48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817"/>
    <w:rsid w:val="00C81028"/>
    <w:rsid w:val="00C813AA"/>
    <w:rsid w:val="00C818D7"/>
    <w:rsid w:val="00C84CF4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35E9C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4037"/>
    <w:rsid w:val="00DC0C95"/>
    <w:rsid w:val="00DC7E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53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13EA"/>
    <w:rsid w:val="00F424BF"/>
    <w:rsid w:val="00F441FF"/>
    <w:rsid w:val="00F44FC3"/>
    <w:rsid w:val="00F46107"/>
    <w:rsid w:val="00F468C5"/>
    <w:rsid w:val="00F52F39"/>
    <w:rsid w:val="00F6184F"/>
    <w:rsid w:val="00F80AB0"/>
    <w:rsid w:val="00F8310E"/>
    <w:rsid w:val="00F86652"/>
    <w:rsid w:val="00F86CD9"/>
    <w:rsid w:val="00F914DD"/>
    <w:rsid w:val="00F9351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7864D8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42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42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55423"/>
    <w:rPr>
      <w:b/>
      <w:bCs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86F7B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CC6-BCE4-453B-809E-3142B87C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206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3</cp:revision>
  <cp:lastPrinted>2020-01-31T08:06:00Z</cp:lastPrinted>
  <dcterms:created xsi:type="dcterms:W3CDTF">2025-02-07T13:54:00Z</dcterms:created>
  <dcterms:modified xsi:type="dcterms:W3CDTF">2025-02-10T08:50:00Z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