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4CC35FB4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CACE/</w:t>
            </w:r>
            <w:r w:rsidR="000335C8">
              <w:rPr>
                <w:rFonts w:hint="eastAsia"/>
                <w:b/>
                <w:bCs/>
                <w:szCs w:val="24"/>
                <w:lang w:val="fr-CH" w:eastAsia="zh-CN"/>
              </w:rPr>
              <w:t>11</w:t>
            </w:r>
            <w:r w:rsidR="00222DC4">
              <w:rPr>
                <w:b/>
                <w:bCs/>
                <w:szCs w:val="24"/>
                <w:lang w:val="fr-CH" w:eastAsia="zh-CN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14:paraId="1FD00109" w14:textId="726E97E2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222DC4">
              <w:rPr>
                <w:rFonts w:cs="Arial"/>
                <w:szCs w:val="24"/>
                <w:lang w:val="en-GB" w:eastAsia="zh-CN"/>
              </w:rPr>
              <w:t>2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222DC4">
              <w:rPr>
                <w:rFonts w:cs="Arial"/>
                <w:szCs w:val="24"/>
                <w:lang w:val="en-GB" w:eastAsia="zh-CN"/>
              </w:rPr>
              <w:t>1</w:t>
            </w:r>
            <w:r w:rsidR="00697BEE">
              <w:rPr>
                <w:rFonts w:cs="Arial"/>
                <w:szCs w:val="24"/>
                <w:lang w:val="en-GB" w:eastAsia="zh-CN"/>
              </w:rPr>
              <w:t>1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3F05BE45" w:rsidR="00AB357B" w:rsidRPr="00AF5C2E" w:rsidRDefault="00AB357B" w:rsidP="00666E94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部门准成员和国际电联学术成员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666E9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0CC811B" w14:textId="3E505908" w:rsidR="00AB357B" w:rsidRPr="000335C8" w:rsidRDefault="00AB357B" w:rsidP="00322348">
            <w:pPr>
              <w:tabs>
                <w:tab w:val="clear" w:pos="1588"/>
                <w:tab w:val="left" w:pos="1560"/>
              </w:tabs>
              <w:spacing w:before="0"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（广播业务）</w:t>
            </w:r>
          </w:p>
          <w:p w14:paraId="5081C472" w14:textId="09CF5B1E" w:rsidR="00AB357B" w:rsidRPr="000335C8" w:rsidRDefault="00AB357B" w:rsidP="00114FCA">
            <w:pPr>
              <w:tabs>
                <w:tab w:val="clear" w:pos="1588"/>
                <w:tab w:val="left" w:pos="1560"/>
              </w:tabs>
              <w:spacing w:before="0" w:after="120"/>
              <w:ind w:left="778" w:hanging="778"/>
              <w:rPr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批准</w:t>
            </w:r>
            <w:r w:rsidR="00222DC4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项新的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建议书和</w:t>
            </w:r>
            <w:r w:rsidR="00222DC4">
              <w:rPr>
                <w:rFonts w:eastAsia="SimSun" w:hint="eastAsia"/>
                <w:b/>
                <w:bCs/>
                <w:szCs w:val="24"/>
                <w:lang w:eastAsia="zh-CN"/>
              </w:rPr>
              <w:t>4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项经修订的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222DC4" w:rsidRPr="006E7DD7">
              <w:rPr>
                <w:rFonts w:eastAsia="SimSun"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AB357B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48C3BB09" w14:textId="245075D0" w:rsidR="00222DC4" w:rsidRPr="00214387" w:rsidRDefault="00222DC4" w:rsidP="00666E94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697BEE">
        <w:rPr>
          <w:rFonts w:eastAsia="SimSun"/>
          <w:lang w:eastAsia="zh-CN"/>
        </w:rPr>
        <w:t>20</w:t>
      </w:r>
      <w:r w:rsidRPr="00697BEE">
        <w:rPr>
          <w:rFonts w:hint="eastAsia"/>
          <w:szCs w:val="24"/>
          <w:lang w:eastAsia="zh-CN"/>
        </w:rPr>
        <w:t>24</w:t>
      </w:r>
      <w:r w:rsidRPr="00214387"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12</w:t>
      </w:r>
      <w:r w:rsidRPr="00214387"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4</w:t>
      </w:r>
      <w:r w:rsidRPr="00214387">
        <w:rPr>
          <w:rFonts w:eastAsia="SimSun" w:hint="eastAsia"/>
          <w:lang w:eastAsia="zh-CN"/>
        </w:rPr>
        <w:t>日第</w:t>
      </w:r>
      <w:r w:rsidR="00792DAF">
        <w:rPr>
          <w:rFonts w:asciiTheme="minorHAnsi" w:hAnsiTheme="minorHAnsi" w:cstheme="minorHAnsi"/>
        </w:rPr>
        <w:fldChar w:fldCharType="begin"/>
      </w:r>
      <w:r w:rsidR="00792DAF">
        <w:rPr>
          <w:rFonts w:asciiTheme="minorHAnsi" w:hAnsiTheme="minorHAnsi" w:cstheme="minorHAnsi"/>
          <w:lang w:eastAsia="zh-CN"/>
        </w:rPr>
        <w:instrText>HYPERLINK "https://www.itu.int/md/R00-CACE-CIR-1124/en"</w:instrText>
      </w:r>
      <w:r w:rsidR="00792DAF">
        <w:rPr>
          <w:rFonts w:asciiTheme="minorHAnsi" w:hAnsiTheme="minorHAnsi" w:cstheme="minorHAnsi"/>
        </w:rPr>
      </w:r>
      <w:r w:rsidR="00792DAF">
        <w:rPr>
          <w:rFonts w:asciiTheme="minorHAnsi" w:hAnsiTheme="minorHAnsi" w:cstheme="minorHAnsi"/>
        </w:rPr>
        <w:fldChar w:fldCharType="separate"/>
      </w:r>
      <w:r w:rsidR="00792DAF" w:rsidRPr="006E159B">
        <w:rPr>
          <w:rStyle w:val="Hyperlink"/>
          <w:rFonts w:asciiTheme="minorHAnsi" w:hAnsiTheme="minorHAnsi" w:cstheme="minorHAnsi"/>
          <w:lang w:eastAsia="zh-CN"/>
        </w:rPr>
        <w:t>CACE/1124</w:t>
      </w:r>
      <w:r w:rsidR="00792DAF">
        <w:rPr>
          <w:rFonts w:asciiTheme="minorHAnsi" w:hAnsiTheme="minorHAnsi" w:cstheme="minorHAnsi"/>
        </w:rPr>
        <w:fldChar w:fldCharType="end"/>
      </w:r>
      <w:r w:rsidRPr="00214387">
        <w:rPr>
          <w:rFonts w:eastAsia="SimSun" w:hint="eastAsia"/>
          <w:lang w:eastAsia="zh-CN"/>
        </w:rPr>
        <w:t>号行政通函，</w:t>
      </w:r>
      <w:r w:rsidRPr="00697BEE">
        <w:rPr>
          <w:rFonts w:eastAsia="SimSun" w:hint="eastAsia"/>
          <w:lang w:eastAsia="zh-CN"/>
        </w:rPr>
        <w:t>2</w:t>
      </w:r>
      <w:r>
        <w:rPr>
          <w:rFonts w:eastAsia="SimSun" w:hint="eastAsia"/>
          <w:lang w:val="fr-FR" w:eastAsia="zh-CN"/>
        </w:rPr>
        <w:t>项</w:t>
      </w:r>
      <w:r w:rsidRPr="00214387">
        <w:rPr>
          <w:rFonts w:eastAsia="SimSun" w:hint="eastAsia"/>
          <w:lang w:val="fr-FR" w:eastAsia="zh-CN"/>
        </w:rPr>
        <w:t>新的和</w:t>
      </w:r>
      <w:r>
        <w:rPr>
          <w:rFonts w:eastAsia="SimSun" w:hint="eastAsia"/>
          <w:lang w:eastAsia="zh-CN"/>
        </w:rPr>
        <w:t>4</w:t>
      </w:r>
      <w:r>
        <w:rPr>
          <w:rFonts w:eastAsia="SimSun" w:hint="eastAsia"/>
          <w:lang w:val="fr-FR" w:eastAsia="zh-CN"/>
        </w:rPr>
        <w:t>项</w:t>
      </w:r>
      <w:r w:rsidRPr="00214387">
        <w:rPr>
          <w:rFonts w:eastAsia="SimSun" w:hint="eastAsia"/>
          <w:lang w:val="fr-FR" w:eastAsia="zh-CN"/>
        </w:rPr>
        <w:t>经修订的</w:t>
      </w:r>
      <w:r w:rsidRPr="00697BEE">
        <w:rPr>
          <w:rFonts w:eastAsia="SimSun"/>
          <w:lang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建议书草案已按照</w:t>
      </w:r>
      <w:r w:rsidRPr="00697BEE">
        <w:rPr>
          <w:rFonts w:eastAsia="SimSun"/>
          <w:lang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697BEE">
        <w:rPr>
          <w:rFonts w:eastAsia="SimSun"/>
          <w:lang w:eastAsia="zh-CN"/>
        </w:rPr>
        <w:t>1-9</w:t>
      </w:r>
      <w:r w:rsidRPr="00214387">
        <w:rPr>
          <w:rFonts w:eastAsia="SimSun" w:hint="eastAsia"/>
          <w:lang w:val="fr-FR" w:eastAsia="zh-CN"/>
        </w:rPr>
        <w:t>号决议</w:t>
      </w:r>
      <w:r w:rsidRPr="00697BEE">
        <w:rPr>
          <w:rFonts w:eastAsia="SimSun" w:hint="eastAsia"/>
          <w:lang w:eastAsia="zh-CN"/>
        </w:rPr>
        <w:t>（</w:t>
      </w:r>
      <w:proofErr w:type="spellStart"/>
      <w:r w:rsidRPr="00214387">
        <w:rPr>
          <w:rFonts w:eastAsia="SimSun" w:cstheme="minorHAnsi"/>
          <w:lang w:eastAsia="zh-CN"/>
        </w:rPr>
        <w:t>A2.6.2.3</w:t>
      </w:r>
      <w:proofErr w:type="spellEnd"/>
      <w:r w:rsidRPr="00214387">
        <w:rPr>
          <w:rFonts w:eastAsia="SimSun" w:hint="eastAsia"/>
          <w:lang w:val="fr-FR" w:eastAsia="zh-CN"/>
        </w:rPr>
        <w:t>段</w:t>
      </w:r>
      <w:r w:rsidRPr="00697BEE">
        <w:rPr>
          <w:rFonts w:eastAsia="SimSun" w:hint="eastAsia"/>
          <w:lang w:eastAsia="zh-CN"/>
        </w:rPr>
        <w:t>）</w:t>
      </w:r>
      <w:r w:rsidRPr="00214387">
        <w:rPr>
          <w:rFonts w:eastAsia="SimSun" w:hint="eastAsia"/>
          <w:lang w:val="fr-FR" w:eastAsia="zh-CN"/>
        </w:rPr>
        <w:t>提交</w:t>
      </w:r>
      <w:r>
        <w:rPr>
          <w:rFonts w:eastAsia="SimSun" w:hint="eastAsia"/>
          <w:lang w:val="fr-FR" w:eastAsia="zh-CN"/>
        </w:rPr>
        <w:t>供</w:t>
      </w:r>
      <w:r w:rsidRPr="00214387">
        <w:rPr>
          <w:rFonts w:eastAsia="SimSun" w:hint="eastAsia"/>
          <w:lang w:eastAsia="zh-CN"/>
        </w:rPr>
        <w:t>批准。</w:t>
      </w:r>
    </w:p>
    <w:p w14:paraId="17EB2ACE" w14:textId="77777777" w:rsidR="00222DC4" w:rsidRPr="00214387" w:rsidRDefault="00222DC4" w:rsidP="00666E94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</w:t>
      </w:r>
      <w:r w:rsidRPr="00697BEE">
        <w:rPr>
          <w:rFonts w:hint="eastAsia"/>
          <w:szCs w:val="24"/>
          <w:lang w:eastAsia="zh-CN"/>
        </w:rPr>
        <w:t>25</w:t>
      </w:r>
      <w:r w:rsidRPr="00214387"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2</w:t>
      </w:r>
      <w:r w:rsidRPr="00214387"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4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14:paraId="5F272EDB" w14:textId="3659CE71" w:rsidR="006B3736" w:rsidRDefault="00222DC4" w:rsidP="00666E94">
      <w:pPr>
        <w:pStyle w:val="Normalaftertitle0"/>
        <w:spacing w:before="160"/>
        <w:ind w:firstLineChars="200" w:firstLine="480"/>
        <w:rPr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14:paraId="729997B2" w14:textId="09B9385E" w:rsidR="00AD029D" w:rsidRDefault="00AD029D" w:rsidP="00D6531E">
      <w:pPr>
        <w:spacing w:before="120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 w:rsidR="00115C83">
        <w:rPr>
          <w:lang w:eastAsia="zh-CN"/>
        </w:rPr>
        <w:br/>
      </w:r>
      <w:r w:rsidR="00DB1011" w:rsidRPr="00CA4B55">
        <w:rPr>
          <w:rFonts w:ascii="inherit" w:hAnsi="inherit"/>
          <w:color w:val="000000"/>
          <w:lang w:eastAsia="zh-CN"/>
        </w:rPr>
        <w:t>马里奥</w:t>
      </w:r>
      <w:r w:rsidR="00DB1011" w:rsidRPr="006B3736">
        <w:rPr>
          <w:color w:val="000000"/>
          <w:lang w:eastAsia="zh-CN"/>
        </w:rPr>
        <w:t>·</w:t>
      </w:r>
      <w:r w:rsidR="00DB1011" w:rsidRPr="00CA4B55">
        <w:rPr>
          <w:rFonts w:ascii="inherit" w:hAnsi="inherit"/>
          <w:color w:val="000000"/>
          <w:lang w:eastAsia="zh-CN"/>
        </w:rPr>
        <w:t>马尼维</w:t>
      </w:r>
      <w:r w:rsidR="00DB1011" w:rsidRPr="00CA4B55">
        <w:rPr>
          <w:rFonts w:ascii="inherit" w:hAnsi="inherit" w:hint="eastAsia"/>
          <w:color w:val="000000"/>
          <w:lang w:eastAsia="zh-CN"/>
        </w:rPr>
        <w:t>奇</w:t>
      </w:r>
    </w:p>
    <w:p w14:paraId="1A2B88EE" w14:textId="321782B1" w:rsidR="00AD029D" w:rsidRDefault="00AD029D" w:rsidP="00D6531E">
      <w:pPr>
        <w:pStyle w:val="Footer"/>
        <w:spacing w:before="2400"/>
        <w:rPr>
          <w:noProof/>
          <w:lang w:eastAsia="zh-CN"/>
        </w:rPr>
      </w:pPr>
      <w:r w:rsidRPr="00115C83">
        <w:rPr>
          <w:rFonts w:hint="eastAsia"/>
          <w:b/>
          <w:lang w:val="fr-FR" w:eastAsia="zh-CN"/>
        </w:rPr>
        <w:t>附件</w:t>
      </w:r>
      <w:r w:rsidRPr="00115C83">
        <w:rPr>
          <w:rFonts w:hint="eastAsia"/>
          <w:b/>
          <w:lang w:eastAsia="zh-CN"/>
        </w:rPr>
        <w:t>：</w:t>
      </w:r>
      <w:r w:rsidR="00222DC4">
        <w:rPr>
          <w:rFonts w:hint="eastAsia"/>
          <w:lang w:eastAsia="zh-CN"/>
        </w:rPr>
        <w:t>1</w:t>
      </w:r>
      <w:r w:rsidR="00222DC4">
        <w:rPr>
          <w:rFonts w:hint="eastAsia"/>
          <w:lang w:eastAsia="zh-CN"/>
        </w:rPr>
        <w:t>件</w:t>
      </w:r>
    </w:p>
    <w:p w14:paraId="185BDCF2" w14:textId="77777777" w:rsidR="00AD029D" w:rsidRDefault="00AD029D" w:rsidP="00A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B73A2DC" w14:textId="788C6AFF" w:rsidR="00EA0DB4" w:rsidRPr="00D160A0" w:rsidRDefault="00EA0DB4" w:rsidP="00D6531E">
      <w:pPr>
        <w:pStyle w:val="AnnexNoTitle"/>
        <w:spacing w:before="240" w:after="480"/>
        <w:rPr>
          <w:sz w:val="28"/>
          <w:szCs w:val="28"/>
          <w:lang w:eastAsia="zh-CN"/>
        </w:rPr>
      </w:pPr>
      <w:r w:rsidRPr="00FC7055">
        <w:rPr>
          <w:sz w:val="28"/>
          <w:szCs w:val="28"/>
          <w:lang w:eastAsia="zh-CN"/>
        </w:rPr>
        <w:lastRenderedPageBreak/>
        <w:t>附件</w:t>
      </w:r>
      <w:r w:rsidRPr="00FC7055">
        <w:rPr>
          <w:sz w:val="28"/>
          <w:szCs w:val="28"/>
          <w:lang w:eastAsia="zh-CN"/>
        </w:rPr>
        <w:br/>
      </w:r>
      <w:r w:rsidRPr="00D160A0">
        <w:rPr>
          <w:sz w:val="28"/>
          <w:szCs w:val="28"/>
          <w:lang w:eastAsia="zh-CN"/>
        </w:rPr>
        <w:br/>
      </w:r>
      <w:bookmarkStart w:id="0" w:name="_Hlk189728379"/>
      <w:r w:rsidR="00222DC4" w:rsidRPr="00222DC4">
        <w:rPr>
          <w:rFonts w:hint="eastAsia"/>
          <w:sz w:val="28"/>
          <w:szCs w:val="28"/>
          <w:lang w:eastAsia="zh-CN"/>
        </w:rPr>
        <w:t>已经批准的建议书的标题</w:t>
      </w:r>
      <w:bookmarkEnd w:id="0"/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5"/>
        <w:gridCol w:w="6095"/>
        <w:gridCol w:w="1520"/>
      </w:tblGrid>
      <w:tr w:rsidR="00D6531E" w14:paraId="3572B600" w14:textId="77777777" w:rsidTr="00A05016">
        <w:trPr>
          <w:cantSplit/>
          <w:tblHeader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78C15" w14:textId="77777777" w:rsidR="00D6531E" w:rsidRDefault="00D6531E" w:rsidP="00411A17">
            <w:pPr>
              <w:pStyle w:val="Tablehead"/>
              <w:rPr>
                <w:sz w:val="22"/>
              </w:rPr>
            </w:pPr>
            <w:bookmarkStart w:id="1" w:name="_Hlk49776327"/>
            <w:r>
              <w:t xml:space="preserve">ITU-R </w:t>
            </w:r>
            <w:proofErr w:type="spellStart"/>
            <w:r>
              <w:rPr>
                <w:rFonts w:hint="eastAsia"/>
              </w:rPr>
              <w:t>建议书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5F850" w14:textId="77777777" w:rsidR="00D6531E" w:rsidRDefault="00D6531E" w:rsidP="00411A17">
            <w:pPr>
              <w:pStyle w:val="Tablehead"/>
            </w:pPr>
            <w:proofErr w:type="spellStart"/>
            <w:r>
              <w:rPr>
                <w:rFonts w:hint="eastAsia"/>
              </w:rPr>
              <w:t>标题</w:t>
            </w:r>
            <w:proofErr w:type="spellEnd"/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0A7A" w14:textId="77777777" w:rsidR="00D6531E" w:rsidRDefault="00D6531E" w:rsidP="00411A17">
            <w:pPr>
              <w:pStyle w:val="Tablehead"/>
            </w:pPr>
            <w:r>
              <w:rPr>
                <w:rFonts w:hint="eastAsia"/>
                <w:lang w:eastAsia="zh-CN"/>
              </w:rPr>
              <w:t>文件号</w:t>
            </w:r>
          </w:p>
        </w:tc>
      </w:tr>
      <w:tr w:rsidR="00D6531E" w14:paraId="7CD3F26D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E303" w14:textId="73BE8FF8" w:rsidR="00D6531E" w:rsidRDefault="00D6531E" w:rsidP="00411A17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r w:rsidRPr="000F2B8C">
              <w:rPr>
                <w:lang w:val="en-GB"/>
              </w:rPr>
              <w:t>BT.2167-0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A8BB" w14:textId="77777777" w:rsidR="00D6531E" w:rsidRDefault="00D6531E" w:rsidP="00411A17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274147">
              <w:rPr>
                <w:rFonts w:hint="eastAsia"/>
                <w:lang w:eastAsia="zh-CN"/>
              </w:rPr>
              <w:t>降低电视显示器能耗的内容适应性方法框架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214" w14:textId="77777777" w:rsidR="00D6531E" w:rsidRDefault="00D6531E" w:rsidP="00666E94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r w:rsidRPr="000F2B8C">
              <w:rPr>
                <w:lang w:val="en-GB"/>
              </w:rPr>
              <w:t>6/19(Rev.1)</w:t>
            </w:r>
          </w:p>
        </w:tc>
      </w:tr>
      <w:tr w:rsidR="00D6531E" w14:paraId="7BAC7C4F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45A4" w14:textId="0C66C5FF" w:rsidR="00D6531E" w:rsidRPr="000F2B8C" w:rsidRDefault="00D6531E" w:rsidP="00411A17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BS.2168-0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A321" w14:textId="77777777" w:rsidR="00D6531E" w:rsidRDefault="00D6531E" w:rsidP="00411A17">
            <w:pPr>
              <w:pStyle w:val="Tabletext"/>
              <w:rPr>
                <w:lang w:eastAsia="zh-CN"/>
              </w:rPr>
            </w:pPr>
            <w:r w:rsidRPr="00274147">
              <w:rPr>
                <w:rFonts w:hint="eastAsia"/>
                <w:lang w:eastAsia="zh-CN"/>
              </w:rPr>
              <w:t>高级音响系统发射的音频定义模型和音频定义模型概要的串行表示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12C" w14:textId="77777777" w:rsidR="00D6531E" w:rsidRPr="000F2B8C" w:rsidRDefault="00D6531E" w:rsidP="00666E94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6/35(Rev.1)</w:t>
            </w:r>
          </w:p>
        </w:tc>
      </w:tr>
      <w:tr w:rsidR="00D6531E" w14:paraId="0A35F02A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CF0C" w14:textId="710668F0" w:rsidR="00D6531E" w:rsidRPr="000F2B8C" w:rsidRDefault="00D6531E" w:rsidP="00411A17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BT.1666-1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CC04" w14:textId="77777777" w:rsidR="00D6531E" w:rsidRDefault="00D6531E" w:rsidP="00411A17">
            <w:pPr>
              <w:pStyle w:val="Tabletext"/>
              <w:rPr>
                <w:lang w:eastAsia="zh-CN"/>
              </w:rPr>
            </w:pPr>
            <w:r w:rsidRPr="00B324A5">
              <w:rPr>
                <w:rFonts w:hint="eastAsia"/>
                <w:lang w:eastAsia="zh-CN"/>
              </w:rPr>
              <w:t>用户对在</w:t>
            </w:r>
            <w:r>
              <w:rPr>
                <w:rFonts w:hint="eastAsia"/>
                <w:lang w:eastAsia="zh-CN"/>
              </w:rPr>
              <w:t>剧院</w:t>
            </w:r>
            <w:r w:rsidRPr="00B324A5">
              <w:rPr>
                <w:rFonts w:hint="eastAsia"/>
                <w:lang w:eastAsia="zh-CN"/>
              </w:rPr>
              <w:t>环境下播放的电视应用的要求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1F7" w14:textId="77777777" w:rsidR="00D6531E" w:rsidRPr="000F2B8C" w:rsidRDefault="00D6531E" w:rsidP="00666E94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6/23</w:t>
            </w:r>
          </w:p>
        </w:tc>
      </w:tr>
      <w:tr w:rsidR="00D6531E" w14:paraId="5ED4930A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2DE9" w14:textId="246B57B4" w:rsidR="00D6531E" w:rsidRPr="000F2B8C" w:rsidRDefault="00D6531E" w:rsidP="00411A17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BT.1662-1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1565" w14:textId="77777777" w:rsidR="00D6531E" w:rsidRDefault="00D6531E" w:rsidP="00411A17">
            <w:pPr>
              <w:pStyle w:val="Tabletext"/>
              <w:rPr>
                <w:lang w:eastAsia="zh-CN"/>
              </w:rPr>
            </w:pPr>
            <w:r w:rsidRPr="00B324A5">
              <w:rPr>
                <w:rFonts w:hint="eastAsia"/>
                <w:lang w:eastAsia="zh-CN"/>
              </w:rPr>
              <w:t>通用基准链和电视应用中节目要素的后处理净空管理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DB0" w14:textId="77777777" w:rsidR="00D6531E" w:rsidRPr="000F2B8C" w:rsidRDefault="00D6531E" w:rsidP="00666E94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6/24</w:t>
            </w:r>
          </w:p>
        </w:tc>
      </w:tr>
      <w:tr w:rsidR="00D6531E" w14:paraId="0DDA98AD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D920" w14:textId="4E0F1A56" w:rsidR="00D6531E" w:rsidRPr="000F2B8C" w:rsidRDefault="00D6531E" w:rsidP="00411A17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BS.2076-3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6915" w14:textId="77777777" w:rsidR="00D6531E" w:rsidRDefault="00D6531E" w:rsidP="00411A17">
            <w:pPr>
              <w:pStyle w:val="Tabletext"/>
              <w:rPr>
                <w:lang w:eastAsia="zh-CN"/>
              </w:rPr>
            </w:pPr>
            <w:r w:rsidRPr="00B324A5">
              <w:rPr>
                <w:rFonts w:hint="eastAsia"/>
                <w:lang w:eastAsia="zh-CN"/>
              </w:rPr>
              <w:t>音频定义模型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E9" w14:textId="77777777" w:rsidR="00D6531E" w:rsidRPr="000F2B8C" w:rsidRDefault="00D6531E" w:rsidP="00666E94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6/36(Rev.1)</w:t>
            </w:r>
          </w:p>
        </w:tc>
      </w:tr>
      <w:tr w:rsidR="00D6531E" w14:paraId="2F178A09" w14:textId="77777777" w:rsidTr="00A05016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E8E3" w14:textId="6D0D0B1B" w:rsidR="00D6531E" w:rsidRPr="000F2B8C" w:rsidRDefault="00D6531E" w:rsidP="00411A17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BS.2094-2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FD3E" w14:textId="77777777" w:rsidR="00D6531E" w:rsidRDefault="00D6531E" w:rsidP="00411A17">
            <w:pPr>
              <w:pStyle w:val="Tabletext"/>
              <w:rPr>
                <w:lang w:eastAsia="zh-CN"/>
              </w:rPr>
            </w:pPr>
            <w:r w:rsidRPr="00B324A5">
              <w:rPr>
                <w:rFonts w:hint="eastAsia"/>
                <w:lang w:eastAsia="zh-CN"/>
              </w:rPr>
              <w:t>音频定义模型的通用定义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6E0" w14:textId="77777777" w:rsidR="00D6531E" w:rsidRPr="000F2B8C" w:rsidRDefault="00D6531E" w:rsidP="00666E94">
            <w:pPr>
              <w:pStyle w:val="Tabletext"/>
              <w:jc w:val="center"/>
              <w:rPr>
                <w:lang w:val="en-GB"/>
              </w:rPr>
            </w:pPr>
            <w:r w:rsidRPr="000F2B8C">
              <w:rPr>
                <w:lang w:val="en-GB"/>
              </w:rPr>
              <w:t>6/37</w:t>
            </w:r>
          </w:p>
        </w:tc>
      </w:tr>
    </w:tbl>
    <w:bookmarkEnd w:id="1"/>
    <w:p w14:paraId="458D7763" w14:textId="2E5F2800" w:rsidR="00115C83" w:rsidRDefault="00115C83" w:rsidP="00A05016">
      <w:pPr>
        <w:spacing w:before="600"/>
        <w:jc w:val="center"/>
      </w:pPr>
      <w:r>
        <w:t>_______________</w:t>
      </w:r>
    </w:p>
    <w:sectPr w:rsidR="00115C83" w:rsidSect="00FD46A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761B015C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697BEE">
      <w:rPr>
        <w:noProof/>
        <w:sz w:val="16"/>
        <w:szCs w:val="16"/>
      </w:rPr>
      <w:t>07.02.25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77777777" w:rsidR="00E915AF" w:rsidRPr="00286889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286889"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 w:rsidR="00286889">
      <w:rPr>
        <w:iCs/>
        <w:sz w:val="18"/>
        <w:szCs w:val="18"/>
      </w:rPr>
      <w:t xml:space="preserve"> </w:t>
    </w:r>
    <w:r w:rsidR="00286889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16CB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26E8E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22DC4"/>
    <w:rsid w:val="002302B3"/>
    <w:rsid w:val="00230C66"/>
    <w:rsid w:val="00235A29"/>
    <w:rsid w:val="00241526"/>
    <w:rsid w:val="002443A2"/>
    <w:rsid w:val="00266E74"/>
    <w:rsid w:val="00283C3B"/>
    <w:rsid w:val="002861E6"/>
    <w:rsid w:val="00286889"/>
    <w:rsid w:val="00287D18"/>
    <w:rsid w:val="002A2618"/>
    <w:rsid w:val="002A5DD7"/>
    <w:rsid w:val="002B0972"/>
    <w:rsid w:val="002B0CAC"/>
    <w:rsid w:val="002C045D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5EBE"/>
    <w:rsid w:val="00480F51"/>
    <w:rsid w:val="00481124"/>
    <w:rsid w:val="004815EB"/>
    <w:rsid w:val="0048756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6E94"/>
    <w:rsid w:val="006829F3"/>
    <w:rsid w:val="00697BEE"/>
    <w:rsid w:val="006A518B"/>
    <w:rsid w:val="006B0590"/>
    <w:rsid w:val="006B3736"/>
    <w:rsid w:val="006B49DA"/>
    <w:rsid w:val="006C53F8"/>
    <w:rsid w:val="006C6541"/>
    <w:rsid w:val="006C7CDE"/>
    <w:rsid w:val="006D332F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2DAF"/>
    <w:rsid w:val="00796CD6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557A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8013E"/>
    <w:rsid w:val="00981B54"/>
    <w:rsid w:val="009842C3"/>
    <w:rsid w:val="009A009A"/>
    <w:rsid w:val="009A14AC"/>
    <w:rsid w:val="009A6BB6"/>
    <w:rsid w:val="009B3F43"/>
    <w:rsid w:val="009B5CFA"/>
    <w:rsid w:val="009C0DD2"/>
    <w:rsid w:val="009C161F"/>
    <w:rsid w:val="009C56B4"/>
    <w:rsid w:val="009C6A12"/>
    <w:rsid w:val="009D51A2"/>
    <w:rsid w:val="009E04A8"/>
    <w:rsid w:val="009E4AEC"/>
    <w:rsid w:val="009E5BD8"/>
    <w:rsid w:val="009E681E"/>
    <w:rsid w:val="00A05016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5C2E"/>
    <w:rsid w:val="00AF70DA"/>
    <w:rsid w:val="00B019D3"/>
    <w:rsid w:val="00B06B90"/>
    <w:rsid w:val="00B07D7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531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6B3736"/>
    <w:pPr>
      <w:keepNext/>
      <w:keepLines/>
      <w:spacing w:before="480" w:after="120" w:line="240" w:lineRule="auto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6531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D6531E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D653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Author</cp:lastModifiedBy>
  <cp:revision>3</cp:revision>
  <cp:lastPrinted>2013-03-08T10:15:00Z</cp:lastPrinted>
  <dcterms:created xsi:type="dcterms:W3CDTF">2025-02-07T14:08:00Z</dcterms:created>
  <dcterms:modified xsi:type="dcterms:W3CDTF">2025-02-10T08:49:00Z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