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41705E" w14:paraId="4CFAFA70" w14:textId="77777777" w:rsidTr="00153E23">
        <w:tc>
          <w:tcPr>
            <w:tcW w:w="5000" w:type="pct"/>
            <w:gridSpan w:val="3"/>
            <w:shd w:val="clear" w:color="auto" w:fill="auto"/>
          </w:tcPr>
          <w:p w14:paraId="0496A3E1" w14:textId="77777777" w:rsidR="000F7BBE" w:rsidRPr="0041705E" w:rsidRDefault="000F7BBE" w:rsidP="00F16820">
            <w:pPr>
              <w:spacing w:before="240" w:line="340" w:lineRule="exact"/>
              <w:rPr>
                <w:b/>
                <w:bCs/>
                <w:color w:val="808080" w:themeColor="background1" w:themeShade="80"/>
                <w:sz w:val="28"/>
                <w:szCs w:val="28"/>
                <w:rtl/>
                <w:lang w:bidi="ar-EG"/>
              </w:rPr>
            </w:pPr>
            <w:r w:rsidRPr="0041705E">
              <w:rPr>
                <w:b/>
                <w:bCs/>
                <w:color w:val="808080" w:themeColor="background1" w:themeShade="80"/>
                <w:sz w:val="28"/>
                <w:szCs w:val="28"/>
                <w:rtl/>
              </w:rPr>
              <w:t xml:space="preserve">مكتب الاتصالات الراديوية </w:t>
            </w:r>
            <w:r w:rsidRPr="0041705E">
              <w:rPr>
                <w:b/>
                <w:bCs/>
                <w:color w:val="808080" w:themeColor="background1" w:themeShade="80"/>
                <w:sz w:val="28"/>
                <w:szCs w:val="28"/>
                <w:lang w:bidi="ar-EG"/>
              </w:rPr>
              <w:t>(BR)</w:t>
            </w:r>
          </w:p>
          <w:p w14:paraId="2219A5D1" w14:textId="77777777" w:rsidR="000F7BBE" w:rsidRPr="0041705E" w:rsidRDefault="000F7BBE" w:rsidP="000F7BBE">
            <w:pPr>
              <w:rPr>
                <w:b/>
                <w:bCs/>
                <w:rtl/>
                <w:lang w:bidi="ar-EG"/>
              </w:rPr>
            </w:pPr>
          </w:p>
        </w:tc>
      </w:tr>
      <w:tr w:rsidR="000F7BBE" w:rsidRPr="0041705E" w14:paraId="2760FBC4" w14:textId="77777777" w:rsidTr="00153E23">
        <w:tc>
          <w:tcPr>
            <w:tcW w:w="2707" w:type="pct"/>
            <w:gridSpan w:val="2"/>
            <w:shd w:val="clear" w:color="auto" w:fill="auto"/>
          </w:tcPr>
          <w:p w14:paraId="53667C22" w14:textId="38695197" w:rsidR="000F7BBE" w:rsidRPr="0041705E" w:rsidRDefault="000F7BBE" w:rsidP="004111FB">
            <w:pPr>
              <w:spacing w:before="80" w:line="300" w:lineRule="exact"/>
              <w:rPr>
                <w:position w:val="2"/>
                <w:lang w:bidi="ar-EG"/>
              </w:rPr>
            </w:pPr>
            <w:r w:rsidRPr="0041705E">
              <w:rPr>
                <w:position w:val="2"/>
                <w:rtl/>
                <w:lang w:bidi="ar-AE"/>
              </w:rPr>
              <w:t>الرسالة الإدارية المعممة</w:t>
            </w:r>
          </w:p>
          <w:p w14:paraId="1DB4F3A1" w14:textId="6AD9BC04" w:rsidR="000F7BBE" w:rsidRPr="0041705E" w:rsidRDefault="000F7BBE" w:rsidP="004111FB">
            <w:pPr>
              <w:spacing w:before="0" w:after="60" w:line="300" w:lineRule="exact"/>
              <w:rPr>
                <w:position w:val="2"/>
                <w:rtl/>
                <w:lang w:bidi="ar-SY"/>
              </w:rPr>
            </w:pPr>
            <w:r w:rsidRPr="003C5A6E">
              <w:rPr>
                <w:b/>
                <w:bCs/>
                <w:position w:val="2"/>
                <w:lang w:val="en-GB" w:bidi="ar-EG"/>
              </w:rPr>
              <w:t>CACE/</w:t>
            </w:r>
            <w:r w:rsidR="003C5A6E" w:rsidRPr="003C5A6E">
              <w:rPr>
                <w:b/>
                <w:bCs/>
                <w:position w:val="2"/>
                <w:lang w:val="en-GB" w:bidi="ar-EG"/>
              </w:rPr>
              <w:t>1133</w:t>
            </w:r>
          </w:p>
        </w:tc>
        <w:tc>
          <w:tcPr>
            <w:tcW w:w="2293" w:type="pct"/>
            <w:shd w:val="clear" w:color="auto" w:fill="auto"/>
          </w:tcPr>
          <w:p w14:paraId="41F321B5" w14:textId="7827F44E" w:rsidR="000F7BBE" w:rsidRPr="0041705E" w:rsidRDefault="003C5A6E" w:rsidP="00F16820">
            <w:pPr>
              <w:spacing w:before="80" w:after="60" w:line="300" w:lineRule="exact"/>
              <w:jc w:val="right"/>
              <w:rPr>
                <w:position w:val="2"/>
                <w:rtl/>
              </w:rPr>
            </w:pPr>
            <w:r>
              <w:rPr>
                <w:rFonts w:hint="cs"/>
                <w:position w:val="2"/>
                <w:rtl/>
                <w:lang w:val="fr-FR" w:bidi="ar-EG"/>
              </w:rPr>
              <w:t>11 فبراير 2025</w:t>
            </w:r>
          </w:p>
        </w:tc>
      </w:tr>
      <w:tr w:rsidR="000F7BBE" w:rsidRPr="0041705E" w14:paraId="0366ECAD" w14:textId="77777777" w:rsidTr="00153E23">
        <w:tc>
          <w:tcPr>
            <w:tcW w:w="5000" w:type="pct"/>
            <w:gridSpan w:val="3"/>
            <w:shd w:val="clear" w:color="auto" w:fill="auto"/>
          </w:tcPr>
          <w:p w14:paraId="4EA74DF7" w14:textId="77777777" w:rsidR="000F7BBE" w:rsidRPr="0041705E" w:rsidRDefault="000F7BBE" w:rsidP="00555E7B">
            <w:pPr>
              <w:spacing w:before="0" w:line="240" w:lineRule="exact"/>
              <w:rPr>
                <w:position w:val="2"/>
                <w:rtl/>
                <w:lang w:bidi="ar-SY"/>
              </w:rPr>
            </w:pPr>
          </w:p>
        </w:tc>
      </w:tr>
      <w:tr w:rsidR="000F7BBE" w:rsidRPr="0041705E" w14:paraId="720ED540" w14:textId="77777777" w:rsidTr="00153E23">
        <w:tc>
          <w:tcPr>
            <w:tcW w:w="5000" w:type="pct"/>
            <w:gridSpan w:val="3"/>
            <w:shd w:val="clear" w:color="auto" w:fill="auto"/>
          </w:tcPr>
          <w:p w14:paraId="1E926A90" w14:textId="77777777" w:rsidR="000F7BBE" w:rsidRPr="0041705E" w:rsidRDefault="000F7BBE" w:rsidP="00555E7B">
            <w:pPr>
              <w:spacing w:before="0" w:line="240" w:lineRule="exact"/>
              <w:rPr>
                <w:position w:val="2"/>
                <w:rtl/>
                <w:lang w:bidi="ar-SY"/>
              </w:rPr>
            </w:pPr>
          </w:p>
        </w:tc>
      </w:tr>
      <w:tr w:rsidR="000F7BBE" w:rsidRPr="0041705E" w14:paraId="363667D3" w14:textId="77777777" w:rsidTr="00153E23">
        <w:tc>
          <w:tcPr>
            <w:tcW w:w="5000" w:type="pct"/>
            <w:gridSpan w:val="3"/>
            <w:shd w:val="clear" w:color="auto" w:fill="auto"/>
          </w:tcPr>
          <w:p w14:paraId="3E17E845" w14:textId="3CD780D0" w:rsidR="000F7BBE" w:rsidRPr="0041705E" w:rsidRDefault="00555E7B" w:rsidP="00F16820">
            <w:pPr>
              <w:spacing w:before="80" w:after="60" w:line="300" w:lineRule="exact"/>
              <w:jc w:val="left"/>
              <w:rPr>
                <w:b/>
                <w:bCs/>
                <w:position w:val="2"/>
                <w:lang w:bidi="ar-EG"/>
              </w:rPr>
            </w:pPr>
            <w:r w:rsidRPr="0041705E">
              <w:rPr>
                <w:b/>
                <w:bCs/>
                <w:w w:val="115"/>
                <w:position w:val="2"/>
                <w:rtl/>
              </w:rPr>
              <w:t>إلى إدارات الدول الأعضاء في الاتحاد وأعضاء قطاع الاتصالات الراديوية والمنتسبين إليه</w:t>
            </w:r>
            <w:r w:rsidRPr="0041705E">
              <w:rPr>
                <w:b/>
                <w:bCs/>
                <w:position w:val="2"/>
                <w:rtl/>
              </w:rPr>
              <w:br/>
            </w:r>
            <w:r w:rsidR="00105A96" w:rsidRPr="0041705E">
              <w:rPr>
                <w:b/>
                <w:bCs/>
                <w:position w:val="2"/>
                <w:rtl/>
                <w:lang w:bidi="ar-EG"/>
              </w:rPr>
              <w:t xml:space="preserve">والهيئات الأكاديمية المنضمة إلى الاتحاد </w:t>
            </w:r>
            <w:r w:rsidRPr="0041705E">
              <w:rPr>
                <w:b/>
                <w:bCs/>
                <w:position w:val="2"/>
                <w:rtl/>
                <w:lang w:bidi="ar-EG"/>
              </w:rPr>
              <w:t xml:space="preserve">المشاركين في أعمال لجنة الدراسات </w:t>
            </w:r>
            <w:r w:rsidR="003C5A6E">
              <w:rPr>
                <w:rFonts w:hint="cs"/>
                <w:b/>
                <w:bCs/>
                <w:position w:val="2"/>
                <w:rtl/>
                <w:lang w:val="en-GB" w:bidi="ar-EG"/>
              </w:rPr>
              <w:t>6</w:t>
            </w:r>
            <w:r w:rsidRPr="0041705E">
              <w:rPr>
                <w:b/>
                <w:bCs/>
                <w:position w:val="2"/>
                <w:rtl/>
                <w:lang w:bidi="ar-EG"/>
              </w:rPr>
              <w:t xml:space="preserve"> للاتصالات الراديوية </w:t>
            </w:r>
          </w:p>
        </w:tc>
      </w:tr>
      <w:tr w:rsidR="000F7BBE" w:rsidRPr="0041705E" w14:paraId="243E73F6" w14:textId="77777777" w:rsidTr="00153E23">
        <w:tc>
          <w:tcPr>
            <w:tcW w:w="5000" w:type="pct"/>
            <w:gridSpan w:val="3"/>
            <w:shd w:val="clear" w:color="auto" w:fill="auto"/>
          </w:tcPr>
          <w:p w14:paraId="6039CB70" w14:textId="77777777" w:rsidR="000F7BBE" w:rsidRPr="0041705E" w:rsidRDefault="000F7BBE" w:rsidP="00555E7B">
            <w:pPr>
              <w:spacing w:before="0" w:line="240" w:lineRule="exact"/>
              <w:rPr>
                <w:position w:val="2"/>
                <w:rtl/>
                <w:lang w:bidi="ar-SY"/>
              </w:rPr>
            </w:pPr>
          </w:p>
        </w:tc>
      </w:tr>
      <w:tr w:rsidR="000F7BBE" w:rsidRPr="0041705E" w14:paraId="37328BF9" w14:textId="77777777" w:rsidTr="00153E23">
        <w:tc>
          <w:tcPr>
            <w:tcW w:w="5000" w:type="pct"/>
            <w:gridSpan w:val="3"/>
            <w:shd w:val="clear" w:color="auto" w:fill="auto"/>
          </w:tcPr>
          <w:p w14:paraId="0AF369E7" w14:textId="77777777" w:rsidR="000F7BBE" w:rsidRPr="0041705E" w:rsidRDefault="000F7BBE" w:rsidP="00555E7B">
            <w:pPr>
              <w:spacing w:before="0" w:line="240" w:lineRule="exact"/>
              <w:rPr>
                <w:position w:val="2"/>
                <w:rtl/>
                <w:lang w:bidi="ar-SY"/>
              </w:rPr>
            </w:pPr>
          </w:p>
        </w:tc>
      </w:tr>
      <w:tr w:rsidR="000F7BBE" w:rsidRPr="0041705E" w14:paraId="5DC1ADF8" w14:textId="77777777" w:rsidTr="00153E23">
        <w:trPr>
          <w:trHeight w:val="452"/>
        </w:trPr>
        <w:tc>
          <w:tcPr>
            <w:tcW w:w="699" w:type="pct"/>
            <w:shd w:val="clear" w:color="auto" w:fill="auto"/>
          </w:tcPr>
          <w:p w14:paraId="2930AD1E" w14:textId="77777777" w:rsidR="000F7BBE" w:rsidRPr="0041705E" w:rsidRDefault="000F7BBE" w:rsidP="000F7BBE">
            <w:pPr>
              <w:spacing w:before="80" w:after="60" w:line="300" w:lineRule="exact"/>
              <w:rPr>
                <w:position w:val="2"/>
                <w:lang w:val="fr-FR" w:bidi="ar-EG"/>
              </w:rPr>
            </w:pPr>
            <w:r w:rsidRPr="0041705E">
              <w:rPr>
                <w:position w:val="2"/>
                <w:rtl/>
              </w:rPr>
              <w:t>الموضوع</w:t>
            </w:r>
            <w:r w:rsidRPr="0041705E">
              <w:rPr>
                <w:position w:val="2"/>
                <w:lang w:val="en-GB" w:bidi="ar-EG"/>
              </w:rPr>
              <w:t>:</w:t>
            </w:r>
          </w:p>
        </w:tc>
        <w:tc>
          <w:tcPr>
            <w:tcW w:w="4301" w:type="pct"/>
            <w:gridSpan w:val="2"/>
            <w:shd w:val="clear" w:color="auto" w:fill="auto"/>
          </w:tcPr>
          <w:p w14:paraId="600079C1" w14:textId="556E67CD" w:rsidR="00555E7B" w:rsidRPr="00AB6167" w:rsidRDefault="00555E7B" w:rsidP="00555E7B">
            <w:pPr>
              <w:tabs>
                <w:tab w:val="clear" w:pos="794"/>
                <w:tab w:val="left" w:pos="385"/>
              </w:tabs>
              <w:spacing w:before="60" w:after="60" w:line="300" w:lineRule="exact"/>
              <w:ind w:left="385" w:hanging="385"/>
              <w:rPr>
                <w:b/>
                <w:bCs/>
                <w:position w:val="2"/>
                <w:rtl/>
                <w:lang w:bidi="ar-EG"/>
              </w:rPr>
            </w:pPr>
            <w:r w:rsidRPr="00AB6167">
              <w:rPr>
                <w:b/>
                <w:bCs/>
                <w:position w:val="2"/>
                <w:rtl/>
                <w:lang w:bidi="ar-EG"/>
              </w:rPr>
              <w:t xml:space="preserve">لجنة الدراسات </w:t>
            </w:r>
            <w:r w:rsidR="003C5A6E" w:rsidRPr="00AB6167">
              <w:rPr>
                <w:rFonts w:hint="cs"/>
                <w:b/>
                <w:bCs/>
                <w:position w:val="2"/>
                <w:rtl/>
                <w:lang w:bidi="ar-EG"/>
              </w:rPr>
              <w:t>6</w:t>
            </w:r>
            <w:r w:rsidRPr="00AB6167">
              <w:rPr>
                <w:b/>
                <w:bCs/>
                <w:position w:val="2"/>
                <w:rtl/>
                <w:lang w:bidi="ar-EG"/>
              </w:rPr>
              <w:t xml:space="preserve"> للاتصالات الراديوية </w:t>
            </w:r>
            <w:sdt>
              <w:sdtPr>
                <w:rPr>
                  <w:b/>
                  <w:bCs/>
                  <w:position w:val="2"/>
                  <w:rtl/>
                </w:rPr>
                <w:alias w:val="SG"/>
                <w:tag w:val="SG"/>
                <w:id w:val="-2083972692"/>
                <w:placeholder>
                  <w:docPart w:val="B1A4F073F8CB4B2D953BE612DCBA638F"/>
                </w:placeholder>
              </w:sdtPr>
              <w:sdtEndPr/>
              <w:sdtContent>
                <w:sdt>
                  <w:sdtPr>
                    <w:rPr>
                      <w:b/>
                      <w:bCs/>
                      <w:position w:val="2"/>
                      <w:rtl/>
                    </w:rPr>
                    <w:id w:val="1324467921"/>
                    <w:placeholder>
                      <w:docPart w:val="B6DB2C5B270F4ED8A43D1A025C7E16E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003C5A6E" w:rsidRPr="00AB6167">
                      <w:rPr>
                        <w:rFonts w:hint="cs"/>
                        <w:b/>
                        <w:bCs/>
                        <w:position w:val="2"/>
                        <w:rtl/>
                      </w:rPr>
                      <w:t>(الخدمة الإذاعية)</w:t>
                    </w:r>
                  </w:sdtContent>
                </w:sdt>
              </w:sdtContent>
            </w:sdt>
          </w:p>
          <w:p w14:paraId="4B6E33AF" w14:textId="7FF00F50" w:rsidR="000F7BBE" w:rsidRPr="00AB6167" w:rsidRDefault="00555E7B" w:rsidP="00AB6167">
            <w:pPr>
              <w:pStyle w:val="enumlev1"/>
              <w:rPr>
                <w:b/>
                <w:bCs/>
              </w:rPr>
            </w:pPr>
            <w:r w:rsidRPr="00AB6167">
              <w:rPr>
                <w:b/>
                <w:bCs/>
                <w:rtl/>
              </w:rPr>
              <w:t>-</w:t>
            </w:r>
            <w:r w:rsidRPr="00AB6167">
              <w:rPr>
                <w:b/>
                <w:bCs/>
                <w:rtl/>
              </w:rPr>
              <w:tab/>
              <w:t>اقتراح الموافقة على مشروع مراجعة توصية لقطاع الاتصالات الراديوية</w:t>
            </w:r>
          </w:p>
        </w:tc>
      </w:tr>
      <w:tr w:rsidR="00FC09E8" w:rsidRPr="0041705E" w14:paraId="05C3D499" w14:textId="77777777" w:rsidTr="00153E23">
        <w:trPr>
          <w:trHeight w:val="452"/>
        </w:trPr>
        <w:tc>
          <w:tcPr>
            <w:tcW w:w="699" w:type="pct"/>
            <w:shd w:val="clear" w:color="auto" w:fill="auto"/>
          </w:tcPr>
          <w:p w14:paraId="6A3BE46C" w14:textId="77777777" w:rsidR="00FC09E8" w:rsidRPr="0041705E" w:rsidRDefault="00FC09E8" w:rsidP="000F7BBE">
            <w:pPr>
              <w:spacing w:before="80" w:after="60" w:line="300" w:lineRule="exact"/>
              <w:rPr>
                <w:position w:val="2"/>
                <w:rtl/>
              </w:rPr>
            </w:pPr>
          </w:p>
        </w:tc>
        <w:tc>
          <w:tcPr>
            <w:tcW w:w="4301" w:type="pct"/>
            <w:gridSpan w:val="2"/>
            <w:shd w:val="clear" w:color="auto" w:fill="auto"/>
          </w:tcPr>
          <w:p w14:paraId="16B70191" w14:textId="77777777" w:rsidR="00FC09E8" w:rsidRPr="0041705E" w:rsidRDefault="00FC09E8" w:rsidP="00F16820">
            <w:pPr>
              <w:tabs>
                <w:tab w:val="clear" w:pos="794"/>
                <w:tab w:val="left" w:pos="385"/>
              </w:tabs>
              <w:spacing w:before="80" w:after="60" w:line="300" w:lineRule="exact"/>
              <w:ind w:left="385" w:hanging="385"/>
              <w:rPr>
                <w:b/>
                <w:bCs/>
                <w:position w:val="2"/>
                <w:rtl/>
                <w:lang w:bidi="ar-EG"/>
              </w:rPr>
            </w:pPr>
          </w:p>
        </w:tc>
      </w:tr>
    </w:tbl>
    <w:p w14:paraId="18DED7E7" w14:textId="77777777" w:rsidR="00555E7B" w:rsidRPr="0041705E" w:rsidRDefault="00555E7B" w:rsidP="00555E7B">
      <w:pPr>
        <w:spacing w:before="600"/>
        <w:rPr>
          <w:lang w:bidi="ar-EG"/>
        </w:rPr>
      </w:pPr>
      <w:r w:rsidRPr="0041705E">
        <w:rPr>
          <w:rtl/>
          <w:lang w:bidi="ar-EG"/>
        </w:rPr>
        <w:t>تحية طيبة وبعد،</w:t>
      </w:r>
    </w:p>
    <w:p w14:paraId="380D851F" w14:textId="2EC0DB10" w:rsidR="00555E7B" w:rsidRPr="0041705E" w:rsidRDefault="00555E7B" w:rsidP="00555E7B">
      <w:pPr>
        <w:rPr>
          <w:rtl/>
          <w:lang w:bidi="ar-EG"/>
        </w:rPr>
      </w:pPr>
      <w:r w:rsidRPr="0041705E">
        <w:rPr>
          <w:rtl/>
          <w:lang w:bidi="ar-EG"/>
        </w:rPr>
        <w:t xml:space="preserve">قررت لجنة الدراسات </w:t>
      </w:r>
      <w:r w:rsidR="00E34848">
        <w:rPr>
          <w:rFonts w:hint="cs"/>
          <w:rtl/>
        </w:rPr>
        <w:t>6</w:t>
      </w:r>
      <w:r w:rsidRPr="0041705E">
        <w:rPr>
          <w:rtl/>
          <w:lang w:bidi="ar-EG"/>
        </w:rPr>
        <w:t xml:space="preserve"> للاتصالات الراديوية في اجتماعها الذي عُقد </w:t>
      </w:r>
      <w:r w:rsidR="001C3B13" w:rsidRPr="0041705E">
        <w:rPr>
          <w:rtl/>
          <w:lang w:bidi="ar-EG"/>
        </w:rPr>
        <w:t>في</w:t>
      </w:r>
      <w:r w:rsidRPr="00E34848">
        <w:rPr>
          <w:rtl/>
          <w:lang w:bidi="ar-EG"/>
        </w:rPr>
        <w:t xml:space="preserve"> </w:t>
      </w:r>
      <w:r w:rsidR="00E34848">
        <w:rPr>
          <w:rFonts w:hint="cs"/>
          <w:rtl/>
        </w:rPr>
        <w:t>15</w:t>
      </w:r>
      <w:r w:rsidRPr="00E34848">
        <w:rPr>
          <w:rtl/>
          <w:lang w:bidi="ar-EG"/>
        </w:rPr>
        <w:t xml:space="preserve"> </w:t>
      </w:r>
      <w:r w:rsidR="00E34848">
        <w:rPr>
          <w:rFonts w:hint="cs"/>
          <w:rtl/>
          <w:lang w:bidi="ar-EG"/>
        </w:rPr>
        <w:t>نوفمبر</w:t>
      </w:r>
      <w:r w:rsidRPr="00E34848">
        <w:rPr>
          <w:rtl/>
          <w:lang w:bidi="ar-EG"/>
        </w:rPr>
        <w:t xml:space="preserve"> </w:t>
      </w:r>
      <w:r w:rsidR="00E34848">
        <w:rPr>
          <w:rFonts w:hint="cs"/>
          <w:rtl/>
        </w:rPr>
        <w:t>2024</w:t>
      </w:r>
      <w:r w:rsidRPr="00E34848">
        <w:rPr>
          <w:rtl/>
          <w:lang w:bidi="ar-EG"/>
        </w:rPr>
        <w:t>، أن</w:t>
      </w:r>
      <w:r w:rsidRPr="0041705E">
        <w:rPr>
          <w:rtl/>
          <w:lang w:bidi="ar-EG"/>
        </w:rPr>
        <w:t xml:space="preserve"> تلتمس اعتماد مشروع مراجعة توصية عن طريق المراسلة، وفقاً للفقرة </w:t>
      </w:r>
      <w:r w:rsidRPr="0041705E">
        <w:t>3.2.2.6.A2</w:t>
      </w:r>
      <w:r w:rsidRPr="0041705E">
        <w:rPr>
          <w:rtl/>
          <w:lang w:bidi="ar-SY"/>
        </w:rPr>
        <w:t xml:space="preserve"> من</w:t>
      </w:r>
      <w:r w:rsidRPr="0041705E">
        <w:rPr>
          <w:rtl/>
          <w:lang w:bidi="ar-EG"/>
        </w:rPr>
        <w:t xml:space="preserve"> القرار </w:t>
      </w:r>
      <w:r w:rsidRPr="0041705E">
        <w:rPr>
          <w:lang w:val="en-GB"/>
        </w:rPr>
        <w:t>ITU</w:t>
      </w:r>
      <w:r w:rsidRPr="0041705E">
        <w:rPr>
          <w:lang w:val="en-GB"/>
        </w:rPr>
        <w:noBreakHyphen/>
        <w:t>R 1</w:t>
      </w:r>
      <w:r w:rsidRPr="0041705E">
        <w:rPr>
          <w:lang w:val="en-GB"/>
        </w:rPr>
        <w:noBreakHyphen/>
      </w:r>
      <w:r w:rsidR="001C3B13" w:rsidRPr="0041705E">
        <w:rPr>
          <w:lang w:val="en-GB"/>
        </w:rPr>
        <w:t>9</w:t>
      </w:r>
      <w:r w:rsidRPr="0041705E">
        <w:rPr>
          <w:rtl/>
        </w:rPr>
        <w:t>.</w:t>
      </w:r>
      <w:r w:rsidRPr="0041705E">
        <w:rPr>
          <w:rtl/>
          <w:lang w:bidi="ar-EG"/>
        </w:rPr>
        <w:t xml:space="preserve"> </w:t>
      </w:r>
      <w:r w:rsidRPr="0041705E">
        <w:rPr>
          <w:rtl/>
          <w:lang w:bidi="ar-SY"/>
        </w:rPr>
        <w:t xml:space="preserve">ومن ثم اعتمدت لجنة الدراسات </w:t>
      </w:r>
      <w:r w:rsidR="00CB3261">
        <w:rPr>
          <w:rFonts w:hint="cs"/>
          <w:rtl/>
        </w:rPr>
        <w:t>6</w:t>
      </w:r>
      <w:r w:rsidRPr="0041705E">
        <w:rPr>
          <w:rtl/>
          <w:lang w:bidi="ar-SY"/>
        </w:rPr>
        <w:t xml:space="preserve"> التوصية المذكورة، ويتعين تطبيق إجراء الموافقة المنصوص عليه في الفقرة </w:t>
      </w:r>
      <w:r w:rsidRPr="0041705E">
        <w:t>3.2.6.A2</w:t>
      </w:r>
      <w:r w:rsidRPr="0041705E">
        <w:rPr>
          <w:rtl/>
          <w:lang w:bidi="ar-SY"/>
        </w:rPr>
        <w:t xml:space="preserve"> من القرار </w:t>
      </w:r>
      <w:r w:rsidRPr="0041705E">
        <w:t>ITU</w:t>
      </w:r>
      <w:r w:rsidRPr="0041705E">
        <w:noBreakHyphen/>
        <w:t>R 1</w:t>
      </w:r>
      <w:r w:rsidRPr="0041705E">
        <w:noBreakHyphen/>
      </w:r>
      <w:r w:rsidR="009810A0" w:rsidRPr="0041705E">
        <w:t>9</w:t>
      </w:r>
      <w:r w:rsidRPr="0041705E">
        <w:rPr>
          <w:rtl/>
          <w:lang w:bidi="ar-SY"/>
        </w:rPr>
        <w:t>.</w:t>
      </w:r>
      <w:r w:rsidRPr="0041705E">
        <w:rPr>
          <w:rtl/>
          <w:lang w:bidi="ar-EG"/>
        </w:rPr>
        <w:t xml:space="preserve"> ويرد عنوان وملخص </w:t>
      </w:r>
      <w:r w:rsidR="00CB3261">
        <w:rPr>
          <w:rFonts w:hint="cs"/>
          <w:rtl/>
          <w:lang w:bidi="ar-EG"/>
        </w:rPr>
        <w:t xml:space="preserve">مشروع </w:t>
      </w:r>
      <w:r w:rsidRPr="00CB3261">
        <w:rPr>
          <w:rtl/>
          <w:lang w:bidi="ar-EG"/>
        </w:rPr>
        <w:t>التوصية في ملحق هذه الرسالة.</w:t>
      </w:r>
      <w:r w:rsidRPr="0041705E">
        <w:rPr>
          <w:rtl/>
          <w:lang w:bidi="ar-EG"/>
        </w:rPr>
        <w:t xml:space="preserve"> ويرجى من أي دولة عضو </w:t>
      </w:r>
      <w:r w:rsidR="001C3B13" w:rsidRPr="0041705E">
        <w:rPr>
          <w:rtl/>
          <w:lang w:bidi="ar-EG"/>
        </w:rPr>
        <w:t>تبدي اعتراضاً</w:t>
      </w:r>
      <w:r w:rsidRPr="0041705E">
        <w:rPr>
          <w:rtl/>
          <w:lang w:bidi="ar-EG"/>
        </w:rPr>
        <w:t xml:space="preserve"> على الموافقة على مشروع توصية أن تخبر المدير ورئيس لجنة الدراسات بأسباب اعتراضها.</w:t>
      </w:r>
    </w:p>
    <w:p w14:paraId="4084B918" w14:textId="6B6E6F27" w:rsidR="00555E7B" w:rsidRPr="0041705E" w:rsidRDefault="00555E7B" w:rsidP="00555E7B">
      <w:pPr>
        <w:rPr>
          <w:rtl/>
          <w:lang w:bidi="ar-SY"/>
        </w:rPr>
      </w:pPr>
      <w:r w:rsidRPr="0041705E">
        <w:rPr>
          <w:rtl/>
          <w:lang w:bidi="ar-EG"/>
        </w:rPr>
        <w:t xml:space="preserve">وكما ورد في الرسالة الإدارية </w:t>
      </w:r>
      <w:r w:rsidRPr="00CB3261">
        <w:rPr>
          <w:rtl/>
          <w:lang w:bidi="ar-EG"/>
        </w:rPr>
        <w:t xml:space="preserve">المعممة </w:t>
      </w:r>
      <w:r w:rsidRPr="00C36018">
        <w:t>CACE/</w:t>
      </w:r>
      <w:r w:rsidR="00CB3261" w:rsidRPr="00C36018">
        <w:t>1123</w:t>
      </w:r>
      <w:r w:rsidRPr="0041705E">
        <w:rPr>
          <w:rtl/>
          <w:lang w:bidi="ar-SY"/>
        </w:rPr>
        <w:t xml:space="preserve"> المؤرخة </w:t>
      </w:r>
      <w:r w:rsidR="00CB3261">
        <w:rPr>
          <w:rFonts w:hint="cs"/>
          <w:rtl/>
          <w:lang w:bidi="ar-SY"/>
        </w:rPr>
        <w:t>3 ديسمبر 2024</w:t>
      </w:r>
      <w:r w:rsidRPr="0041705E">
        <w:rPr>
          <w:rtl/>
          <w:lang w:bidi="ar-SY"/>
        </w:rPr>
        <w:t xml:space="preserve">، انتهت فترة التشاور بشأن اعتماد هذه </w:t>
      </w:r>
      <w:r w:rsidR="00F03957" w:rsidRPr="0041705E">
        <w:rPr>
          <w:rtl/>
        </w:rPr>
        <w:t xml:space="preserve">التوصية </w:t>
      </w:r>
      <w:r w:rsidRPr="0041705E">
        <w:rPr>
          <w:rtl/>
          <w:lang w:bidi="ar-SY"/>
        </w:rPr>
        <w:t>في </w:t>
      </w:r>
      <w:r w:rsidR="00CB3261">
        <w:rPr>
          <w:rFonts w:hint="cs"/>
          <w:rtl/>
          <w:lang w:bidi="ar-SY"/>
        </w:rPr>
        <w:t>3 فبراير 2025</w:t>
      </w:r>
      <w:r w:rsidRPr="0041705E">
        <w:rPr>
          <w:rtl/>
          <w:lang w:bidi="ar-SY"/>
        </w:rPr>
        <w:t>.</w:t>
      </w:r>
    </w:p>
    <w:p w14:paraId="3EBDA490" w14:textId="66A80D2E" w:rsidR="00555E7B" w:rsidRPr="0041705E" w:rsidRDefault="00555E7B" w:rsidP="00555E7B">
      <w:pPr>
        <w:rPr>
          <w:lang w:bidi="ar-EG"/>
        </w:rPr>
      </w:pPr>
      <w:r w:rsidRPr="0041705E">
        <w:rPr>
          <w:rtl/>
          <w:lang w:bidi="ar-EG"/>
        </w:rPr>
        <w:t>وبالنظر إلى أحكام الفقرة </w:t>
      </w:r>
      <w:r w:rsidRPr="0041705E">
        <w:t>3.2.6.A2</w:t>
      </w:r>
      <w:r w:rsidRPr="0041705E">
        <w:rPr>
          <w:rtl/>
          <w:lang w:bidi="ar-EG"/>
        </w:rPr>
        <w:t xml:space="preserve"> من القرار </w:t>
      </w:r>
      <w:r w:rsidRPr="0041705E">
        <w:rPr>
          <w:lang w:val="en-GB"/>
        </w:rPr>
        <w:t>ITU</w:t>
      </w:r>
      <w:r w:rsidRPr="0041705E">
        <w:rPr>
          <w:lang w:val="en-GB"/>
        </w:rPr>
        <w:noBreakHyphen/>
        <w:t>R </w:t>
      </w:r>
      <w:r w:rsidRPr="00CB3261">
        <w:rPr>
          <w:lang w:val="en-GB"/>
        </w:rPr>
        <w:t>1</w:t>
      </w:r>
      <w:r w:rsidR="00AC3CE5" w:rsidRPr="00CB3261">
        <w:rPr>
          <w:lang w:val="en-GB"/>
        </w:rPr>
        <w:t>-9</w:t>
      </w:r>
      <w:r w:rsidRPr="00CB3261">
        <w:rPr>
          <w:rtl/>
          <w:lang w:bidi="ar-EG"/>
        </w:rPr>
        <w:t>،</w:t>
      </w:r>
      <w:r w:rsidRPr="0041705E">
        <w:rPr>
          <w:rtl/>
          <w:lang w:bidi="ar-EG"/>
        </w:rPr>
        <w:t xml:space="preserve"> يرجى من الدول الأعضاء إبلاغ الأمانة </w:t>
      </w:r>
      <w:r w:rsidRPr="0041705E">
        <w:t>(</w:t>
      </w:r>
      <w:hyperlink r:id="rId8" w:history="1">
        <w:r w:rsidRPr="0041705E">
          <w:rPr>
            <w:rStyle w:val="Hyperlink"/>
            <w:lang w:val="en-GB"/>
          </w:rPr>
          <w:t>brsgd@itu.int</w:t>
        </w:r>
      </w:hyperlink>
      <w:r w:rsidRPr="0041705E">
        <w:t>)</w:t>
      </w:r>
      <w:r w:rsidRPr="0041705E">
        <w:rPr>
          <w:rtl/>
          <w:lang w:bidi="ar-EG"/>
        </w:rPr>
        <w:t xml:space="preserve"> في موعد أقصاه </w:t>
      </w:r>
      <w:r w:rsidR="00CB3261">
        <w:rPr>
          <w:rFonts w:hint="cs"/>
          <w:u w:val="single"/>
          <w:rtl/>
          <w:lang w:bidi="ar-EG"/>
        </w:rPr>
        <w:t>11 أبريل 2025</w:t>
      </w:r>
      <w:r w:rsidRPr="0041705E">
        <w:rPr>
          <w:rtl/>
          <w:lang w:bidi="ar-EG"/>
        </w:rPr>
        <w:t xml:space="preserve"> بما إذا كانت توافق أم لا توافق على المقترح</w:t>
      </w:r>
      <w:r w:rsidR="0041705E" w:rsidRPr="0041705E">
        <w:rPr>
          <w:rtl/>
          <w:lang w:bidi="ar-EG"/>
        </w:rPr>
        <w:t xml:space="preserve"> </w:t>
      </w:r>
      <w:r w:rsidRPr="0041705E">
        <w:rPr>
          <w:rtl/>
          <w:lang w:bidi="ar-EG"/>
        </w:rPr>
        <w:t>المذكورة أعلاه.</w:t>
      </w:r>
    </w:p>
    <w:p w14:paraId="0C5EEFCC" w14:textId="580E7B5F" w:rsidR="00555E7B" w:rsidRPr="0041705E" w:rsidRDefault="00555E7B" w:rsidP="00555E7B">
      <w:pPr>
        <w:rPr>
          <w:rtl/>
          <w:lang w:bidi="ar-EG"/>
        </w:rPr>
      </w:pPr>
      <w:r w:rsidRPr="0041705E">
        <w:rPr>
          <w:rtl/>
          <w:lang w:bidi="ar-EG"/>
        </w:rPr>
        <w:t>وبعد الموعد النهائي المحدد أعلاه، ستعلن نتائج هذا التشاور في رسالة إدارية معممة ثم تُنشر التوصية الموافَق عليها في أقرب وقت ممكن</w:t>
      </w:r>
      <w:r w:rsidR="00F03957" w:rsidRPr="0041705E">
        <w:rPr>
          <w:rtl/>
        </w:rPr>
        <w:t xml:space="preserve"> عملياً</w:t>
      </w:r>
      <w:r w:rsidRPr="0041705E">
        <w:rPr>
          <w:rtl/>
          <w:lang w:bidi="ar-EG"/>
        </w:rPr>
        <w:t xml:space="preserve"> (انظر </w:t>
      </w:r>
      <w:hyperlink r:id="rId9" w:history="1">
        <w:r w:rsidRPr="0041705E">
          <w:rPr>
            <w:rStyle w:val="Hyperlink"/>
          </w:rPr>
          <w:t>http://www.itu.int/pub/R-REC</w:t>
        </w:r>
      </w:hyperlink>
      <w:r w:rsidRPr="0041705E">
        <w:rPr>
          <w:rtl/>
          <w:lang w:bidi="ar-EG"/>
        </w:rPr>
        <w:t>).</w:t>
      </w:r>
    </w:p>
    <w:p w14:paraId="31222387" w14:textId="3E9FC74D" w:rsidR="00555E7B" w:rsidRPr="0041705E" w:rsidRDefault="00555E7B" w:rsidP="00555E7B">
      <w:pPr>
        <w:pageBreakBefore/>
        <w:rPr>
          <w:spacing w:val="-4"/>
          <w:rtl/>
        </w:rPr>
      </w:pPr>
      <w:r w:rsidRPr="0041705E">
        <w:rPr>
          <w:spacing w:val="-4"/>
          <w:rtl/>
          <w:lang w:bidi="ar-EG"/>
        </w:rPr>
        <w:lastRenderedPageBreak/>
        <w:t xml:space="preserve">ويرجى من أي منظمة عضو في الاتحاد تعلم بوجود براءة اختراع لديها أو لدى غيرها تغطي كلياً أو جزئياً عناصر من مشروع التوصية المذكورة في هذه الرسالة أن تبلغ الأمانة بهذه المعلومات بأسرع ما يمكن. ويمكن الاطلاع على السياسة المشتركة </w:t>
      </w:r>
      <w:r w:rsidRPr="0041705E">
        <w:rPr>
          <w:spacing w:val="-2"/>
          <w:rtl/>
          <w:lang w:bidi="ar-EG"/>
        </w:rPr>
        <w:t xml:space="preserve">للبراءات </w:t>
      </w:r>
      <w:r w:rsidRPr="0041705E">
        <w:rPr>
          <w:spacing w:val="-2"/>
          <w:lang w:bidi="ar-EG"/>
        </w:rPr>
        <w:t>"ITU</w:t>
      </w:r>
      <w:r w:rsidRPr="0041705E">
        <w:rPr>
          <w:spacing w:val="-2"/>
          <w:lang w:bidi="ar-EG"/>
        </w:rPr>
        <w:noBreakHyphen/>
        <w:t>T/ITU</w:t>
      </w:r>
      <w:r w:rsidRPr="0041705E">
        <w:rPr>
          <w:spacing w:val="-2"/>
          <w:lang w:bidi="ar-EG"/>
        </w:rPr>
        <w:noBreakHyphen/>
        <w:t>R/ISO/IEC"</w:t>
      </w:r>
      <w:r w:rsidRPr="0041705E">
        <w:rPr>
          <w:spacing w:val="-2"/>
          <w:rtl/>
          <w:lang w:bidi="ar-EG"/>
        </w:rPr>
        <w:t xml:space="preserve"> في الموقع الإلكتروني: </w:t>
      </w:r>
      <w:hyperlink r:id="rId10" w:history="1">
        <w:r w:rsidRPr="0041705E">
          <w:rPr>
            <w:rStyle w:val="Hyperlink"/>
            <w:spacing w:val="-2"/>
            <w:lang w:bidi="ar-EG"/>
          </w:rPr>
          <w:t>http://www.itu.int/en/ITU-T/ipr/Pages/policy.aspx</w:t>
        </w:r>
      </w:hyperlink>
      <w:r w:rsidRPr="0041705E">
        <w:rPr>
          <w:spacing w:val="-4"/>
          <w:rtl/>
          <w:lang w:bidi="ar-EG"/>
        </w:rPr>
        <w:t>.</w:t>
      </w:r>
    </w:p>
    <w:p w14:paraId="05B9B149" w14:textId="77777777" w:rsidR="00555E7B" w:rsidRPr="0041705E" w:rsidRDefault="00555E7B" w:rsidP="00555E7B">
      <w:pPr>
        <w:spacing w:before="240"/>
        <w:rPr>
          <w:rtl/>
          <w:lang w:bidi="ar-EG"/>
        </w:rPr>
      </w:pPr>
      <w:r w:rsidRPr="0041705E">
        <w:rPr>
          <w:rtl/>
          <w:lang w:bidi="ar-EG"/>
        </w:rPr>
        <w:t>وتفضلوا بقبول فائق التقدير والاحترام.</w:t>
      </w:r>
    </w:p>
    <w:p w14:paraId="3FD2FCAF" w14:textId="77777777" w:rsidR="00555E7B" w:rsidRPr="0041705E" w:rsidRDefault="00555E7B" w:rsidP="00184571">
      <w:pPr>
        <w:spacing w:before="1200"/>
        <w:jc w:val="left"/>
        <w:rPr>
          <w:rtl/>
        </w:rPr>
      </w:pPr>
      <w:r w:rsidRPr="0041705E">
        <w:rPr>
          <w:rtl/>
        </w:rPr>
        <w:t xml:space="preserve">ماريو </w:t>
      </w:r>
      <w:proofErr w:type="spellStart"/>
      <w:r w:rsidRPr="0041705E">
        <w:rPr>
          <w:rtl/>
        </w:rPr>
        <w:t>مانيفيتش</w:t>
      </w:r>
      <w:proofErr w:type="spellEnd"/>
      <w:r w:rsidRPr="0041705E">
        <w:rPr>
          <w:rtl/>
        </w:rPr>
        <w:br/>
        <w:t>المدير</w:t>
      </w:r>
    </w:p>
    <w:p w14:paraId="1C34A423" w14:textId="59A3F20D" w:rsidR="00555E7B" w:rsidRPr="0041705E" w:rsidRDefault="00F03957" w:rsidP="00184571">
      <w:pPr>
        <w:tabs>
          <w:tab w:val="clear" w:pos="794"/>
        </w:tabs>
        <w:spacing w:before="3120"/>
        <w:ind w:left="2126" w:hanging="2126"/>
        <w:jc w:val="left"/>
        <w:rPr>
          <w:rtl/>
          <w:lang w:bidi="ar-EG"/>
        </w:rPr>
      </w:pPr>
      <w:r w:rsidRPr="0041705E">
        <w:rPr>
          <w:b/>
          <w:bCs/>
          <w:rtl/>
          <w:lang w:bidi="ar-EG"/>
        </w:rPr>
        <w:t>الملحق</w:t>
      </w:r>
      <w:r w:rsidR="00555E7B" w:rsidRPr="0041705E">
        <w:rPr>
          <w:b/>
          <w:bCs/>
          <w:rtl/>
          <w:lang w:bidi="ar-EG"/>
        </w:rPr>
        <w:t>:</w:t>
      </w:r>
      <w:r w:rsidR="00555E7B" w:rsidRPr="0041705E">
        <w:rPr>
          <w:b/>
          <w:bCs/>
          <w:rtl/>
          <w:lang w:bidi="ar-EG"/>
        </w:rPr>
        <w:tab/>
      </w:r>
      <w:r w:rsidR="00555E7B" w:rsidRPr="0041705E">
        <w:rPr>
          <w:rtl/>
          <w:lang w:bidi="ar-EG"/>
        </w:rPr>
        <w:t>عنوان وملخص مشروع التوصية</w:t>
      </w:r>
    </w:p>
    <w:p w14:paraId="2A898F09" w14:textId="4BFFE5FC" w:rsidR="00555E7B" w:rsidRPr="0041705E" w:rsidRDefault="00555E7B" w:rsidP="00184571">
      <w:pPr>
        <w:spacing w:before="0"/>
        <w:jc w:val="left"/>
        <w:rPr>
          <w:rtl/>
          <w:lang w:bidi="ar-EG"/>
        </w:rPr>
      </w:pPr>
    </w:p>
    <w:p w14:paraId="19967C22" w14:textId="0DBF9F69" w:rsidR="00555E7B" w:rsidRPr="0041705E" w:rsidRDefault="00F03957" w:rsidP="00CB3261">
      <w:pPr>
        <w:spacing w:before="840"/>
        <w:rPr>
          <w:rtl/>
          <w:lang w:bidi="ar-EG"/>
        </w:rPr>
      </w:pPr>
      <w:r w:rsidRPr="0041705E">
        <w:rPr>
          <w:b/>
          <w:bCs/>
          <w:rtl/>
          <w:lang w:bidi="ar-EG"/>
        </w:rPr>
        <w:t>الوثيقة</w:t>
      </w:r>
      <w:r w:rsidR="00CB3261">
        <w:rPr>
          <w:rFonts w:hint="cs"/>
          <w:b/>
          <w:bCs/>
          <w:rtl/>
          <w:lang w:bidi="ar-EG"/>
        </w:rPr>
        <w:t>:</w:t>
      </w:r>
      <w:r w:rsidR="00555E7B" w:rsidRPr="0041705E">
        <w:rPr>
          <w:rtl/>
          <w:lang w:bidi="ar-EG"/>
        </w:rPr>
        <w:tab/>
        <w:t xml:space="preserve">الوثيقة </w:t>
      </w:r>
      <w:r w:rsidR="00CB3261" w:rsidRPr="000A19D2">
        <w:rPr>
          <w:lang w:val="en-GB"/>
        </w:rPr>
        <w:t>6/74(Rev.1)</w:t>
      </w:r>
    </w:p>
    <w:p w14:paraId="7A410835" w14:textId="32CB4E2C" w:rsidR="00555E7B" w:rsidRPr="0041705E" w:rsidRDefault="00555E7B" w:rsidP="00555E7B">
      <w:pPr>
        <w:rPr>
          <w:rtl/>
          <w:lang w:bidi="ar-EG"/>
        </w:rPr>
      </w:pPr>
      <w:r w:rsidRPr="0041705E">
        <w:rPr>
          <w:rtl/>
        </w:rPr>
        <w:t xml:space="preserve">وتتاح </w:t>
      </w:r>
      <w:r w:rsidR="00455DF3" w:rsidRPr="0041705E">
        <w:rPr>
          <w:rtl/>
        </w:rPr>
        <w:t xml:space="preserve">نسخة </w:t>
      </w:r>
      <w:r w:rsidRPr="0041705E">
        <w:rPr>
          <w:rtl/>
        </w:rPr>
        <w:t xml:space="preserve">إلكترونية </w:t>
      </w:r>
      <w:r w:rsidRPr="00CB3261">
        <w:rPr>
          <w:rtl/>
        </w:rPr>
        <w:t>من هذه</w:t>
      </w:r>
      <w:r w:rsidRPr="0041705E">
        <w:rPr>
          <w:rtl/>
        </w:rPr>
        <w:t xml:space="preserve"> الوثيقة في الموقع: </w:t>
      </w:r>
      <w:hyperlink r:id="rId11" w:history="1">
        <w:r w:rsidR="00CB3261" w:rsidRPr="00F45F21">
          <w:rPr>
            <w:rStyle w:val="Hyperlink"/>
            <w:szCs w:val="24"/>
            <w:lang w:val="en-GB"/>
          </w:rPr>
          <w:t>https://www.itu.int/md/R23-SG06-C/en</w:t>
        </w:r>
      </w:hyperlink>
    </w:p>
    <w:p w14:paraId="2BE4E572" w14:textId="77777777" w:rsidR="00555E7B" w:rsidRPr="0041705E" w:rsidRDefault="00555E7B" w:rsidP="00555E7B">
      <w:pPr>
        <w:tabs>
          <w:tab w:val="clear" w:pos="794"/>
        </w:tabs>
        <w:bidi w:val="0"/>
        <w:spacing w:before="0" w:after="160" w:line="259" w:lineRule="auto"/>
        <w:jc w:val="left"/>
        <w:rPr>
          <w:rtl/>
          <w:lang w:bidi="ar-EG"/>
        </w:rPr>
      </w:pPr>
      <w:r w:rsidRPr="0041705E">
        <w:rPr>
          <w:rtl/>
          <w:lang w:bidi="ar-EG"/>
        </w:rPr>
        <w:br w:type="page"/>
      </w:r>
    </w:p>
    <w:p w14:paraId="07431A90" w14:textId="03D27686" w:rsidR="00555E7B" w:rsidRPr="0041705E" w:rsidRDefault="00555E7B" w:rsidP="00555E7B">
      <w:pPr>
        <w:pStyle w:val="AnnexNotitle"/>
        <w:rPr>
          <w:rtl/>
        </w:rPr>
      </w:pPr>
      <w:r w:rsidRPr="0041705E">
        <w:rPr>
          <w:rtl/>
        </w:rPr>
        <w:lastRenderedPageBreak/>
        <w:t>الملحق</w:t>
      </w:r>
      <w:r w:rsidRPr="0041705E">
        <w:rPr>
          <w:rtl/>
        </w:rPr>
        <w:br/>
      </w:r>
      <w:r w:rsidRPr="0041705E">
        <w:rPr>
          <w:rtl/>
        </w:rPr>
        <w:br/>
        <w:t>عنوان وملخص مشروع التوصي</w:t>
      </w:r>
      <w:r w:rsidR="00130B5F">
        <w:rPr>
          <w:rFonts w:hint="cs"/>
          <w:rtl/>
        </w:rPr>
        <w:t xml:space="preserve">ة </w:t>
      </w:r>
      <w:r w:rsidRPr="0041705E">
        <w:rPr>
          <w:rtl/>
        </w:rPr>
        <w:br/>
        <w:t xml:space="preserve">التي اعتمدتها لجنة الدراسات </w:t>
      </w:r>
      <w:r w:rsidR="00130B5F">
        <w:rPr>
          <w:rFonts w:hint="cs"/>
          <w:rtl/>
        </w:rPr>
        <w:t>6</w:t>
      </w:r>
      <w:r w:rsidRPr="0041705E">
        <w:rPr>
          <w:rtl/>
          <w:lang w:bidi="ar-EG"/>
        </w:rPr>
        <w:t xml:space="preserve"> للاتصالات الراديوية</w:t>
      </w:r>
    </w:p>
    <w:p w14:paraId="345EB91D" w14:textId="4A06B919" w:rsidR="00555E7B" w:rsidRPr="0041705E" w:rsidRDefault="00555E7B" w:rsidP="00555E7B">
      <w:pPr>
        <w:tabs>
          <w:tab w:val="right" w:pos="9639"/>
        </w:tabs>
        <w:rPr>
          <w:rtl/>
          <w:lang w:bidi="ar-EG"/>
        </w:rPr>
      </w:pPr>
      <w:r w:rsidRPr="0041705E">
        <w:rPr>
          <w:u w:val="single"/>
          <w:rtl/>
        </w:rPr>
        <w:t xml:space="preserve">مشروع </w:t>
      </w:r>
      <w:r w:rsidR="00455DF3" w:rsidRPr="00130B5F">
        <w:rPr>
          <w:u w:val="single"/>
          <w:rtl/>
        </w:rPr>
        <w:t xml:space="preserve">مراجعة </w:t>
      </w:r>
      <w:r w:rsidRPr="00130B5F">
        <w:rPr>
          <w:u w:val="single"/>
          <w:rtl/>
        </w:rPr>
        <w:t xml:space="preserve">التوصية </w:t>
      </w:r>
      <w:r w:rsidR="00130B5F" w:rsidRPr="00F45F21">
        <w:rPr>
          <w:rFonts w:asciiTheme="minorHAnsi" w:hAnsiTheme="minorHAnsi" w:cstheme="minorHAnsi"/>
          <w:szCs w:val="24"/>
          <w:u w:val="single"/>
          <w:lang w:val="en-GB"/>
        </w:rPr>
        <w:t xml:space="preserve">ITU-R </w:t>
      </w:r>
      <w:r w:rsidR="00130B5F" w:rsidRPr="00F45F21">
        <w:rPr>
          <w:u w:val="single"/>
        </w:rPr>
        <w:t>BT.1774-2</w:t>
      </w:r>
      <w:r w:rsidRPr="0041705E">
        <w:rPr>
          <w:rtl/>
          <w:lang w:bidi="ar-EG"/>
        </w:rPr>
        <w:tab/>
        <w:t>الوثيق</w:t>
      </w:r>
      <w:r w:rsidR="00C768C5">
        <w:rPr>
          <w:rFonts w:hint="cs"/>
          <w:rtl/>
          <w:lang w:bidi="ar-EG"/>
        </w:rPr>
        <w:t xml:space="preserve">ة </w:t>
      </w:r>
      <w:r w:rsidR="00C768C5" w:rsidRPr="00F45F21">
        <w:rPr>
          <w:rFonts w:asciiTheme="minorHAnsi" w:hAnsiTheme="minorHAnsi" w:cstheme="minorHAnsi"/>
          <w:szCs w:val="24"/>
          <w:lang w:val="en-GB"/>
        </w:rPr>
        <w:t>6/74(Rev.1)</w:t>
      </w:r>
    </w:p>
    <w:p w14:paraId="30F06D38" w14:textId="34C7169A" w:rsidR="00555E7B" w:rsidRPr="0041705E" w:rsidRDefault="00C768C5" w:rsidP="00234D61">
      <w:pPr>
        <w:pStyle w:val="Rectitle"/>
        <w:spacing w:before="360" w:after="240"/>
        <w:rPr>
          <w:rtl/>
        </w:rPr>
      </w:pPr>
      <w:r w:rsidRPr="00C768C5">
        <w:rPr>
          <w:noProof/>
          <w:szCs w:val="24"/>
          <w:rtl/>
          <w:lang w:val="en-GB" w:eastAsia="en-GB"/>
        </w:rPr>
        <w:t xml:space="preserve">استعمال البنى التحتية </w:t>
      </w:r>
      <w:r>
        <w:rPr>
          <w:rFonts w:hint="cs"/>
          <w:noProof/>
          <w:szCs w:val="24"/>
          <w:rtl/>
          <w:lang w:val="en-GB" w:eastAsia="en-GB"/>
        </w:rPr>
        <w:t xml:space="preserve">للإذاعة </w:t>
      </w:r>
      <w:r w:rsidRPr="00C768C5">
        <w:rPr>
          <w:noProof/>
          <w:szCs w:val="24"/>
          <w:rtl/>
          <w:lang w:val="en-GB" w:eastAsia="en-GB"/>
        </w:rPr>
        <w:t>الساتلية وا</w:t>
      </w:r>
      <w:r>
        <w:rPr>
          <w:rFonts w:hint="cs"/>
          <w:noProof/>
          <w:szCs w:val="24"/>
          <w:rtl/>
          <w:lang w:val="en-GB" w:eastAsia="en-GB"/>
        </w:rPr>
        <w:t>لإذاعة ل</w:t>
      </w:r>
      <w:r w:rsidRPr="00C768C5">
        <w:rPr>
          <w:noProof/>
          <w:szCs w:val="24"/>
          <w:rtl/>
          <w:lang w:val="en-GB" w:eastAsia="en-GB"/>
        </w:rPr>
        <w:t>لأرض</w:t>
      </w:r>
      <w:r>
        <w:rPr>
          <w:rFonts w:hint="cs"/>
          <w:noProof/>
          <w:szCs w:val="24"/>
          <w:rtl/>
          <w:lang w:val="en-GB" w:eastAsia="en-GB"/>
        </w:rPr>
        <w:t xml:space="preserve"> من أجل</w:t>
      </w:r>
      <w:r w:rsidRPr="00C768C5">
        <w:rPr>
          <w:noProof/>
          <w:szCs w:val="24"/>
          <w:rtl/>
          <w:lang w:val="en-GB" w:eastAsia="en-GB"/>
        </w:rPr>
        <w:t xml:space="preserve"> إنذار الجمهور وتخفيف </w:t>
      </w:r>
      <w:r>
        <w:rPr>
          <w:rFonts w:hint="cs"/>
          <w:noProof/>
          <w:szCs w:val="24"/>
          <w:rtl/>
          <w:lang w:val="en-GB" w:eastAsia="en-GB"/>
        </w:rPr>
        <w:t>حدة</w:t>
      </w:r>
      <w:r w:rsidRPr="00C768C5">
        <w:rPr>
          <w:noProof/>
          <w:szCs w:val="24"/>
          <w:rtl/>
          <w:lang w:val="en-GB" w:eastAsia="en-GB"/>
        </w:rPr>
        <w:t xml:space="preserve"> الكوارث والإغاثة</w:t>
      </w:r>
    </w:p>
    <w:p w14:paraId="7E184869" w14:textId="45E339BF" w:rsidR="00C768C5" w:rsidRDefault="00AB6167" w:rsidP="00AB6167">
      <w:pPr>
        <w:pStyle w:val="enumlev1"/>
      </w:pPr>
      <w:r>
        <w:rPr>
          <w:rFonts w:hint="cs"/>
          <w:rtl/>
          <w:lang w:bidi="ar-EG"/>
        </w:rPr>
        <w:t>-</w:t>
      </w:r>
      <w:r>
        <w:rPr>
          <w:rtl/>
          <w:lang w:bidi="ar-EG"/>
        </w:rPr>
        <w:tab/>
      </w:r>
      <w:r w:rsidR="00B544FD">
        <w:rPr>
          <w:rFonts w:hint="cs"/>
          <w:rtl/>
        </w:rPr>
        <w:t xml:space="preserve">إضافة فقرة جديدة 6 تحت </w:t>
      </w:r>
      <w:r w:rsidR="00B544FD" w:rsidRPr="00B544FD">
        <w:rPr>
          <w:rFonts w:hint="cs"/>
          <w:i/>
          <w:iCs/>
          <w:rtl/>
        </w:rPr>
        <w:t>"توصي</w:t>
      </w:r>
      <w:r w:rsidR="00B544FD">
        <w:rPr>
          <w:rFonts w:hint="cs"/>
          <w:i/>
          <w:iCs/>
          <w:rtl/>
        </w:rPr>
        <w:t xml:space="preserve">" </w:t>
      </w:r>
      <w:r w:rsidR="00B544FD" w:rsidRPr="00B544FD">
        <w:rPr>
          <w:rFonts w:hint="cs"/>
          <w:rtl/>
        </w:rPr>
        <w:t>وإعادة ترقيم الفقرات التالية.</w:t>
      </w:r>
    </w:p>
    <w:p w14:paraId="685E8EDE" w14:textId="6D5A471F" w:rsidR="00B54931" w:rsidRDefault="00AB6167" w:rsidP="00AB6167">
      <w:pPr>
        <w:pStyle w:val="enumlev1"/>
      </w:pPr>
      <w:r>
        <w:rPr>
          <w:rFonts w:hint="cs"/>
          <w:rtl/>
          <w:lang w:bidi="ar-EG"/>
        </w:rPr>
        <w:t>-</w:t>
      </w:r>
      <w:r>
        <w:rPr>
          <w:rtl/>
          <w:lang w:bidi="ar-EG"/>
        </w:rPr>
        <w:tab/>
      </w:r>
      <w:r w:rsidR="00B54931">
        <w:rPr>
          <w:rFonts w:hint="cs"/>
          <w:rtl/>
        </w:rPr>
        <w:t>إضافة فقرة جديدة</w:t>
      </w:r>
      <w:r w:rsidR="00234D61">
        <w:rPr>
          <w:rFonts w:hint="cs"/>
          <w:rtl/>
        </w:rPr>
        <w:t xml:space="preserve"> </w:t>
      </w:r>
      <w:proofErr w:type="gramStart"/>
      <w:r w:rsidR="00B54931" w:rsidRPr="00B54931">
        <w:rPr>
          <w:rFonts w:hint="cs"/>
          <w:i/>
          <w:iCs/>
          <w:rtl/>
        </w:rPr>
        <w:t>أ</w:t>
      </w:r>
      <w:r w:rsidR="00234D61">
        <w:rPr>
          <w:rFonts w:hint="cs"/>
          <w:i/>
          <w:iCs/>
          <w:rtl/>
        </w:rPr>
        <w:t xml:space="preserve"> </w:t>
      </w:r>
      <w:r w:rsidR="00B54931" w:rsidRPr="00B54931">
        <w:rPr>
          <w:rFonts w:hint="cs"/>
          <w:i/>
          <w:iCs/>
          <w:rtl/>
        </w:rPr>
        <w:t>)</w:t>
      </w:r>
      <w:proofErr w:type="gramEnd"/>
      <w:r w:rsidR="00B54931">
        <w:rPr>
          <w:rFonts w:hint="cs"/>
          <w:rtl/>
        </w:rPr>
        <w:t xml:space="preserve"> تحت </w:t>
      </w:r>
      <w:r w:rsidR="00B54931" w:rsidRPr="00B54931">
        <w:rPr>
          <w:rFonts w:hint="cs"/>
          <w:i/>
          <w:iCs/>
          <w:rtl/>
        </w:rPr>
        <w:t>"وإذ تدرك"</w:t>
      </w:r>
      <w:r w:rsidR="00B54931">
        <w:rPr>
          <w:rFonts w:hint="cs"/>
          <w:rtl/>
        </w:rPr>
        <w:t xml:space="preserve"> وإعادة تسمية الفقرات التالية.</w:t>
      </w:r>
    </w:p>
    <w:p w14:paraId="7A305C4A" w14:textId="2F7C9DAA" w:rsidR="00B54931" w:rsidRDefault="00AB6167" w:rsidP="00AB6167">
      <w:pPr>
        <w:pStyle w:val="enumlev1"/>
      </w:pPr>
      <w:r>
        <w:rPr>
          <w:rFonts w:hint="cs"/>
          <w:rtl/>
          <w:lang w:bidi="ar-EG"/>
        </w:rPr>
        <w:t>-</w:t>
      </w:r>
      <w:r>
        <w:rPr>
          <w:rtl/>
          <w:lang w:bidi="ar-EG"/>
        </w:rPr>
        <w:tab/>
      </w:r>
      <w:r w:rsidR="00B54931">
        <w:rPr>
          <w:rFonts w:hint="cs"/>
          <w:rtl/>
        </w:rPr>
        <w:t>تم تغيير التذييل 1 للملحق 1 ليصبح المرفق 1 (إعلامي) بالملحق 1.</w:t>
      </w:r>
    </w:p>
    <w:p w14:paraId="1438B67B" w14:textId="5AB959E6" w:rsidR="00B54931" w:rsidRDefault="00AB6167" w:rsidP="00AB6167">
      <w:pPr>
        <w:pStyle w:val="enumlev1"/>
      </w:pPr>
      <w:r>
        <w:rPr>
          <w:rFonts w:hint="cs"/>
          <w:rtl/>
          <w:lang w:bidi="ar-EG"/>
        </w:rPr>
        <w:t>-</w:t>
      </w:r>
      <w:r>
        <w:rPr>
          <w:rtl/>
          <w:lang w:bidi="ar-EG"/>
        </w:rPr>
        <w:tab/>
      </w:r>
      <w:r w:rsidR="00B54931">
        <w:rPr>
          <w:rFonts w:hint="cs"/>
          <w:rtl/>
        </w:rPr>
        <w:t xml:space="preserve">إضافة قسمين جديدين 4 و5 في المرفق 1 بالملحق 1 لتضمينه نظام الإنذار في حالات الطوارئ </w:t>
      </w:r>
      <w:r w:rsidR="00B54931">
        <w:t>(EWS)</w:t>
      </w:r>
      <w:r w:rsidR="00B54931">
        <w:rPr>
          <w:rFonts w:hint="cs"/>
          <w:rtl/>
        </w:rPr>
        <w:t xml:space="preserve"> وبروتوكول التنبيه المشترك </w:t>
      </w:r>
      <w:r w:rsidR="00B54931">
        <w:t>(CAP)</w:t>
      </w:r>
      <w:r w:rsidR="00B54931">
        <w:rPr>
          <w:rFonts w:hint="cs"/>
          <w:rtl/>
        </w:rPr>
        <w:t xml:space="preserve"> </w:t>
      </w:r>
      <w:r w:rsidR="00AC05BF">
        <w:rPr>
          <w:rFonts w:hint="cs"/>
          <w:rtl/>
        </w:rPr>
        <w:t xml:space="preserve">فيما يتعلق بميزات نظام الإذاعة </w:t>
      </w:r>
      <w:r w:rsidR="00AC05BF">
        <w:t>ATSC 3.0</w:t>
      </w:r>
      <w:r w:rsidR="00AC05BF">
        <w:rPr>
          <w:rFonts w:hint="cs"/>
          <w:rtl/>
        </w:rPr>
        <w:t>.</w:t>
      </w:r>
    </w:p>
    <w:p w14:paraId="5B6B806E" w14:textId="13BAAFEA" w:rsidR="00AC05BF" w:rsidRDefault="00AB6167" w:rsidP="00AB6167">
      <w:pPr>
        <w:pStyle w:val="enumlev1"/>
      </w:pPr>
      <w:r>
        <w:rPr>
          <w:rFonts w:hint="cs"/>
          <w:rtl/>
          <w:lang w:bidi="ar-EG"/>
        </w:rPr>
        <w:t>-</w:t>
      </w:r>
      <w:r>
        <w:rPr>
          <w:rtl/>
          <w:lang w:bidi="ar-EG"/>
        </w:rPr>
        <w:tab/>
      </w:r>
      <w:r w:rsidR="00AC05BF">
        <w:rPr>
          <w:rFonts w:hint="cs"/>
          <w:rtl/>
        </w:rPr>
        <w:t xml:space="preserve">إضافة قسم جديد 6 في المرفق 1 بالملحق 1 لتضمينه "أنظمة إنذار الجمهور من أجل نظام الإذاعة من الجيل الخامس القائم على تكنولوجيا التطور طويل الأجل </w:t>
      </w:r>
      <w:r w:rsidR="00AC05BF">
        <w:t>(LTE)</w:t>
      </w:r>
      <w:r w:rsidR="00AC05BF">
        <w:rPr>
          <w:rFonts w:hint="cs"/>
          <w:rtl/>
        </w:rPr>
        <w:t>".</w:t>
      </w:r>
    </w:p>
    <w:p w14:paraId="02BF4D31" w14:textId="7BFB51EF" w:rsidR="00AC05BF" w:rsidRDefault="00AB6167" w:rsidP="00AB6167">
      <w:pPr>
        <w:pStyle w:val="enumlev1"/>
      </w:pPr>
      <w:r>
        <w:rPr>
          <w:rFonts w:hint="cs"/>
          <w:rtl/>
          <w:lang w:bidi="ar-EG"/>
        </w:rPr>
        <w:t>-</w:t>
      </w:r>
      <w:r>
        <w:rPr>
          <w:rtl/>
          <w:lang w:bidi="ar-EG"/>
        </w:rPr>
        <w:tab/>
      </w:r>
      <w:r w:rsidR="00AC05BF">
        <w:rPr>
          <w:rFonts w:hint="cs"/>
          <w:rtl/>
        </w:rPr>
        <w:t xml:space="preserve">إضافة ملحق جديد 3 بشأن </w:t>
      </w:r>
      <w:r w:rsidR="001330F5">
        <w:rPr>
          <w:rFonts w:hint="cs"/>
          <w:rtl/>
        </w:rPr>
        <w:t>ال</w:t>
      </w:r>
      <w:r w:rsidR="00AC05BF">
        <w:rPr>
          <w:rFonts w:hint="cs"/>
          <w:rtl/>
        </w:rPr>
        <w:t xml:space="preserve">إشارة </w:t>
      </w:r>
      <w:r w:rsidR="001330F5">
        <w:rPr>
          <w:rFonts w:hint="cs"/>
          <w:rtl/>
        </w:rPr>
        <w:t>المشتركة ل</w:t>
      </w:r>
      <w:r w:rsidR="00AC05BF">
        <w:rPr>
          <w:rFonts w:hint="cs"/>
          <w:rtl/>
        </w:rPr>
        <w:t xml:space="preserve">لتحكم في نظام الإنذار في حالات الطوارئ </w:t>
      </w:r>
      <w:r w:rsidR="001330F5">
        <w:rPr>
          <w:rFonts w:hint="cs"/>
          <w:rtl/>
        </w:rPr>
        <w:t>من أجل الإذاعة الرقمية.</w:t>
      </w:r>
    </w:p>
    <w:p w14:paraId="5F6B937D" w14:textId="73834B49" w:rsidR="00C768C5" w:rsidRDefault="00AB6167" w:rsidP="00AB6167">
      <w:pPr>
        <w:pStyle w:val="enumlev1"/>
        <w:rPr>
          <w:rtl/>
        </w:rPr>
      </w:pPr>
      <w:r>
        <w:rPr>
          <w:rFonts w:hint="cs"/>
          <w:rtl/>
          <w:lang w:bidi="ar-EG"/>
        </w:rPr>
        <w:t>-</w:t>
      </w:r>
      <w:r>
        <w:rPr>
          <w:rtl/>
          <w:lang w:bidi="ar-EG"/>
        </w:rPr>
        <w:tab/>
      </w:r>
      <w:r w:rsidR="001330F5">
        <w:rPr>
          <w:rFonts w:hint="cs"/>
          <w:rtl/>
        </w:rPr>
        <w:t xml:space="preserve">إضافة قائمة المختصرات والتعديلات </w:t>
      </w:r>
      <w:proofErr w:type="spellStart"/>
      <w:r w:rsidR="001330F5">
        <w:rPr>
          <w:rFonts w:hint="cs"/>
          <w:rtl/>
        </w:rPr>
        <w:t>الصياغية</w:t>
      </w:r>
      <w:proofErr w:type="spellEnd"/>
      <w:r w:rsidR="001330F5">
        <w:rPr>
          <w:rFonts w:hint="cs"/>
          <w:rtl/>
        </w:rPr>
        <w:t xml:space="preserve"> وتحديث بعض المراجع.</w:t>
      </w:r>
    </w:p>
    <w:p w14:paraId="02E7FCEC" w14:textId="049EE95F" w:rsidR="003B5733" w:rsidRPr="0041705E" w:rsidRDefault="003B5733" w:rsidP="003B5733">
      <w:pPr>
        <w:spacing w:before="600"/>
        <w:jc w:val="center"/>
        <w:rPr>
          <w:lang w:bidi="ar-EG"/>
        </w:rPr>
      </w:pPr>
      <w:r w:rsidRPr="0041705E">
        <w:rPr>
          <w:rtl/>
          <w:lang w:bidi="ar-EG"/>
        </w:rPr>
        <w:t>ــــــــــــــــــــــــــــــــــــــــــــــــــــــــــــــــــــــــــــــــــــــــــــــــ</w:t>
      </w:r>
    </w:p>
    <w:sectPr w:rsidR="003B5733" w:rsidRPr="0041705E"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0BF9" w14:textId="77777777" w:rsidR="00555E7B" w:rsidRDefault="00555E7B" w:rsidP="006C3242">
      <w:pPr>
        <w:spacing w:before="0" w:line="240" w:lineRule="auto"/>
      </w:pPr>
      <w:r>
        <w:separator/>
      </w:r>
    </w:p>
  </w:endnote>
  <w:endnote w:type="continuationSeparator" w:id="0">
    <w:p w14:paraId="6EF8E22F" w14:textId="77777777" w:rsidR="00555E7B" w:rsidRDefault="00555E7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0D97"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8A7B" w14:textId="77777777" w:rsidR="00555E7B" w:rsidRDefault="00555E7B" w:rsidP="006C3242">
      <w:pPr>
        <w:spacing w:before="0" w:line="240" w:lineRule="auto"/>
      </w:pPr>
      <w:r>
        <w:separator/>
      </w:r>
    </w:p>
  </w:footnote>
  <w:footnote w:type="continuationSeparator" w:id="0">
    <w:p w14:paraId="5F35889C" w14:textId="77777777" w:rsidR="00555E7B" w:rsidRDefault="00555E7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1A4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55E7B" w14:paraId="7699642A" w14:textId="77777777" w:rsidTr="004B368D">
      <w:tc>
        <w:tcPr>
          <w:tcW w:w="9629" w:type="dxa"/>
        </w:tcPr>
        <w:p w14:paraId="52EA039C" w14:textId="7ECA9AD9" w:rsidR="00555E7B" w:rsidRDefault="00555E7B" w:rsidP="00FC09E8">
          <w:pPr>
            <w:pStyle w:val="Header"/>
            <w:jc w:val="center"/>
            <w:rPr>
              <w:rtl/>
            </w:rPr>
          </w:pPr>
          <w:r>
            <w:rPr>
              <w:noProof/>
              <w:lang w:val="en-GB" w:eastAsia="en-GB"/>
            </w:rPr>
            <w:drawing>
              <wp:inline distT="0" distB="0" distL="0" distR="0" wp14:anchorId="51373BD0" wp14:editId="4EFE6A1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5A4A00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AF3BA7"/>
    <w:multiLevelType w:val="hybridMultilevel"/>
    <w:tmpl w:val="F3B40502"/>
    <w:lvl w:ilvl="0" w:tplc="FE629510">
      <w:start w:val="1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20107">
    <w:abstractNumId w:val="9"/>
  </w:num>
  <w:num w:numId="2" w16cid:durableId="1371806051">
    <w:abstractNumId w:val="7"/>
  </w:num>
  <w:num w:numId="3" w16cid:durableId="1347757245">
    <w:abstractNumId w:val="6"/>
  </w:num>
  <w:num w:numId="4" w16cid:durableId="1617370582">
    <w:abstractNumId w:val="5"/>
  </w:num>
  <w:num w:numId="5" w16cid:durableId="1863126702">
    <w:abstractNumId w:val="4"/>
  </w:num>
  <w:num w:numId="6" w16cid:durableId="969700967">
    <w:abstractNumId w:val="8"/>
  </w:num>
  <w:num w:numId="7" w16cid:durableId="644164061">
    <w:abstractNumId w:val="3"/>
  </w:num>
  <w:num w:numId="8" w16cid:durableId="2140997278">
    <w:abstractNumId w:val="2"/>
  </w:num>
  <w:num w:numId="9" w16cid:durableId="1093041676">
    <w:abstractNumId w:val="1"/>
  </w:num>
  <w:num w:numId="10" w16cid:durableId="1807772881">
    <w:abstractNumId w:val="0"/>
  </w:num>
  <w:num w:numId="11" w16cid:durableId="1718815738">
    <w:abstractNumId w:val="10"/>
  </w:num>
  <w:num w:numId="12" w16cid:durableId="1673801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7B"/>
    <w:rsid w:val="0006468A"/>
    <w:rsid w:val="00090574"/>
    <w:rsid w:val="000C1C0E"/>
    <w:rsid w:val="000C548A"/>
    <w:rsid w:val="000F7BBE"/>
    <w:rsid w:val="00105A96"/>
    <w:rsid w:val="00130B5F"/>
    <w:rsid w:val="001330F5"/>
    <w:rsid w:val="00150DB9"/>
    <w:rsid w:val="00184571"/>
    <w:rsid w:val="001C0169"/>
    <w:rsid w:val="001C3B13"/>
    <w:rsid w:val="001D1D50"/>
    <w:rsid w:val="001D6745"/>
    <w:rsid w:val="001E446E"/>
    <w:rsid w:val="002154EE"/>
    <w:rsid w:val="0022106C"/>
    <w:rsid w:val="002276D2"/>
    <w:rsid w:val="0023283D"/>
    <w:rsid w:val="00234D61"/>
    <w:rsid w:val="0026373E"/>
    <w:rsid w:val="00271C43"/>
    <w:rsid w:val="00290728"/>
    <w:rsid w:val="002978F4"/>
    <w:rsid w:val="002A46AD"/>
    <w:rsid w:val="002B028D"/>
    <w:rsid w:val="002D5A33"/>
    <w:rsid w:val="002E6541"/>
    <w:rsid w:val="0033163E"/>
    <w:rsid w:val="00334924"/>
    <w:rsid w:val="003409BC"/>
    <w:rsid w:val="00357185"/>
    <w:rsid w:val="003704CA"/>
    <w:rsid w:val="00383829"/>
    <w:rsid w:val="003B5733"/>
    <w:rsid w:val="003C5A6E"/>
    <w:rsid w:val="003F4B29"/>
    <w:rsid w:val="004111FB"/>
    <w:rsid w:val="0041705E"/>
    <w:rsid w:val="0042686F"/>
    <w:rsid w:val="004317D8"/>
    <w:rsid w:val="00434183"/>
    <w:rsid w:val="00443869"/>
    <w:rsid w:val="00447F32"/>
    <w:rsid w:val="00455DF3"/>
    <w:rsid w:val="004563AF"/>
    <w:rsid w:val="00474ADE"/>
    <w:rsid w:val="004C39C6"/>
    <w:rsid w:val="004E11DC"/>
    <w:rsid w:val="00521BEA"/>
    <w:rsid w:val="00525DDD"/>
    <w:rsid w:val="005409AC"/>
    <w:rsid w:val="0055516A"/>
    <w:rsid w:val="00555E7B"/>
    <w:rsid w:val="0058491B"/>
    <w:rsid w:val="00592EA5"/>
    <w:rsid w:val="005A3170"/>
    <w:rsid w:val="00677396"/>
    <w:rsid w:val="0069200F"/>
    <w:rsid w:val="006A65CB"/>
    <w:rsid w:val="006C3242"/>
    <w:rsid w:val="006C7CC0"/>
    <w:rsid w:val="006E5F73"/>
    <w:rsid w:val="006F63F7"/>
    <w:rsid w:val="007025C7"/>
    <w:rsid w:val="00706D7A"/>
    <w:rsid w:val="00722F0D"/>
    <w:rsid w:val="0072561E"/>
    <w:rsid w:val="0074420E"/>
    <w:rsid w:val="00783E26"/>
    <w:rsid w:val="007973C0"/>
    <w:rsid w:val="007C3BC7"/>
    <w:rsid w:val="007C3BCD"/>
    <w:rsid w:val="007D4ACF"/>
    <w:rsid w:val="007E6A4A"/>
    <w:rsid w:val="007F0787"/>
    <w:rsid w:val="00810B7B"/>
    <w:rsid w:val="0082358A"/>
    <w:rsid w:val="008235CD"/>
    <w:rsid w:val="008247DE"/>
    <w:rsid w:val="00840B10"/>
    <w:rsid w:val="008513CB"/>
    <w:rsid w:val="008A4A32"/>
    <w:rsid w:val="008A7F84"/>
    <w:rsid w:val="0091702E"/>
    <w:rsid w:val="00923B0C"/>
    <w:rsid w:val="0094021C"/>
    <w:rsid w:val="00952F86"/>
    <w:rsid w:val="009810A0"/>
    <w:rsid w:val="00982B28"/>
    <w:rsid w:val="009D313F"/>
    <w:rsid w:val="00A21D6F"/>
    <w:rsid w:val="00A47A5A"/>
    <w:rsid w:val="00A6683B"/>
    <w:rsid w:val="00A97F94"/>
    <w:rsid w:val="00AA7EA2"/>
    <w:rsid w:val="00AB37EB"/>
    <w:rsid w:val="00AB6167"/>
    <w:rsid w:val="00AC05BF"/>
    <w:rsid w:val="00AC3CE5"/>
    <w:rsid w:val="00B03099"/>
    <w:rsid w:val="00B05BC8"/>
    <w:rsid w:val="00B1143A"/>
    <w:rsid w:val="00B544FD"/>
    <w:rsid w:val="00B54931"/>
    <w:rsid w:val="00B64B47"/>
    <w:rsid w:val="00BC29CD"/>
    <w:rsid w:val="00BE7A2E"/>
    <w:rsid w:val="00C002DE"/>
    <w:rsid w:val="00C16F2C"/>
    <w:rsid w:val="00C36018"/>
    <w:rsid w:val="00C362E2"/>
    <w:rsid w:val="00C502CD"/>
    <w:rsid w:val="00C53BF8"/>
    <w:rsid w:val="00C66157"/>
    <w:rsid w:val="00C674FE"/>
    <w:rsid w:val="00C67501"/>
    <w:rsid w:val="00C73A83"/>
    <w:rsid w:val="00C75633"/>
    <w:rsid w:val="00C768C5"/>
    <w:rsid w:val="00C937E8"/>
    <w:rsid w:val="00CB3261"/>
    <w:rsid w:val="00CE2EE1"/>
    <w:rsid w:val="00CE3349"/>
    <w:rsid w:val="00CE36E5"/>
    <w:rsid w:val="00CF27F5"/>
    <w:rsid w:val="00CF3FFD"/>
    <w:rsid w:val="00D10CCF"/>
    <w:rsid w:val="00D77D0F"/>
    <w:rsid w:val="00DA1CF0"/>
    <w:rsid w:val="00DC1E02"/>
    <w:rsid w:val="00DC24B4"/>
    <w:rsid w:val="00DC5FB0"/>
    <w:rsid w:val="00DE05FA"/>
    <w:rsid w:val="00DF16DC"/>
    <w:rsid w:val="00E34848"/>
    <w:rsid w:val="00E45211"/>
    <w:rsid w:val="00E473C5"/>
    <w:rsid w:val="00E92863"/>
    <w:rsid w:val="00E9762E"/>
    <w:rsid w:val="00EB796D"/>
    <w:rsid w:val="00F03957"/>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AEDE"/>
  <w15:chartTrackingRefBased/>
  <w15:docId w15:val="{27715212-3351-42B6-B93F-0ABE6DA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Annextitle"/>
    <w:qFormat/>
    <w:rsid w:val="00555E7B"/>
    <w:rPr>
      <w:lang w:bidi="ar-SA"/>
    </w:rPr>
  </w:style>
  <w:style w:type="character" w:styleId="UnresolvedMention">
    <w:name w:val="Unresolved Mention"/>
    <w:basedOn w:val="DefaultParagraphFont"/>
    <w:uiPriority w:val="99"/>
    <w:semiHidden/>
    <w:unhideWhenUsed/>
    <w:rsid w:val="00AB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A4F073F8CB4B2D953BE612DCBA638F"/>
        <w:category>
          <w:name w:val="General"/>
          <w:gallery w:val="placeholder"/>
        </w:category>
        <w:types>
          <w:type w:val="bbPlcHdr"/>
        </w:types>
        <w:behaviors>
          <w:behavior w:val="content"/>
        </w:behaviors>
        <w:guid w:val="{3C20025F-BBA1-41AB-AA59-40290F5CEDE4}"/>
      </w:docPartPr>
      <w:docPartBody>
        <w:p w:rsidR="006464C0" w:rsidRDefault="006464C0" w:rsidP="006464C0">
          <w:pPr>
            <w:pStyle w:val="B1A4F073F8CB4B2D953BE612DCBA638F"/>
          </w:pPr>
          <w:r w:rsidRPr="002033DC">
            <w:rPr>
              <w:rStyle w:val="PlaceholderText"/>
            </w:rPr>
            <w:t>Click or tap here to enter text.</w:t>
          </w:r>
        </w:p>
      </w:docPartBody>
    </w:docPart>
    <w:docPart>
      <w:docPartPr>
        <w:name w:val="B6DB2C5B270F4ED8A43D1A025C7E16E7"/>
        <w:category>
          <w:name w:val="General"/>
          <w:gallery w:val="placeholder"/>
        </w:category>
        <w:types>
          <w:type w:val="bbPlcHdr"/>
        </w:types>
        <w:behaviors>
          <w:behavior w:val="content"/>
        </w:behaviors>
        <w:guid w:val="{11C0F3DC-7A36-40EF-A33A-56AD8E6FB81B}"/>
      </w:docPartPr>
      <w:docPartBody>
        <w:p w:rsidR="006464C0" w:rsidRDefault="006464C0" w:rsidP="006464C0">
          <w:pPr>
            <w:pStyle w:val="B6DB2C5B270F4ED8A43D1A025C7E16E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0"/>
    <w:rsid w:val="006464C0"/>
    <w:rsid w:val="00BE7A2E"/>
    <w:rsid w:val="00C937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4C0"/>
    <w:rPr>
      <w:color w:val="808080"/>
    </w:rPr>
  </w:style>
  <w:style w:type="paragraph" w:customStyle="1" w:styleId="B1A4F073F8CB4B2D953BE612DCBA638F">
    <w:name w:val="B1A4F073F8CB4B2D953BE612DCBA638F"/>
    <w:rsid w:val="006464C0"/>
  </w:style>
  <w:style w:type="paragraph" w:customStyle="1" w:styleId="B6DB2C5B270F4ED8A43D1A025C7E16E7">
    <w:name w:val="B6DB2C5B270F4ED8A43D1A025C7E16E7"/>
    <w:rsid w:val="00646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Panoussopoulos, Sonia</cp:lastModifiedBy>
  <cp:revision>6</cp:revision>
  <dcterms:created xsi:type="dcterms:W3CDTF">2025-02-05T09:14:00Z</dcterms:created>
  <dcterms:modified xsi:type="dcterms:W3CDTF">2025-02-10T11:47:00Z</dcterms:modified>
</cp:coreProperties>
</file>