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890C87" w14:paraId="643434C8" w14:textId="77777777" w:rsidTr="004228FA">
        <w:trPr>
          <w:jc w:val="center"/>
        </w:trPr>
        <w:tc>
          <w:tcPr>
            <w:tcW w:w="9889" w:type="dxa"/>
            <w:gridSpan w:val="3"/>
            <w:shd w:val="clear" w:color="auto" w:fill="auto"/>
          </w:tcPr>
          <w:p w14:paraId="71811CD2" w14:textId="171269D9" w:rsidR="00E53DCE" w:rsidRPr="00890C87" w:rsidRDefault="00E53DCE" w:rsidP="00C736C7">
            <w:pPr>
              <w:spacing w:before="0" w:line="240" w:lineRule="auto"/>
              <w:jc w:val="left"/>
              <w:rPr>
                <w:rFonts w:cstheme="minorHAnsi"/>
                <w:b/>
                <w:bCs/>
                <w:color w:val="808080"/>
                <w:sz w:val="28"/>
                <w:szCs w:val="28"/>
                <w:lang w:val="fr-FR"/>
              </w:rPr>
            </w:pPr>
            <w:r w:rsidRPr="00890C87">
              <w:rPr>
                <w:rFonts w:cstheme="minorHAnsi"/>
                <w:b/>
                <w:bCs/>
                <w:color w:val="808080"/>
                <w:sz w:val="28"/>
                <w:szCs w:val="28"/>
                <w:lang w:val="fr-FR"/>
              </w:rPr>
              <w:t>Bureau des radiocommunications (BR)</w:t>
            </w:r>
          </w:p>
          <w:p w14:paraId="013B8A45" w14:textId="77777777" w:rsidR="00E53DCE" w:rsidRPr="00890C87" w:rsidRDefault="00E53DCE" w:rsidP="00C736C7">
            <w:pPr>
              <w:spacing w:before="0" w:line="240" w:lineRule="auto"/>
              <w:jc w:val="left"/>
              <w:rPr>
                <w:rFonts w:cs="Times New Roman Bold"/>
                <w:b/>
                <w:bCs/>
                <w:color w:val="808080"/>
                <w:sz w:val="28"/>
                <w:szCs w:val="28"/>
                <w:lang w:val="fr-FR"/>
              </w:rPr>
            </w:pPr>
          </w:p>
        </w:tc>
      </w:tr>
      <w:tr w:rsidR="00E53DCE" w:rsidRPr="00890C87" w14:paraId="0CEA6D0B" w14:textId="77777777" w:rsidTr="004228FA">
        <w:trPr>
          <w:jc w:val="center"/>
        </w:trPr>
        <w:tc>
          <w:tcPr>
            <w:tcW w:w="7054" w:type="dxa"/>
            <w:gridSpan w:val="2"/>
            <w:shd w:val="clear" w:color="auto" w:fill="auto"/>
          </w:tcPr>
          <w:p w14:paraId="41D9D3F2" w14:textId="77777777" w:rsidR="00E53DCE" w:rsidRPr="00890C87" w:rsidRDefault="00E53DCE" w:rsidP="00C736C7">
            <w:pPr>
              <w:spacing w:before="0" w:line="240" w:lineRule="auto"/>
              <w:jc w:val="left"/>
              <w:rPr>
                <w:sz w:val="28"/>
                <w:szCs w:val="28"/>
                <w:lang w:val="fr-FR"/>
              </w:rPr>
            </w:pPr>
            <w:r w:rsidRPr="00890C87">
              <w:rPr>
                <w:szCs w:val="24"/>
                <w:lang w:val="fr-FR"/>
              </w:rPr>
              <w:t>Circulaire administrative</w:t>
            </w:r>
          </w:p>
          <w:p w14:paraId="5CA4B072" w14:textId="26FAE23E" w:rsidR="00E53DCE" w:rsidRPr="00890C87" w:rsidRDefault="00B53305" w:rsidP="00C736C7">
            <w:pPr>
              <w:spacing w:before="0" w:line="240" w:lineRule="auto"/>
              <w:jc w:val="left"/>
              <w:rPr>
                <w:b/>
                <w:bCs/>
                <w:sz w:val="28"/>
                <w:szCs w:val="28"/>
                <w:lang w:val="fr-FR"/>
              </w:rPr>
            </w:pPr>
            <w:r w:rsidRPr="00890C87">
              <w:rPr>
                <w:b/>
                <w:bCs/>
                <w:szCs w:val="24"/>
                <w:lang w:val="fr-FR"/>
              </w:rPr>
              <w:t>CACE/</w:t>
            </w:r>
            <w:r w:rsidR="00381A44" w:rsidRPr="00890C87">
              <w:rPr>
                <w:b/>
                <w:bCs/>
                <w:szCs w:val="24"/>
                <w:lang w:val="fr-FR"/>
              </w:rPr>
              <w:t>1132</w:t>
            </w:r>
          </w:p>
        </w:tc>
        <w:tc>
          <w:tcPr>
            <w:tcW w:w="2835" w:type="dxa"/>
            <w:shd w:val="clear" w:color="auto" w:fill="auto"/>
          </w:tcPr>
          <w:p w14:paraId="3511F4D5" w14:textId="27CD0716" w:rsidR="00E53DCE" w:rsidRPr="00890C87" w:rsidRDefault="00460DC7" w:rsidP="00C736C7">
            <w:pPr>
              <w:spacing w:before="0" w:line="240" w:lineRule="auto"/>
              <w:jc w:val="right"/>
              <w:rPr>
                <w:sz w:val="28"/>
                <w:szCs w:val="28"/>
                <w:lang w:val="fr-FR"/>
              </w:rPr>
            </w:pPr>
            <w:sdt>
              <w:sdtPr>
                <w:rPr>
                  <w:rFonts w:cs="Arial"/>
                  <w:szCs w:val="24"/>
                  <w:lang w:val="fr-FR"/>
                </w:rPr>
                <w:alias w:val="Date"/>
                <w:tag w:val="Date"/>
                <w:id w:val="444659277"/>
                <w:placeholder>
                  <w:docPart w:val="BB9AEF6B73714E0BA28BD1FB54C1FC13"/>
                </w:placeholder>
                <w:date w:fullDate="2025-02-04T00:00:00Z">
                  <w:dateFormat w:val="d MMMM yyyy"/>
                  <w:lid w:val="fr-FR"/>
                  <w:storeMappedDataAs w:val="date"/>
                  <w:calendar w:val="gregorian"/>
                </w:date>
              </w:sdtPr>
              <w:sdtEndPr/>
              <w:sdtContent>
                <w:r w:rsidR="00381A44" w:rsidRPr="00890C87">
                  <w:rPr>
                    <w:rFonts w:cs="Arial"/>
                    <w:szCs w:val="24"/>
                    <w:lang w:val="fr-FR"/>
                  </w:rPr>
                  <w:t>4 février 2025</w:t>
                </w:r>
              </w:sdtContent>
            </w:sdt>
          </w:p>
        </w:tc>
      </w:tr>
      <w:tr w:rsidR="00E53DCE" w:rsidRPr="00890C87" w14:paraId="1A5E9A45" w14:textId="77777777" w:rsidTr="004228FA">
        <w:trPr>
          <w:jc w:val="center"/>
        </w:trPr>
        <w:tc>
          <w:tcPr>
            <w:tcW w:w="9889" w:type="dxa"/>
            <w:gridSpan w:val="3"/>
            <w:shd w:val="clear" w:color="auto" w:fill="auto"/>
          </w:tcPr>
          <w:p w14:paraId="1865F46C" w14:textId="77777777" w:rsidR="00E53DCE" w:rsidRPr="00890C87" w:rsidRDefault="00E53DCE" w:rsidP="00C736C7">
            <w:pPr>
              <w:spacing w:before="0" w:line="240" w:lineRule="auto"/>
              <w:jc w:val="left"/>
              <w:rPr>
                <w:rFonts w:cs="Arial"/>
                <w:szCs w:val="24"/>
                <w:lang w:val="fr-FR"/>
              </w:rPr>
            </w:pPr>
          </w:p>
        </w:tc>
      </w:tr>
      <w:tr w:rsidR="00E53DCE" w:rsidRPr="00890C87" w14:paraId="5114A53C" w14:textId="77777777" w:rsidTr="004228FA">
        <w:trPr>
          <w:jc w:val="center"/>
        </w:trPr>
        <w:tc>
          <w:tcPr>
            <w:tcW w:w="9889" w:type="dxa"/>
            <w:gridSpan w:val="3"/>
            <w:shd w:val="clear" w:color="auto" w:fill="auto"/>
          </w:tcPr>
          <w:p w14:paraId="3A510409" w14:textId="77777777" w:rsidR="00E53DCE" w:rsidRPr="00890C87" w:rsidRDefault="00E53DCE" w:rsidP="00C736C7">
            <w:pPr>
              <w:spacing w:before="0" w:line="240" w:lineRule="auto"/>
              <w:jc w:val="left"/>
              <w:rPr>
                <w:szCs w:val="24"/>
                <w:lang w:val="fr-FR"/>
              </w:rPr>
            </w:pPr>
          </w:p>
        </w:tc>
      </w:tr>
      <w:tr w:rsidR="00E53DCE" w:rsidRPr="00890C87" w14:paraId="336F1698" w14:textId="77777777" w:rsidTr="004228FA">
        <w:trPr>
          <w:jc w:val="center"/>
        </w:trPr>
        <w:tc>
          <w:tcPr>
            <w:tcW w:w="9889" w:type="dxa"/>
            <w:gridSpan w:val="3"/>
            <w:shd w:val="clear" w:color="auto" w:fill="auto"/>
          </w:tcPr>
          <w:p w14:paraId="2013D214" w14:textId="31D14370" w:rsidR="00E53DCE" w:rsidRPr="00890C87" w:rsidRDefault="00B53305" w:rsidP="00C736C7">
            <w:pPr>
              <w:spacing w:before="0" w:line="240" w:lineRule="auto"/>
              <w:jc w:val="left"/>
              <w:rPr>
                <w:b/>
                <w:bCs/>
                <w:szCs w:val="24"/>
                <w:lang w:val="fr-FR"/>
              </w:rPr>
            </w:pPr>
            <w:r w:rsidRPr="00890C87">
              <w:rPr>
                <w:b/>
                <w:bCs/>
                <w:spacing w:val="-6"/>
                <w:szCs w:val="24"/>
                <w:lang w:val="fr-FR"/>
              </w:rPr>
              <w:t xml:space="preserve">Aux Administrations des </w:t>
            </w:r>
            <w:r w:rsidR="00D43318" w:rsidRPr="00890C87">
              <w:rPr>
                <w:b/>
                <w:bCs/>
                <w:spacing w:val="-6"/>
                <w:szCs w:val="24"/>
                <w:lang w:val="fr-FR"/>
              </w:rPr>
              <w:t>États</w:t>
            </w:r>
            <w:r w:rsidRPr="00890C87">
              <w:rPr>
                <w:b/>
                <w:bCs/>
                <w:spacing w:val="-6"/>
                <w:szCs w:val="24"/>
                <w:lang w:val="fr-FR"/>
              </w:rPr>
              <w:t xml:space="preserve"> Membres de l'UIT</w:t>
            </w:r>
            <w:r w:rsidRPr="00890C87">
              <w:rPr>
                <w:b/>
                <w:spacing w:val="-6"/>
                <w:szCs w:val="24"/>
                <w:lang w:val="fr-FR"/>
              </w:rPr>
              <w:t>, aux Membres du Secteur des radiocommunications</w:t>
            </w:r>
            <w:r w:rsidRPr="00890C87">
              <w:rPr>
                <w:b/>
                <w:szCs w:val="24"/>
                <w:lang w:val="fr-FR"/>
              </w:rPr>
              <w:t xml:space="preserve">, aux Associés de l'UIT-R </w:t>
            </w:r>
            <w:r w:rsidR="00275F9D" w:rsidRPr="00890C87">
              <w:rPr>
                <w:b/>
                <w:szCs w:val="24"/>
                <w:lang w:val="fr-FR"/>
              </w:rPr>
              <w:t>et aux établissements universitaires participant aux travaux de l'UIT qui prennent part</w:t>
            </w:r>
            <w:r w:rsidRPr="00890C87">
              <w:rPr>
                <w:b/>
                <w:szCs w:val="24"/>
                <w:lang w:val="fr-FR"/>
              </w:rPr>
              <w:t xml:space="preserve"> aux travaux de la Commission d'études </w:t>
            </w:r>
            <w:r w:rsidR="00381A44" w:rsidRPr="00890C87">
              <w:rPr>
                <w:b/>
                <w:szCs w:val="24"/>
                <w:lang w:val="fr-FR"/>
              </w:rPr>
              <w:t>6</w:t>
            </w:r>
            <w:r w:rsidR="00275F9D" w:rsidRPr="00890C87">
              <w:rPr>
                <w:b/>
                <w:szCs w:val="24"/>
                <w:lang w:val="fr-FR"/>
              </w:rPr>
              <w:t xml:space="preserve"> des radiocommunications</w:t>
            </w:r>
          </w:p>
        </w:tc>
      </w:tr>
      <w:tr w:rsidR="00E53DCE" w:rsidRPr="00890C87" w14:paraId="0D37F856" w14:textId="77777777" w:rsidTr="004228FA">
        <w:trPr>
          <w:jc w:val="center"/>
        </w:trPr>
        <w:tc>
          <w:tcPr>
            <w:tcW w:w="9889" w:type="dxa"/>
            <w:gridSpan w:val="3"/>
            <w:shd w:val="clear" w:color="auto" w:fill="auto"/>
          </w:tcPr>
          <w:p w14:paraId="47C28A14" w14:textId="77777777" w:rsidR="00E53DCE" w:rsidRPr="00890C87" w:rsidRDefault="00E53DCE" w:rsidP="00C736C7">
            <w:pPr>
              <w:spacing w:before="0" w:line="240" w:lineRule="auto"/>
              <w:jc w:val="left"/>
              <w:rPr>
                <w:szCs w:val="24"/>
                <w:lang w:val="fr-FR"/>
              </w:rPr>
            </w:pPr>
          </w:p>
        </w:tc>
      </w:tr>
      <w:tr w:rsidR="00DD562F" w:rsidRPr="00890C87" w14:paraId="6F8F8F21" w14:textId="77777777" w:rsidTr="004228FA">
        <w:trPr>
          <w:jc w:val="center"/>
        </w:trPr>
        <w:tc>
          <w:tcPr>
            <w:tcW w:w="9889" w:type="dxa"/>
            <w:gridSpan w:val="3"/>
            <w:shd w:val="clear" w:color="auto" w:fill="auto"/>
          </w:tcPr>
          <w:p w14:paraId="3C2B98BE" w14:textId="77777777" w:rsidR="00DD562F" w:rsidRPr="00890C87" w:rsidRDefault="00DD562F" w:rsidP="00C736C7">
            <w:pPr>
              <w:spacing w:before="0" w:line="240" w:lineRule="auto"/>
              <w:jc w:val="left"/>
              <w:rPr>
                <w:szCs w:val="24"/>
                <w:lang w:val="fr-FR"/>
              </w:rPr>
            </w:pPr>
          </w:p>
        </w:tc>
      </w:tr>
      <w:tr w:rsidR="00E53DCE" w:rsidRPr="00890C87" w14:paraId="472C7555" w14:textId="77777777" w:rsidTr="004228FA">
        <w:trPr>
          <w:jc w:val="center"/>
        </w:trPr>
        <w:tc>
          <w:tcPr>
            <w:tcW w:w="1526" w:type="dxa"/>
            <w:shd w:val="clear" w:color="auto" w:fill="auto"/>
          </w:tcPr>
          <w:p w14:paraId="373EB144" w14:textId="77777777" w:rsidR="00E53DCE" w:rsidRPr="00890C87" w:rsidRDefault="003471C9" w:rsidP="00C736C7">
            <w:pPr>
              <w:tabs>
                <w:tab w:val="clear" w:pos="1588"/>
                <w:tab w:val="left" w:pos="1560"/>
              </w:tabs>
              <w:spacing w:before="0" w:line="240" w:lineRule="auto"/>
              <w:jc w:val="left"/>
              <w:rPr>
                <w:szCs w:val="24"/>
                <w:lang w:val="fr-FR"/>
              </w:rPr>
            </w:pPr>
            <w:r w:rsidRPr="00890C87">
              <w:rPr>
                <w:lang w:val="fr-FR"/>
              </w:rPr>
              <w:t>Objet</w:t>
            </w:r>
            <w:r w:rsidR="00E53DCE" w:rsidRPr="00890C87">
              <w:rPr>
                <w:szCs w:val="24"/>
                <w:lang w:val="fr-FR"/>
              </w:rPr>
              <w:t>:</w:t>
            </w:r>
          </w:p>
        </w:tc>
        <w:tc>
          <w:tcPr>
            <w:tcW w:w="8363" w:type="dxa"/>
            <w:gridSpan w:val="2"/>
            <w:vMerge w:val="restart"/>
            <w:shd w:val="clear" w:color="auto" w:fill="auto"/>
          </w:tcPr>
          <w:p w14:paraId="7B23561D" w14:textId="6483735E" w:rsidR="00B53305" w:rsidRPr="00890C87" w:rsidRDefault="00E6773B" w:rsidP="00C736C7">
            <w:pPr>
              <w:spacing w:before="0" w:line="240" w:lineRule="auto"/>
              <w:jc w:val="left"/>
              <w:rPr>
                <w:b/>
                <w:bCs/>
                <w:szCs w:val="24"/>
                <w:lang w:val="fr-FR"/>
              </w:rPr>
            </w:pPr>
            <w:r w:rsidRPr="00890C87">
              <w:rPr>
                <w:b/>
                <w:bCs/>
                <w:lang w:val="fr-FR"/>
              </w:rPr>
              <w:t xml:space="preserve">Commission d'études </w:t>
            </w:r>
            <w:r w:rsidR="00381A44" w:rsidRPr="00890C87">
              <w:rPr>
                <w:b/>
                <w:bCs/>
                <w:lang w:val="fr-FR"/>
              </w:rPr>
              <w:t>6</w:t>
            </w:r>
            <w:r w:rsidRPr="00890C87">
              <w:rPr>
                <w:b/>
                <w:bCs/>
                <w:lang w:val="fr-FR"/>
              </w:rPr>
              <w:t xml:space="preserve"> des radiocommunications </w:t>
            </w:r>
            <w:r w:rsidR="00381A44" w:rsidRPr="00890C87">
              <w:rPr>
                <w:b/>
                <w:bCs/>
                <w:spacing w:val="-2"/>
                <w:lang w:val="fr-FR"/>
              </w:rPr>
              <w:t>(Service de radiodiffusion)</w:t>
            </w:r>
          </w:p>
          <w:p w14:paraId="15ABA3A1" w14:textId="3986AD7C" w:rsidR="00B53305" w:rsidRPr="00890C87" w:rsidRDefault="00B53305" w:rsidP="00C736C7">
            <w:pPr>
              <w:pStyle w:val="enumlev1"/>
              <w:spacing w:line="240" w:lineRule="auto"/>
              <w:jc w:val="left"/>
              <w:rPr>
                <w:b/>
                <w:bCs/>
                <w:lang w:val="fr-FR"/>
              </w:rPr>
            </w:pPr>
            <w:r w:rsidRPr="00890C87">
              <w:rPr>
                <w:b/>
                <w:bCs/>
                <w:lang w:val="fr-FR"/>
              </w:rPr>
              <w:t>–</w:t>
            </w:r>
            <w:r w:rsidRPr="00890C87">
              <w:rPr>
                <w:b/>
                <w:bCs/>
                <w:lang w:val="fr-FR"/>
              </w:rPr>
              <w:tab/>
              <w:t>Approbation d</w:t>
            </w:r>
            <w:r w:rsidR="00FB779B" w:rsidRPr="00890C87">
              <w:rPr>
                <w:b/>
                <w:bCs/>
                <w:lang w:val="fr-FR"/>
              </w:rPr>
              <w:t>’un</w:t>
            </w:r>
            <w:r w:rsidRPr="00890C87">
              <w:rPr>
                <w:b/>
                <w:bCs/>
                <w:lang w:val="fr-FR"/>
              </w:rPr>
              <w:t>e nouvelle Question UIT-R</w:t>
            </w:r>
          </w:p>
          <w:p w14:paraId="74B10C29" w14:textId="578E9611" w:rsidR="00E53DCE" w:rsidRPr="00890C87" w:rsidRDefault="00B53305" w:rsidP="00C736C7">
            <w:pPr>
              <w:pStyle w:val="enumlev1"/>
              <w:spacing w:line="240" w:lineRule="auto"/>
              <w:jc w:val="left"/>
              <w:rPr>
                <w:b/>
                <w:bCs/>
                <w:lang w:val="fr-FR"/>
              </w:rPr>
            </w:pPr>
            <w:r w:rsidRPr="00890C87">
              <w:rPr>
                <w:b/>
                <w:bCs/>
                <w:lang w:val="fr-FR"/>
              </w:rPr>
              <w:t>–</w:t>
            </w:r>
            <w:r w:rsidRPr="00890C87">
              <w:rPr>
                <w:b/>
                <w:bCs/>
                <w:lang w:val="fr-FR"/>
              </w:rPr>
              <w:tab/>
              <w:t xml:space="preserve">Suppression de </w:t>
            </w:r>
            <w:r w:rsidR="00381A44" w:rsidRPr="00890C87">
              <w:rPr>
                <w:b/>
                <w:bCs/>
                <w:lang w:val="fr-FR"/>
              </w:rPr>
              <w:t>2</w:t>
            </w:r>
            <w:r w:rsidR="00617BD0" w:rsidRPr="00890C87">
              <w:rPr>
                <w:b/>
                <w:bCs/>
                <w:lang w:val="fr-FR"/>
              </w:rPr>
              <w:t xml:space="preserve"> </w:t>
            </w:r>
            <w:r w:rsidRPr="00890C87">
              <w:rPr>
                <w:b/>
                <w:bCs/>
                <w:lang w:val="fr-FR"/>
              </w:rPr>
              <w:t>Question</w:t>
            </w:r>
            <w:r w:rsidR="00381A44" w:rsidRPr="00890C87">
              <w:rPr>
                <w:b/>
                <w:bCs/>
                <w:lang w:val="fr-FR"/>
              </w:rPr>
              <w:t>s</w:t>
            </w:r>
            <w:r w:rsidRPr="00890C87">
              <w:rPr>
                <w:b/>
                <w:bCs/>
                <w:lang w:val="fr-FR"/>
              </w:rPr>
              <w:t xml:space="preserve"> UIT-R</w:t>
            </w:r>
          </w:p>
        </w:tc>
      </w:tr>
      <w:tr w:rsidR="00E53DCE" w:rsidRPr="00890C87" w14:paraId="6941ED09" w14:textId="77777777" w:rsidTr="004228FA">
        <w:trPr>
          <w:jc w:val="center"/>
        </w:trPr>
        <w:tc>
          <w:tcPr>
            <w:tcW w:w="1526" w:type="dxa"/>
            <w:shd w:val="clear" w:color="auto" w:fill="auto"/>
          </w:tcPr>
          <w:p w14:paraId="0F9E2236" w14:textId="77777777" w:rsidR="00E53DCE" w:rsidRPr="00890C87" w:rsidRDefault="00E53DCE" w:rsidP="00C736C7">
            <w:pPr>
              <w:tabs>
                <w:tab w:val="clear" w:pos="1588"/>
                <w:tab w:val="left" w:pos="1560"/>
              </w:tabs>
              <w:spacing w:before="0" w:line="240" w:lineRule="auto"/>
              <w:jc w:val="left"/>
              <w:rPr>
                <w:b/>
                <w:bCs/>
                <w:szCs w:val="24"/>
                <w:lang w:val="fr-FR"/>
              </w:rPr>
            </w:pPr>
          </w:p>
        </w:tc>
        <w:tc>
          <w:tcPr>
            <w:tcW w:w="8363" w:type="dxa"/>
            <w:gridSpan w:val="2"/>
            <w:vMerge/>
            <w:shd w:val="clear" w:color="auto" w:fill="auto"/>
          </w:tcPr>
          <w:p w14:paraId="40932D69" w14:textId="77777777" w:rsidR="00E53DCE" w:rsidRPr="00890C87" w:rsidRDefault="00E53DCE" w:rsidP="00C736C7">
            <w:pPr>
              <w:tabs>
                <w:tab w:val="clear" w:pos="1588"/>
                <w:tab w:val="left" w:pos="1560"/>
              </w:tabs>
              <w:spacing w:before="0" w:line="240" w:lineRule="auto"/>
              <w:rPr>
                <w:b/>
                <w:bCs/>
                <w:szCs w:val="24"/>
                <w:lang w:val="fr-FR"/>
              </w:rPr>
            </w:pPr>
          </w:p>
        </w:tc>
      </w:tr>
      <w:tr w:rsidR="00E53DCE" w:rsidRPr="00890C87" w14:paraId="5B1FA140" w14:textId="77777777" w:rsidTr="004228FA">
        <w:trPr>
          <w:jc w:val="center"/>
        </w:trPr>
        <w:tc>
          <w:tcPr>
            <w:tcW w:w="1526" w:type="dxa"/>
            <w:shd w:val="clear" w:color="auto" w:fill="auto"/>
          </w:tcPr>
          <w:p w14:paraId="212F4E95" w14:textId="77777777" w:rsidR="00E53DCE" w:rsidRPr="00890C87" w:rsidRDefault="00E53DCE" w:rsidP="00C736C7">
            <w:pPr>
              <w:tabs>
                <w:tab w:val="clear" w:pos="1588"/>
                <w:tab w:val="left" w:pos="1560"/>
              </w:tabs>
              <w:spacing w:before="0" w:line="240" w:lineRule="auto"/>
              <w:jc w:val="left"/>
              <w:rPr>
                <w:b/>
                <w:bCs/>
                <w:szCs w:val="24"/>
                <w:lang w:val="fr-FR"/>
              </w:rPr>
            </w:pPr>
          </w:p>
        </w:tc>
        <w:tc>
          <w:tcPr>
            <w:tcW w:w="8363" w:type="dxa"/>
            <w:gridSpan w:val="2"/>
            <w:vMerge/>
            <w:shd w:val="clear" w:color="auto" w:fill="auto"/>
          </w:tcPr>
          <w:p w14:paraId="2EE67B94" w14:textId="77777777" w:rsidR="00E53DCE" w:rsidRPr="00890C87" w:rsidRDefault="00E53DCE" w:rsidP="00C736C7">
            <w:pPr>
              <w:tabs>
                <w:tab w:val="clear" w:pos="1588"/>
                <w:tab w:val="left" w:pos="1560"/>
              </w:tabs>
              <w:spacing w:before="0" w:line="240" w:lineRule="auto"/>
              <w:rPr>
                <w:b/>
                <w:bCs/>
                <w:szCs w:val="24"/>
                <w:lang w:val="fr-FR"/>
              </w:rPr>
            </w:pPr>
          </w:p>
        </w:tc>
      </w:tr>
    </w:tbl>
    <w:p w14:paraId="6779EED6" w14:textId="14FFF6A9" w:rsidR="00B53305" w:rsidRPr="00890C87" w:rsidRDefault="00B53305" w:rsidP="00460DC7">
      <w:pPr>
        <w:spacing w:before="600" w:line="240" w:lineRule="auto"/>
        <w:rPr>
          <w:szCs w:val="24"/>
          <w:lang w:val="fr-FR"/>
        </w:rPr>
      </w:pPr>
      <w:r w:rsidRPr="00890C87">
        <w:rPr>
          <w:szCs w:val="24"/>
          <w:lang w:val="fr-FR"/>
        </w:rPr>
        <w:t xml:space="preserve">Dans la Circulaire administrative </w:t>
      </w:r>
      <w:hyperlink r:id="rId8" w:history="1">
        <w:proofErr w:type="spellStart"/>
        <w:r w:rsidRPr="00890C87">
          <w:rPr>
            <w:rStyle w:val="Hyperlink"/>
            <w:szCs w:val="24"/>
            <w:lang w:val="fr-FR"/>
          </w:rPr>
          <w:t>CACE</w:t>
        </w:r>
        <w:proofErr w:type="spellEnd"/>
        <w:r w:rsidRPr="00890C87">
          <w:rPr>
            <w:rStyle w:val="Hyperlink"/>
            <w:szCs w:val="24"/>
            <w:lang w:val="fr-FR"/>
          </w:rPr>
          <w:t>/</w:t>
        </w:r>
        <w:r w:rsidR="00381A44" w:rsidRPr="00890C87">
          <w:rPr>
            <w:rStyle w:val="Hyperlink"/>
            <w:szCs w:val="24"/>
            <w:lang w:val="fr-FR"/>
          </w:rPr>
          <w:t>1121</w:t>
        </w:r>
      </w:hyperlink>
      <w:r w:rsidRPr="00890C87">
        <w:rPr>
          <w:szCs w:val="24"/>
          <w:lang w:val="fr-FR"/>
        </w:rPr>
        <w:t xml:space="preserve"> en date du </w:t>
      </w:r>
      <w:r w:rsidR="00381A44" w:rsidRPr="00890C87">
        <w:rPr>
          <w:szCs w:val="24"/>
          <w:lang w:val="fr-FR"/>
        </w:rPr>
        <w:t>28 novembre 2024</w:t>
      </w:r>
      <w:r w:rsidRPr="00890C87">
        <w:rPr>
          <w:szCs w:val="24"/>
          <w:lang w:val="fr-FR"/>
        </w:rPr>
        <w:t xml:space="preserve">, </w:t>
      </w:r>
      <w:r w:rsidR="00FB779B" w:rsidRPr="00890C87">
        <w:rPr>
          <w:szCs w:val="24"/>
          <w:lang w:val="fr-FR"/>
        </w:rPr>
        <w:t>un</w:t>
      </w:r>
      <w:r w:rsidRPr="00890C87">
        <w:rPr>
          <w:szCs w:val="24"/>
          <w:lang w:val="fr-FR"/>
        </w:rPr>
        <w:t xml:space="preserve"> projet de nouvelle Question UIT-R </w:t>
      </w:r>
      <w:r w:rsidR="00E6773B" w:rsidRPr="00890C87">
        <w:rPr>
          <w:szCs w:val="24"/>
          <w:lang w:val="fr-FR"/>
        </w:rPr>
        <w:t>a</w:t>
      </w:r>
      <w:r w:rsidRPr="00890C87">
        <w:rPr>
          <w:szCs w:val="24"/>
          <w:lang w:val="fr-FR"/>
        </w:rPr>
        <w:t xml:space="preserve"> été soumis pour approbation par correspondance conformément à la Résolution</w:t>
      </w:r>
      <w:r w:rsidR="00460DC7">
        <w:rPr>
          <w:szCs w:val="24"/>
          <w:lang w:val="fr-FR"/>
        </w:rPr>
        <w:t> </w:t>
      </w:r>
      <w:r w:rsidRPr="00890C87">
        <w:rPr>
          <w:szCs w:val="24"/>
          <w:lang w:val="fr-FR"/>
        </w:rPr>
        <w:t>UIT-R 1-</w:t>
      </w:r>
      <w:r w:rsidR="00CE01F5" w:rsidRPr="00890C87">
        <w:rPr>
          <w:szCs w:val="24"/>
          <w:lang w:val="fr-FR"/>
        </w:rPr>
        <w:t>9</w:t>
      </w:r>
      <w:r w:rsidRPr="00890C87">
        <w:rPr>
          <w:szCs w:val="24"/>
          <w:lang w:val="fr-FR"/>
        </w:rPr>
        <w:t xml:space="preserve"> (§</w:t>
      </w:r>
      <w:r w:rsidR="00953A10" w:rsidRPr="00890C87">
        <w:rPr>
          <w:szCs w:val="24"/>
          <w:lang w:val="fr-FR"/>
        </w:rPr>
        <w:t xml:space="preserve"> </w:t>
      </w:r>
      <w:proofErr w:type="spellStart"/>
      <w:r w:rsidRPr="00890C87">
        <w:rPr>
          <w:szCs w:val="24"/>
          <w:lang w:val="fr-FR"/>
        </w:rPr>
        <w:t>A2.5.2.3</w:t>
      </w:r>
      <w:proofErr w:type="spellEnd"/>
      <w:r w:rsidRPr="00890C87">
        <w:rPr>
          <w:szCs w:val="24"/>
          <w:lang w:val="fr-FR"/>
        </w:rPr>
        <w:t xml:space="preserve">). En outre, la Commission d'études a proposé la suppression de </w:t>
      </w:r>
      <w:r w:rsidR="00381A44" w:rsidRPr="00890C87">
        <w:rPr>
          <w:szCs w:val="24"/>
          <w:lang w:val="fr-FR"/>
        </w:rPr>
        <w:t>2</w:t>
      </w:r>
      <w:r w:rsidR="00460DC7">
        <w:rPr>
          <w:szCs w:val="24"/>
          <w:lang w:val="fr-FR"/>
        </w:rPr>
        <w:t> </w:t>
      </w:r>
      <w:r w:rsidRPr="00890C87">
        <w:rPr>
          <w:szCs w:val="24"/>
          <w:lang w:val="fr-FR"/>
        </w:rPr>
        <w:t>Questions UIT-R.</w:t>
      </w:r>
    </w:p>
    <w:p w14:paraId="4BCC78BC" w14:textId="321C65DE" w:rsidR="00B53305" w:rsidRPr="00890C87" w:rsidRDefault="00B53305" w:rsidP="00CF5963">
      <w:pPr>
        <w:spacing w:before="120" w:line="240" w:lineRule="auto"/>
        <w:rPr>
          <w:szCs w:val="24"/>
          <w:lang w:val="fr-FR"/>
        </w:rPr>
      </w:pPr>
      <w:r w:rsidRPr="00890C87">
        <w:rPr>
          <w:szCs w:val="24"/>
          <w:lang w:val="fr-FR"/>
        </w:rPr>
        <w:t xml:space="preserve">Les conditions régissant cette procédure ont été satisfaites le </w:t>
      </w:r>
      <w:r w:rsidR="00381A44" w:rsidRPr="00890C87">
        <w:rPr>
          <w:lang w:val="fr-FR"/>
        </w:rPr>
        <w:t>28 janvier 2025</w:t>
      </w:r>
      <w:r w:rsidRPr="00890C87">
        <w:rPr>
          <w:szCs w:val="24"/>
          <w:lang w:val="fr-FR"/>
        </w:rPr>
        <w:t>.</w:t>
      </w:r>
    </w:p>
    <w:p w14:paraId="7E409AD6" w14:textId="4943A304" w:rsidR="00B53305" w:rsidRPr="00890C87" w:rsidRDefault="00953A10" w:rsidP="00CF5963">
      <w:pPr>
        <w:spacing w:before="120" w:line="240" w:lineRule="auto"/>
        <w:rPr>
          <w:szCs w:val="24"/>
          <w:lang w:val="fr-FR"/>
        </w:rPr>
      </w:pPr>
      <w:r w:rsidRPr="00890C87">
        <w:rPr>
          <w:szCs w:val="24"/>
          <w:lang w:val="fr-FR"/>
        </w:rPr>
        <w:t xml:space="preserve">Le texte </w:t>
      </w:r>
      <w:r w:rsidR="00E6773B" w:rsidRPr="00890C87">
        <w:rPr>
          <w:szCs w:val="24"/>
          <w:lang w:val="fr-FR"/>
        </w:rPr>
        <w:t>de la</w:t>
      </w:r>
      <w:r w:rsidR="00B53305" w:rsidRPr="00890C87">
        <w:rPr>
          <w:szCs w:val="24"/>
          <w:lang w:val="fr-FR"/>
        </w:rPr>
        <w:t xml:space="preserve"> Question approuvée est joint pour </w:t>
      </w:r>
      <w:r w:rsidR="00B9432A" w:rsidRPr="00890C87">
        <w:rPr>
          <w:szCs w:val="24"/>
          <w:lang w:val="fr-FR"/>
        </w:rPr>
        <w:t xml:space="preserve">votre information </w:t>
      </w:r>
      <w:r w:rsidR="00B53305" w:rsidRPr="00890C87">
        <w:rPr>
          <w:szCs w:val="24"/>
          <w:lang w:val="fr-FR"/>
        </w:rPr>
        <w:t xml:space="preserve">dans </w:t>
      </w:r>
      <w:r w:rsidR="00A7142A" w:rsidRPr="00890C87">
        <w:rPr>
          <w:szCs w:val="24"/>
          <w:lang w:val="fr-FR"/>
        </w:rPr>
        <w:t xml:space="preserve">l'Annexe 1 </w:t>
      </w:r>
      <w:r w:rsidR="00B53305" w:rsidRPr="00890C87">
        <w:rPr>
          <w:szCs w:val="24"/>
          <w:lang w:val="fr-FR"/>
        </w:rPr>
        <w:t xml:space="preserve">et sera publié par l'UIT. </w:t>
      </w:r>
      <w:r w:rsidR="00E6773B" w:rsidRPr="00890C87">
        <w:rPr>
          <w:szCs w:val="24"/>
          <w:lang w:val="fr-FR"/>
        </w:rPr>
        <w:t>Les</w:t>
      </w:r>
      <w:r w:rsidR="00B53305" w:rsidRPr="00890C87">
        <w:rPr>
          <w:szCs w:val="24"/>
          <w:lang w:val="fr-FR"/>
        </w:rPr>
        <w:t xml:space="preserve"> Questions UIT-R supprimées sont indiquées dans l'Annexe </w:t>
      </w:r>
      <w:r w:rsidR="00381A44" w:rsidRPr="00890C87">
        <w:rPr>
          <w:szCs w:val="24"/>
          <w:lang w:val="fr-FR"/>
        </w:rPr>
        <w:t>2</w:t>
      </w:r>
      <w:r w:rsidR="00B53305" w:rsidRPr="00890C87">
        <w:rPr>
          <w:szCs w:val="24"/>
          <w:lang w:val="fr-FR"/>
        </w:rPr>
        <w:t>.</w:t>
      </w:r>
    </w:p>
    <w:p w14:paraId="0F80FC15" w14:textId="68A7DDC7" w:rsidR="00B53305" w:rsidRPr="00890C87" w:rsidRDefault="00E6773B" w:rsidP="00387A95">
      <w:pPr>
        <w:keepNext/>
        <w:keepLines/>
        <w:spacing w:before="1200" w:line="240" w:lineRule="auto"/>
        <w:jc w:val="left"/>
        <w:rPr>
          <w:szCs w:val="24"/>
          <w:lang w:val="fr-FR"/>
        </w:rPr>
      </w:pPr>
      <w:r w:rsidRPr="00890C87">
        <w:rPr>
          <w:szCs w:val="24"/>
          <w:lang w:val="fr-FR"/>
        </w:rPr>
        <w:t>Mario Maniewicz</w:t>
      </w:r>
      <w:r w:rsidR="00B53305" w:rsidRPr="00890C87">
        <w:rPr>
          <w:szCs w:val="24"/>
          <w:lang w:val="fr-FR"/>
        </w:rPr>
        <w:br/>
        <w:t>Directeur</w:t>
      </w:r>
    </w:p>
    <w:p w14:paraId="62535A50" w14:textId="1C8F8FA7" w:rsidR="00B53305" w:rsidRPr="00890C87" w:rsidRDefault="00B53305" w:rsidP="00CF5963">
      <w:pPr>
        <w:keepNext/>
        <w:spacing w:before="2400" w:line="240" w:lineRule="auto"/>
        <w:ind w:left="794" w:hanging="794"/>
        <w:rPr>
          <w:b/>
          <w:bCs/>
          <w:szCs w:val="24"/>
          <w:lang w:val="fr-FR"/>
        </w:rPr>
      </w:pPr>
      <w:r w:rsidRPr="00890C87">
        <w:rPr>
          <w:b/>
          <w:bCs/>
          <w:szCs w:val="24"/>
          <w:lang w:val="fr-FR"/>
        </w:rPr>
        <w:t>Annexes</w:t>
      </w:r>
      <w:r w:rsidR="00953A10" w:rsidRPr="00890C87">
        <w:rPr>
          <w:szCs w:val="24"/>
          <w:lang w:val="fr-FR"/>
        </w:rPr>
        <w:t>:</w:t>
      </w:r>
      <w:r w:rsidR="00460DC7">
        <w:rPr>
          <w:szCs w:val="24"/>
          <w:lang w:val="fr-FR"/>
        </w:rPr>
        <w:tab/>
      </w:r>
      <w:r w:rsidR="00381A44" w:rsidRPr="00890C87">
        <w:rPr>
          <w:szCs w:val="24"/>
          <w:lang w:val="fr-FR"/>
        </w:rPr>
        <w:t>2</w:t>
      </w:r>
    </w:p>
    <w:p w14:paraId="7033DC91" w14:textId="77777777" w:rsidR="00E6773B" w:rsidRPr="00890C87" w:rsidRDefault="00E6773B" w:rsidP="00C736C7">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 w:val="28"/>
          <w:szCs w:val="20"/>
          <w:lang w:val="fr-FR"/>
        </w:rPr>
      </w:pPr>
      <w:r w:rsidRPr="00890C87">
        <w:rPr>
          <w:rFonts w:asciiTheme="minorHAnsi" w:hAnsiTheme="minorHAnsi" w:cstheme="minorHAnsi"/>
          <w:lang w:val="fr-FR"/>
        </w:rPr>
        <w:br w:type="page"/>
      </w:r>
    </w:p>
    <w:p w14:paraId="2D83C0B3" w14:textId="1CDE0511" w:rsidR="00B53305" w:rsidRPr="00890C87" w:rsidRDefault="00B53305" w:rsidP="00C736C7">
      <w:pPr>
        <w:pStyle w:val="AnnexNotitle0"/>
        <w:spacing w:before="120"/>
        <w:rPr>
          <w:rFonts w:asciiTheme="minorHAnsi" w:hAnsiTheme="minorHAnsi" w:cstheme="minorHAnsi"/>
          <w:lang w:val="fr-FR"/>
        </w:rPr>
      </w:pPr>
      <w:r w:rsidRPr="00890C87">
        <w:rPr>
          <w:rFonts w:asciiTheme="minorHAnsi" w:hAnsiTheme="minorHAnsi" w:cstheme="minorHAnsi"/>
          <w:lang w:val="fr-FR"/>
        </w:rPr>
        <w:lastRenderedPageBreak/>
        <w:t>Annexe 1</w:t>
      </w:r>
    </w:p>
    <w:p w14:paraId="328451F8" w14:textId="14B75041" w:rsidR="00B53305" w:rsidRPr="00890C87" w:rsidRDefault="00B53305" w:rsidP="00C736C7">
      <w:pPr>
        <w:pStyle w:val="QuestionNoBR"/>
        <w:spacing w:before="360"/>
        <w:rPr>
          <w:lang w:val="fr-FR"/>
        </w:rPr>
      </w:pPr>
      <w:r w:rsidRPr="00890C87">
        <w:rPr>
          <w:lang w:val="fr-FR"/>
        </w:rPr>
        <w:t xml:space="preserve">QUESTION UIT-R </w:t>
      </w:r>
      <w:r w:rsidR="00617BD0" w:rsidRPr="00890C87">
        <w:rPr>
          <w:lang w:val="fr-FR"/>
        </w:rPr>
        <w:t>148</w:t>
      </w:r>
      <w:r w:rsidRPr="00890C87">
        <w:rPr>
          <w:lang w:val="fr-FR"/>
        </w:rPr>
        <w:t>/</w:t>
      </w:r>
      <w:r w:rsidR="00617BD0" w:rsidRPr="00890C87">
        <w:rPr>
          <w:lang w:val="fr-FR"/>
        </w:rPr>
        <w:t>6</w:t>
      </w:r>
    </w:p>
    <w:p w14:paraId="37E1BF43" w14:textId="2ECA6EA7" w:rsidR="00CE01F5" w:rsidRPr="00890C87" w:rsidRDefault="00381A44" w:rsidP="00C736C7">
      <w:pPr>
        <w:pStyle w:val="Questiontitle"/>
        <w:rPr>
          <w:rFonts w:ascii="Times New Roman" w:hAnsi="Times New Roman" w:cs="Times New Roman"/>
          <w:lang w:val="fr-FR"/>
        </w:rPr>
      </w:pPr>
      <w:r w:rsidRPr="00890C87">
        <w:rPr>
          <w:rFonts w:ascii="Times New Roman" w:hAnsi="Times New Roman" w:cs="Times New Roman"/>
          <w:lang w:val="fr-FR"/>
        </w:rPr>
        <w:t>Évolution des systèmes de radiodiffusion sonore</w:t>
      </w:r>
    </w:p>
    <w:p w14:paraId="6A734501" w14:textId="602F1D74" w:rsidR="00CE01F5" w:rsidRPr="00890C87" w:rsidRDefault="00CE01F5" w:rsidP="00C736C7">
      <w:pPr>
        <w:pStyle w:val="Questiondate"/>
        <w:spacing w:before="240" w:line="240" w:lineRule="auto"/>
        <w:rPr>
          <w:rFonts w:ascii="Times New Roman" w:hAnsi="Times New Roman" w:cs="Times New Roman"/>
          <w:i w:val="0"/>
          <w:iCs/>
          <w:sz w:val="22"/>
          <w:lang w:val="fr-FR"/>
        </w:rPr>
      </w:pPr>
      <w:r w:rsidRPr="00890C87">
        <w:rPr>
          <w:rFonts w:ascii="Times New Roman" w:hAnsi="Times New Roman" w:cs="Times New Roman"/>
          <w:i w:val="0"/>
          <w:iCs/>
          <w:sz w:val="22"/>
          <w:lang w:val="fr-FR"/>
        </w:rPr>
        <w:t>(</w:t>
      </w:r>
      <w:r w:rsidR="00381A44" w:rsidRPr="00890C87">
        <w:rPr>
          <w:rFonts w:ascii="Times New Roman" w:hAnsi="Times New Roman" w:cs="Times New Roman"/>
          <w:i w:val="0"/>
          <w:iCs/>
          <w:sz w:val="22"/>
          <w:lang w:val="fr-FR"/>
        </w:rPr>
        <w:t>2024)</w:t>
      </w:r>
    </w:p>
    <w:p w14:paraId="6945DA80" w14:textId="77777777" w:rsidR="00381A44" w:rsidRPr="00890C87" w:rsidRDefault="00381A44" w:rsidP="00460DC7">
      <w:pPr>
        <w:pStyle w:val="Normalaftertitle"/>
        <w:spacing w:before="120"/>
        <w:jc w:val="left"/>
        <w:rPr>
          <w:rFonts w:ascii="Times New Roman" w:hAnsi="Times New Roman" w:cs="Times New Roman"/>
          <w:lang w:val="fr-FR"/>
        </w:rPr>
      </w:pPr>
      <w:r w:rsidRPr="00890C87">
        <w:rPr>
          <w:rFonts w:ascii="Times New Roman" w:hAnsi="Times New Roman" w:cs="Times New Roman"/>
          <w:lang w:val="fr-FR"/>
        </w:rPr>
        <w:t>L'Assemblée des radiocommunications de l'UIT,</w:t>
      </w:r>
    </w:p>
    <w:p w14:paraId="37DC5CF5" w14:textId="77777777" w:rsidR="00381A44" w:rsidRPr="00890C87" w:rsidRDefault="00381A44" w:rsidP="00381A44">
      <w:pPr>
        <w:pStyle w:val="Call"/>
        <w:rPr>
          <w:rFonts w:ascii="Times New Roman" w:hAnsi="Times New Roman" w:cs="Times New Roman"/>
          <w:lang w:val="fr-FR"/>
        </w:rPr>
      </w:pPr>
      <w:r w:rsidRPr="00890C87">
        <w:rPr>
          <w:rFonts w:ascii="Times New Roman" w:hAnsi="Times New Roman" w:cs="Times New Roman"/>
          <w:lang w:val="fr-FR"/>
        </w:rPr>
        <w:t>considérant</w:t>
      </w:r>
    </w:p>
    <w:p w14:paraId="1BE6F188" w14:textId="77777777" w:rsidR="00381A44" w:rsidRPr="00890C87" w:rsidRDefault="00381A44" w:rsidP="00381A44">
      <w:pPr>
        <w:rPr>
          <w:rFonts w:ascii="Times New Roman" w:hAnsi="Times New Roman" w:cs="Times New Roman"/>
          <w:lang w:val="fr-FR"/>
        </w:rPr>
      </w:pPr>
      <w:r w:rsidRPr="00890C87">
        <w:rPr>
          <w:rFonts w:ascii="Times New Roman" w:hAnsi="Times New Roman" w:cs="Times New Roman"/>
          <w:i/>
          <w:iCs/>
          <w:lang w:val="fr-FR"/>
        </w:rPr>
        <w:t>a)</w:t>
      </w:r>
      <w:r w:rsidRPr="00890C87">
        <w:rPr>
          <w:rFonts w:ascii="Times New Roman" w:hAnsi="Times New Roman" w:cs="Times New Roman"/>
          <w:lang w:val="fr-FR"/>
        </w:rPr>
        <w:tab/>
        <w:t>que les systèmes sonores évolués offrent une plus grande richesse spatiale et une plus grande interactivité que les systèmes sonores multicanaux au format 3/2 pendant l'écoute;</w:t>
      </w:r>
    </w:p>
    <w:p w14:paraId="05CCAFAC" w14:textId="77777777" w:rsidR="00381A44" w:rsidRPr="00890C87" w:rsidRDefault="00381A44" w:rsidP="00381A44">
      <w:pPr>
        <w:rPr>
          <w:rFonts w:ascii="Times New Roman" w:hAnsi="Times New Roman" w:cs="Times New Roman"/>
          <w:lang w:val="fr-FR"/>
        </w:rPr>
      </w:pPr>
      <w:r w:rsidRPr="00890C87">
        <w:rPr>
          <w:rFonts w:ascii="Times New Roman" w:hAnsi="Times New Roman" w:cs="Times New Roman"/>
          <w:i/>
          <w:iCs/>
          <w:lang w:val="fr-FR"/>
        </w:rPr>
        <w:t>b)</w:t>
      </w:r>
      <w:r w:rsidRPr="00890C87">
        <w:rPr>
          <w:rFonts w:ascii="Times New Roman" w:hAnsi="Times New Roman" w:cs="Times New Roman"/>
          <w:lang w:val="fr-FR"/>
        </w:rPr>
        <w:tab/>
        <w:t>que les systèmes de radiodiffusion sonore sont amenés à évoluer et à faire apparaître de nouveaux cas d'utilisation, parmi lesquels la réalité virtuelle ou la réalité augmentée (VR/AR), la production virtuelle ou à distance, l'adaptation de l'environnement/du dispositif de reproduction, l'interaction et la personnalisation par les utilisateurs;</w:t>
      </w:r>
    </w:p>
    <w:p w14:paraId="187C14FB" w14:textId="77777777" w:rsidR="00381A44" w:rsidRPr="00890C87" w:rsidRDefault="00381A44" w:rsidP="00381A44">
      <w:pPr>
        <w:rPr>
          <w:rFonts w:ascii="Times New Roman" w:hAnsi="Times New Roman" w:cs="Times New Roman"/>
          <w:lang w:val="fr-FR"/>
        </w:rPr>
      </w:pPr>
      <w:r w:rsidRPr="00890C87">
        <w:rPr>
          <w:rFonts w:ascii="Times New Roman" w:hAnsi="Times New Roman" w:cs="Times New Roman"/>
          <w:i/>
          <w:iCs/>
          <w:lang w:val="fr-FR"/>
        </w:rPr>
        <w:t>c)</w:t>
      </w:r>
      <w:r w:rsidRPr="00890C87">
        <w:rPr>
          <w:rFonts w:ascii="Times New Roman" w:hAnsi="Times New Roman" w:cs="Times New Roman"/>
          <w:lang w:val="fr-FR"/>
        </w:rPr>
        <w:tab/>
        <w:t>qu'il sera nécessaire de disposer, dans les environnements VR/AR, d'informations de position des images sonores permettant de suivre le point de vue de l'utilisateur dans un espace tridimensionnel et de s'y adapter;</w:t>
      </w:r>
    </w:p>
    <w:p w14:paraId="6B3D9D33" w14:textId="77777777" w:rsidR="00381A44" w:rsidRPr="00890C87" w:rsidRDefault="00381A44" w:rsidP="00381A44">
      <w:pPr>
        <w:rPr>
          <w:rFonts w:ascii="Times New Roman" w:hAnsi="Times New Roman" w:cs="Times New Roman"/>
          <w:lang w:val="fr-FR"/>
        </w:rPr>
      </w:pPr>
      <w:r w:rsidRPr="00890C87">
        <w:rPr>
          <w:rFonts w:ascii="Times New Roman" w:hAnsi="Times New Roman" w:cs="Times New Roman"/>
          <w:i/>
          <w:iCs/>
          <w:lang w:val="fr-FR"/>
        </w:rPr>
        <w:t>d)</w:t>
      </w:r>
      <w:r w:rsidRPr="00890C87">
        <w:rPr>
          <w:rFonts w:ascii="Times New Roman" w:hAnsi="Times New Roman" w:cs="Times New Roman"/>
          <w:lang w:val="fr-FR"/>
        </w:rPr>
        <w:tab/>
        <w:t xml:space="preserve">que les systèmes sonores pour ces nouveaux cas d'utilisation nécessiteront de s'appuyer sur des métadonnées supplémentaires relatives </w:t>
      </w:r>
      <w:proofErr w:type="gramStart"/>
      <w:r w:rsidRPr="00890C87">
        <w:rPr>
          <w:rFonts w:ascii="Times New Roman" w:hAnsi="Times New Roman" w:cs="Times New Roman"/>
          <w:lang w:val="fr-FR"/>
        </w:rPr>
        <w:t>aux signaux audio</w:t>
      </w:r>
      <w:proofErr w:type="gramEnd"/>
      <w:r w:rsidRPr="00890C87">
        <w:rPr>
          <w:rFonts w:ascii="Times New Roman" w:hAnsi="Times New Roman" w:cs="Times New Roman"/>
          <w:lang w:val="fr-FR"/>
        </w:rPr>
        <w:t xml:space="preserve"> et des méthodes de restitution évoluées;</w:t>
      </w:r>
    </w:p>
    <w:p w14:paraId="35C49A53" w14:textId="77777777" w:rsidR="00381A44" w:rsidRPr="00890C87" w:rsidRDefault="00381A44" w:rsidP="00381A44">
      <w:pPr>
        <w:rPr>
          <w:rFonts w:ascii="Times New Roman" w:hAnsi="Times New Roman" w:cs="Times New Roman"/>
          <w:lang w:val="fr-FR"/>
        </w:rPr>
      </w:pPr>
      <w:r w:rsidRPr="00890C87">
        <w:rPr>
          <w:rFonts w:ascii="Times New Roman" w:hAnsi="Times New Roman" w:cs="Times New Roman"/>
          <w:i/>
          <w:iCs/>
          <w:lang w:val="fr-FR"/>
        </w:rPr>
        <w:t>e)</w:t>
      </w:r>
      <w:r w:rsidRPr="00890C87">
        <w:rPr>
          <w:rFonts w:ascii="Times New Roman" w:hAnsi="Times New Roman" w:cs="Times New Roman"/>
          <w:lang w:val="fr-FR"/>
        </w:rPr>
        <w:tab/>
        <w:t>que ces nouveaux cas d'utilisation pourront requérir des procédés de production différents, dont la création de métadonnées relatives aux signaux audio et l'utilisation d'outils de production reposant sur l'intelligence artificielle;</w:t>
      </w:r>
    </w:p>
    <w:p w14:paraId="5261321A" w14:textId="77777777" w:rsidR="00381A44" w:rsidRPr="00890C87" w:rsidRDefault="00381A44" w:rsidP="00381A44">
      <w:pPr>
        <w:rPr>
          <w:rFonts w:ascii="Times New Roman" w:hAnsi="Times New Roman" w:cs="Times New Roman"/>
          <w:lang w:val="fr-FR"/>
        </w:rPr>
      </w:pPr>
      <w:r w:rsidRPr="00890C87">
        <w:rPr>
          <w:rFonts w:ascii="Times New Roman" w:hAnsi="Times New Roman" w:cs="Times New Roman"/>
          <w:i/>
          <w:iCs/>
          <w:lang w:val="fr-FR"/>
        </w:rPr>
        <w:t>f)</w:t>
      </w:r>
      <w:r w:rsidRPr="00890C87">
        <w:rPr>
          <w:rFonts w:ascii="Times New Roman" w:hAnsi="Times New Roman" w:cs="Times New Roman"/>
          <w:lang w:val="fr-FR"/>
        </w:rPr>
        <w:tab/>
        <w:t>qu'il pourra être nécessaire de convertir les signaux audio et/ou les métadonnées relatives à ces signaux dans le cadre des procédés, des infrastructures et des plates-formes de distribution actuels et futurs;</w:t>
      </w:r>
    </w:p>
    <w:p w14:paraId="75CBE203" w14:textId="77777777" w:rsidR="00381A44" w:rsidRPr="00890C87" w:rsidRDefault="00381A44" w:rsidP="00381A44">
      <w:pPr>
        <w:rPr>
          <w:rFonts w:ascii="Times New Roman" w:hAnsi="Times New Roman" w:cs="Times New Roman"/>
          <w:lang w:val="fr-FR"/>
        </w:rPr>
      </w:pPr>
      <w:r w:rsidRPr="00890C87">
        <w:rPr>
          <w:rFonts w:ascii="Times New Roman" w:hAnsi="Times New Roman" w:cs="Times New Roman"/>
          <w:i/>
          <w:iCs/>
          <w:lang w:val="fr-FR"/>
        </w:rPr>
        <w:t>g)</w:t>
      </w:r>
      <w:r w:rsidRPr="00890C87">
        <w:rPr>
          <w:rFonts w:ascii="Times New Roman" w:hAnsi="Times New Roman" w:cs="Times New Roman"/>
          <w:lang w:val="fr-FR"/>
        </w:rPr>
        <w:tab/>
        <w:t>que des orientations relatives aux procédés et des bonnes pratiques en matière de systèmes sonores, qui tiennent compte des nouveaux cas d'utilisation comme la réalité virtuelle et la réalité augmentée, faciliteront leur mise en œuvre et leur adoption,</w:t>
      </w:r>
    </w:p>
    <w:p w14:paraId="29AA93BD" w14:textId="77777777" w:rsidR="00381A44" w:rsidRPr="00890C87" w:rsidRDefault="00381A44" w:rsidP="00381A44">
      <w:pPr>
        <w:pStyle w:val="Call"/>
        <w:rPr>
          <w:rFonts w:ascii="Times New Roman" w:hAnsi="Times New Roman" w:cs="Times New Roman"/>
          <w:lang w:val="fr-FR"/>
        </w:rPr>
      </w:pPr>
      <w:r w:rsidRPr="00890C87">
        <w:rPr>
          <w:rFonts w:ascii="Times New Roman" w:hAnsi="Times New Roman" w:cs="Times New Roman"/>
          <w:lang w:val="fr-FR"/>
        </w:rPr>
        <w:t>reconnaissant</w:t>
      </w:r>
    </w:p>
    <w:p w14:paraId="0FF27CE0" w14:textId="77777777" w:rsidR="00381A44" w:rsidRPr="00890C87" w:rsidRDefault="00381A44" w:rsidP="00381A44">
      <w:pPr>
        <w:rPr>
          <w:rFonts w:ascii="Times New Roman" w:hAnsi="Times New Roman" w:cs="Times New Roman"/>
          <w:lang w:val="fr-FR"/>
        </w:rPr>
      </w:pPr>
      <w:r w:rsidRPr="00890C87">
        <w:rPr>
          <w:rFonts w:ascii="Times New Roman" w:hAnsi="Times New Roman" w:cs="Times New Roman"/>
          <w:i/>
          <w:iCs/>
          <w:lang w:val="fr-FR"/>
        </w:rPr>
        <w:t>a)</w:t>
      </w:r>
      <w:r w:rsidRPr="00890C87">
        <w:rPr>
          <w:rFonts w:ascii="Times New Roman" w:hAnsi="Times New Roman" w:cs="Times New Roman"/>
          <w:lang w:val="fr-FR"/>
        </w:rPr>
        <w:tab/>
        <w:t>que les systèmes sonores multicanaux 3/2 et les systèmes sonores évolués sont définis respectivement dans les Recommandations UIT-R BS.775 et UIT-R BS.2051;</w:t>
      </w:r>
    </w:p>
    <w:p w14:paraId="64AD4E3A" w14:textId="77777777" w:rsidR="00381A44" w:rsidRPr="00890C87" w:rsidRDefault="00381A44" w:rsidP="00460DC7">
      <w:pPr>
        <w:spacing w:before="120"/>
        <w:rPr>
          <w:rFonts w:ascii="Times New Roman" w:hAnsi="Times New Roman" w:cs="Times New Roman"/>
          <w:lang w:val="fr-FR"/>
        </w:rPr>
      </w:pPr>
      <w:r w:rsidRPr="00890C87">
        <w:rPr>
          <w:rFonts w:ascii="Times New Roman" w:hAnsi="Times New Roman" w:cs="Times New Roman"/>
          <w:i/>
          <w:iCs/>
          <w:lang w:val="fr-FR"/>
        </w:rPr>
        <w:t>b)</w:t>
      </w:r>
      <w:r w:rsidRPr="00890C87">
        <w:rPr>
          <w:rFonts w:ascii="Times New Roman" w:hAnsi="Times New Roman" w:cs="Times New Roman"/>
          <w:lang w:val="fr-FR"/>
        </w:rPr>
        <w:tab/>
        <w:t xml:space="preserve">que les métadonnées relatives aux signaux audio, notamment le modèle de définition audio (ADM, audio </w:t>
      </w:r>
      <w:proofErr w:type="spellStart"/>
      <w:r w:rsidRPr="00890C87">
        <w:rPr>
          <w:rFonts w:ascii="Times New Roman" w:hAnsi="Times New Roman" w:cs="Times New Roman"/>
          <w:lang w:val="fr-FR"/>
        </w:rPr>
        <w:t>definition</w:t>
      </w:r>
      <w:proofErr w:type="spellEnd"/>
      <w:r w:rsidRPr="00890C87">
        <w:rPr>
          <w:rFonts w:ascii="Times New Roman" w:hAnsi="Times New Roman" w:cs="Times New Roman"/>
          <w:lang w:val="fr-FR"/>
        </w:rPr>
        <w:t xml:space="preserve"> model), les définitions communes du modèle ADM et la représentation série pour celui-ci (S-ADM), sont décrites dans les Recommandations UIT</w:t>
      </w:r>
      <w:r w:rsidRPr="00890C87">
        <w:rPr>
          <w:rFonts w:ascii="Times New Roman" w:hAnsi="Times New Roman" w:cs="Times New Roman"/>
          <w:lang w:val="fr-FR"/>
        </w:rPr>
        <w:noBreakHyphen/>
        <w:t>R BS.2076, UIT-R BS.2094 et UIT-R BS.2125;</w:t>
      </w:r>
    </w:p>
    <w:p w14:paraId="679EF164" w14:textId="77777777" w:rsidR="00381A44" w:rsidRPr="00890C87" w:rsidRDefault="00381A44" w:rsidP="00460DC7">
      <w:pPr>
        <w:spacing w:before="120"/>
        <w:rPr>
          <w:rFonts w:ascii="Times New Roman" w:hAnsi="Times New Roman" w:cs="Times New Roman"/>
          <w:lang w:val="fr-FR"/>
        </w:rPr>
      </w:pPr>
      <w:r w:rsidRPr="00890C87">
        <w:rPr>
          <w:rFonts w:ascii="Times New Roman" w:hAnsi="Times New Roman" w:cs="Times New Roman"/>
          <w:i/>
          <w:iCs/>
          <w:lang w:val="fr-FR"/>
        </w:rPr>
        <w:t>c)</w:t>
      </w:r>
      <w:r w:rsidRPr="00890C87">
        <w:rPr>
          <w:rFonts w:ascii="Times New Roman" w:hAnsi="Times New Roman" w:cs="Times New Roman"/>
          <w:lang w:val="fr-FR"/>
        </w:rPr>
        <w:tab/>
        <w:t>que le système de restitution ADM fait l'objet de la Recommandation UIT-R BS.2127;</w:t>
      </w:r>
    </w:p>
    <w:p w14:paraId="579F7FDD" w14:textId="77777777" w:rsidR="00381A44" w:rsidRPr="00460DC7" w:rsidRDefault="00381A44" w:rsidP="00460DC7">
      <w:pPr>
        <w:spacing w:before="120"/>
        <w:rPr>
          <w:rFonts w:ascii="Times New Roman" w:hAnsi="Times New Roman" w:cs="Times New Roman"/>
          <w:lang w:val="fr-FR"/>
        </w:rPr>
      </w:pPr>
      <w:r w:rsidRPr="00460DC7">
        <w:rPr>
          <w:rFonts w:ascii="Times New Roman" w:hAnsi="Times New Roman" w:cs="Times New Roman"/>
          <w:i/>
          <w:iCs/>
          <w:lang w:val="fr-FR"/>
        </w:rPr>
        <w:t>d)</w:t>
      </w:r>
      <w:r w:rsidRPr="00460DC7">
        <w:rPr>
          <w:rFonts w:ascii="Times New Roman" w:hAnsi="Times New Roman" w:cs="Times New Roman"/>
          <w:lang w:val="fr-FR"/>
        </w:rPr>
        <w:tab/>
        <w:t>que les Rapports UIT-R BS.2388, UIT-R BS.2493 et UIT-R BT.2420 contiennent respectivement des directives d'utilisation du modèle ADM, la mise en œuvre pratique des codecs audio pour les systèmes sonores évolués et un ensemble de scénarios d'utilisation des systèmes multimédias sensoriels en immersion évolués;</w:t>
      </w:r>
    </w:p>
    <w:p w14:paraId="1CF928C3" w14:textId="77777777" w:rsidR="00381A44" w:rsidRPr="00460DC7" w:rsidRDefault="00381A44" w:rsidP="00460DC7">
      <w:pPr>
        <w:spacing w:before="120"/>
        <w:rPr>
          <w:rFonts w:ascii="Times New Roman" w:hAnsi="Times New Roman" w:cs="Times New Roman"/>
          <w:lang w:val="fr-FR"/>
        </w:rPr>
      </w:pPr>
      <w:r w:rsidRPr="00460DC7">
        <w:rPr>
          <w:rFonts w:ascii="Times New Roman" w:hAnsi="Times New Roman" w:cs="Times New Roman"/>
          <w:i/>
          <w:iCs/>
          <w:lang w:val="fr-FR"/>
        </w:rPr>
        <w:t>e)</w:t>
      </w:r>
      <w:r w:rsidRPr="00460DC7">
        <w:rPr>
          <w:rFonts w:ascii="Times New Roman" w:hAnsi="Times New Roman" w:cs="Times New Roman"/>
          <w:lang w:val="fr-FR"/>
        </w:rPr>
        <w:tab/>
        <w:t>qu'un cadre pour l'avenir de la radiodiffusion est présenté dans les Rapports UIT</w:t>
      </w:r>
      <w:r w:rsidRPr="00460DC7">
        <w:rPr>
          <w:rFonts w:ascii="Times New Roman" w:hAnsi="Times New Roman" w:cs="Times New Roman"/>
          <w:lang w:val="fr-FR"/>
        </w:rPr>
        <w:noBreakHyphen/>
        <w:t>R BS/BT.2522 et UIT-R BS/BT.2524,</w:t>
      </w:r>
    </w:p>
    <w:p w14:paraId="1D9D94C3" w14:textId="77777777" w:rsidR="00381A44" w:rsidRPr="00890C87" w:rsidRDefault="00381A44" w:rsidP="00381A44">
      <w:pPr>
        <w:pStyle w:val="Call"/>
        <w:rPr>
          <w:rFonts w:ascii="Times New Roman" w:hAnsi="Times New Roman" w:cs="Times New Roman"/>
          <w:i w:val="0"/>
          <w:iCs/>
          <w:lang w:val="fr-FR"/>
        </w:rPr>
      </w:pPr>
      <w:r w:rsidRPr="00890C87">
        <w:rPr>
          <w:rFonts w:ascii="Times New Roman" w:hAnsi="Times New Roman" w:cs="Times New Roman"/>
          <w:lang w:val="fr-FR"/>
        </w:rPr>
        <w:lastRenderedPageBreak/>
        <w:t xml:space="preserve">décide </w:t>
      </w:r>
      <w:r w:rsidRPr="00890C87">
        <w:rPr>
          <w:rFonts w:ascii="Times New Roman" w:hAnsi="Times New Roman" w:cs="Times New Roman"/>
          <w:i w:val="0"/>
          <w:iCs/>
          <w:lang w:val="fr-FR"/>
        </w:rPr>
        <w:t>de mettre à l'étude les Questions suivantes</w:t>
      </w:r>
    </w:p>
    <w:p w14:paraId="4160C11A" w14:textId="77777777" w:rsidR="00381A44" w:rsidRPr="00890C87" w:rsidRDefault="00381A44" w:rsidP="00381A44">
      <w:pPr>
        <w:rPr>
          <w:rFonts w:ascii="Times New Roman" w:hAnsi="Times New Roman" w:cs="Times New Roman"/>
          <w:lang w:val="fr-FR"/>
        </w:rPr>
      </w:pPr>
      <w:r w:rsidRPr="00890C87">
        <w:rPr>
          <w:rFonts w:ascii="Times New Roman" w:hAnsi="Times New Roman" w:cs="Times New Roman"/>
          <w:lang w:val="fr-FR"/>
        </w:rPr>
        <w:t>1</w:t>
      </w:r>
      <w:r w:rsidRPr="00890C87">
        <w:rPr>
          <w:rFonts w:ascii="Times New Roman" w:hAnsi="Times New Roman" w:cs="Times New Roman"/>
          <w:lang w:val="fr-FR"/>
        </w:rPr>
        <w:tab/>
        <w:t>Quelles prescriptions sont nécessaires pour les différents cas d'utilisation des systèmes de radiodiffusion sonore, notamment la réalité virtuelle et la réalité augmentée, la production virtuelle ou à distance, l'adaptation de l'environnement/des dispositifs de reproduction, et l'interaction et la personnalisation par les utilisateurs?</w:t>
      </w:r>
    </w:p>
    <w:p w14:paraId="37DCC821" w14:textId="77777777" w:rsidR="00381A44" w:rsidRPr="00890C87" w:rsidRDefault="00381A44" w:rsidP="00381A44">
      <w:pPr>
        <w:rPr>
          <w:rFonts w:ascii="Times New Roman" w:hAnsi="Times New Roman" w:cs="Times New Roman"/>
          <w:lang w:val="fr-FR"/>
        </w:rPr>
      </w:pPr>
      <w:r w:rsidRPr="00890C87">
        <w:rPr>
          <w:rFonts w:ascii="Times New Roman" w:hAnsi="Times New Roman" w:cs="Times New Roman"/>
          <w:lang w:val="fr-FR"/>
        </w:rPr>
        <w:t>2</w:t>
      </w:r>
      <w:r w:rsidRPr="00890C87">
        <w:rPr>
          <w:rFonts w:ascii="Times New Roman" w:hAnsi="Times New Roman" w:cs="Times New Roman"/>
          <w:lang w:val="fr-FR"/>
        </w:rPr>
        <w:tab/>
        <w:t xml:space="preserve">Quels sont </w:t>
      </w:r>
      <w:proofErr w:type="gramStart"/>
      <w:r w:rsidRPr="00890C87">
        <w:rPr>
          <w:rFonts w:ascii="Times New Roman" w:hAnsi="Times New Roman" w:cs="Times New Roman"/>
          <w:lang w:val="fr-FR"/>
        </w:rPr>
        <w:t>les paramètres audio</w:t>
      </w:r>
      <w:proofErr w:type="gramEnd"/>
      <w:r w:rsidRPr="00890C87">
        <w:rPr>
          <w:rFonts w:ascii="Times New Roman" w:hAnsi="Times New Roman" w:cs="Times New Roman"/>
          <w:lang w:val="fr-FR"/>
        </w:rPr>
        <w:t xml:space="preserve"> et les conditions de reproduction adaptés aux besoins des différents cas d'utilisation des systèmes de radiodiffusion sonore, notamment la réalité virtuelle et la réalité augmentée, la production virtuelle ou à distance, l'échange, le contrôle de la qualité et la surveillance des systèmes sonores?</w:t>
      </w:r>
    </w:p>
    <w:p w14:paraId="2BF670FB" w14:textId="77777777" w:rsidR="00381A44" w:rsidRPr="00890C87" w:rsidRDefault="00381A44" w:rsidP="00381A44">
      <w:pPr>
        <w:rPr>
          <w:rFonts w:ascii="Times New Roman" w:hAnsi="Times New Roman" w:cs="Times New Roman"/>
          <w:lang w:val="fr-FR"/>
        </w:rPr>
      </w:pPr>
      <w:r w:rsidRPr="00890C87">
        <w:rPr>
          <w:rFonts w:ascii="Times New Roman" w:hAnsi="Times New Roman" w:cs="Times New Roman"/>
          <w:lang w:val="fr-FR"/>
        </w:rPr>
        <w:t>3</w:t>
      </w:r>
      <w:r w:rsidRPr="00890C87">
        <w:rPr>
          <w:rFonts w:ascii="Times New Roman" w:hAnsi="Times New Roman" w:cs="Times New Roman"/>
          <w:lang w:val="fr-FR"/>
        </w:rPr>
        <w:tab/>
        <w:t>Quelles prescriptions et spécifications sont nécessaires pour les systèmes de restitution, y compris la méthode de conversion des signaux audio et les ensembles de métadonnées relatives à ces signaux utilisés dans la production, le contrôle et l'évaluation de la qualité des contenus audio?</w:t>
      </w:r>
    </w:p>
    <w:p w14:paraId="2859229B" w14:textId="77777777" w:rsidR="00381A44" w:rsidRPr="00890C87" w:rsidRDefault="00381A44" w:rsidP="00381A44">
      <w:pPr>
        <w:rPr>
          <w:rFonts w:ascii="Times New Roman" w:hAnsi="Times New Roman" w:cs="Times New Roman"/>
          <w:lang w:val="fr-FR"/>
        </w:rPr>
      </w:pPr>
      <w:r w:rsidRPr="00890C87">
        <w:rPr>
          <w:rFonts w:ascii="Times New Roman" w:hAnsi="Times New Roman" w:cs="Times New Roman"/>
          <w:lang w:val="fr-FR"/>
        </w:rPr>
        <w:t>4</w:t>
      </w:r>
      <w:r w:rsidRPr="00890C87">
        <w:rPr>
          <w:rFonts w:ascii="Times New Roman" w:hAnsi="Times New Roman" w:cs="Times New Roman"/>
          <w:lang w:val="fr-FR"/>
        </w:rPr>
        <w:tab/>
        <w:t>Quelles méthodes peut-on employer pour contrôler et maintenir la qualité audio dans différents environnements d'écoute?</w:t>
      </w:r>
    </w:p>
    <w:p w14:paraId="7E914A7A" w14:textId="77777777" w:rsidR="00381A44" w:rsidRPr="00890C87" w:rsidRDefault="00381A44" w:rsidP="00381A44">
      <w:pPr>
        <w:rPr>
          <w:rFonts w:ascii="Times New Roman" w:hAnsi="Times New Roman" w:cs="Times New Roman"/>
          <w:lang w:val="fr-FR"/>
        </w:rPr>
      </w:pPr>
      <w:r w:rsidRPr="00890C87">
        <w:rPr>
          <w:rFonts w:ascii="Times New Roman" w:hAnsi="Times New Roman" w:cs="Times New Roman"/>
          <w:lang w:val="fr-FR"/>
        </w:rPr>
        <w:t>5</w:t>
      </w:r>
      <w:r w:rsidRPr="00890C87">
        <w:rPr>
          <w:rFonts w:ascii="Times New Roman" w:hAnsi="Times New Roman" w:cs="Times New Roman"/>
          <w:lang w:val="fr-FR"/>
        </w:rPr>
        <w:tab/>
        <w:t>Quelles orientations pour les pratiques opérationnelles et les flux de travail convient-il de fournir pour contribuer à garantir une expérience utilisateur optimale et cohérente pour les différents cas d'utilisation des systèmes de radiodiffusion sonore?</w:t>
      </w:r>
    </w:p>
    <w:p w14:paraId="26E3370A" w14:textId="77777777" w:rsidR="00381A44" w:rsidRPr="00890C87" w:rsidRDefault="00381A44" w:rsidP="00381A44">
      <w:pPr>
        <w:pStyle w:val="Call"/>
        <w:rPr>
          <w:rFonts w:ascii="Times New Roman" w:hAnsi="Times New Roman" w:cs="Times New Roman"/>
          <w:lang w:val="fr-FR"/>
        </w:rPr>
      </w:pPr>
      <w:r w:rsidRPr="00890C87">
        <w:rPr>
          <w:rFonts w:ascii="Times New Roman" w:hAnsi="Times New Roman" w:cs="Times New Roman"/>
          <w:lang w:val="fr-FR"/>
        </w:rPr>
        <w:t>décide en outre</w:t>
      </w:r>
    </w:p>
    <w:p w14:paraId="75C332E7" w14:textId="77777777" w:rsidR="00381A44" w:rsidRPr="00890C87" w:rsidRDefault="00381A44" w:rsidP="00381A44">
      <w:pPr>
        <w:rPr>
          <w:rFonts w:ascii="Times New Roman" w:hAnsi="Times New Roman" w:cs="Times New Roman"/>
          <w:lang w:val="fr-FR"/>
        </w:rPr>
      </w:pPr>
      <w:r w:rsidRPr="00890C87">
        <w:rPr>
          <w:rFonts w:ascii="Times New Roman" w:hAnsi="Times New Roman" w:cs="Times New Roman"/>
          <w:lang w:val="fr-FR"/>
        </w:rPr>
        <w:t>1</w:t>
      </w:r>
      <w:r w:rsidRPr="00890C87">
        <w:rPr>
          <w:rFonts w:ascii="Times New Roman" w:hAnsi="Times New Roman" w:cs="Times New Roman"/>
          <w:lang w:val="fr-FR"/>
        </w:rPr>
        <w:tab/>
        <w:t>que les résultats des études susmentionnées devraient être inclus dans une ou plusieurs Recommandations et/ou un ou plusieurs Rapports;</w:t>
      </w:r>
    </w:p>
    <w:p w14:paraId="5C84B191" w14:textId="77777777" w:rsidR="00381A44" w:rsidRPr="00890C87" w:rsidRDefault="00381A44" w:rsidP="00381A44">
      <w:pPr>
        <w:rPr>
          <w:rFonts w:ascii="Times New Roman" w:hAnsi="Times New Roman" w:cs="Times New Roman"/>
          <w:lang w:val="fr-FR"/>
        </w:rPr>
      </w:pPr>
      <w:r w:rsidRPr="00890C87">
        <w:rPr>
          <w:rFonts w:ascii="Times New Roman" w:hAnsi="Times New Roman" w:cs="Times New Roman"/>
          <w:lang w:val="fr-FR"/>
        </w:rPr>
        <w:t>2</w:t>
      </w:r>
      <w:r w:rsidRPr="00890C87">
        <w:rPr>
          <w:rFonts w:ascii="Times New Roman" w:hAnsi="Times New Roman" w:cs="Times New Roman"/>
          <w:lang w:val="fr-FR"/>
        </w:rPr>
        <w:tab/>
        <w:t>que ces études devraient être achevées en 2031.</w:t>
      </w:r>
    </w:p>
    <w:p w14:paraId="699CE602" w14:textId="77777777" w:rsidR="00381A44" w:rsidRPr="00890C87" w:rsidRDefault="00381A44" w:rsidP="00381A44">
      <w:pPr>
        <w:tabs>
          <w:tab w:val="clear" w:pos="794"/>
          <w:tab w:val="clear" w:pos="1191"/>
        </w:tabs>
        <w:spacing w:before="360"/>
        <w:rPr>
          <w:rFonts w:ascii="Times New Roman" w:hAnsi="Times New Roman" w:cs="Times New Roman"/>
          <w:lang w:val="fr-FR"/>
        </w:rPr>
      </w:pPr>
      <w:r w:rsidRPr="00890C87">
        <w:rPr>
          <w:rFonts w:ascii="Times New Roman" w:hAnsi="Times New Roman" w:cs="Times New Roman"/>
          <w:lang w:val="fr-FR"/>
        </w:rPr>
        <w:t>Catégorie:</w:t>
      </w:r>
      <w:r w:rsidRPr="00890C87">
        <w:rPr>
          <w:rFonts w:ascii="Times New Roman" w:hAnsi="Times New Roman" w:cs="Times New Roman"/>
          <w:lang w:val="fr-FR"/>
        </w:rPr>
        <w:tab/>
        <w:t>S2</w:t>
      </w:r>
    </w:p>
    <w:p w14:paraId="74025F06" w14:textId="77777777" w:rsidR="00381A44" w:rsidRPr="00890C87" w:rsidRDefault="00381A44">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imes New Roman"/>
          <w:b/>
          <w:sz w:val="28"/>
          <w:szCs w:val="20"/>
          <w:lang w:val="fr-FR"/>
        </w:rPr>
      </w:pPr>
      <w:r w:rsidRPr="00890C87">
        <w:rPr>
          <w:rFonts w:asciiTheme="minorHAnsi" w:hAnsiTheme="minorHAnsi"/>
          <w:lang w:val="fr-FR"/>
        </w:rPr>
        <w:br w:type="page"/>
      </w:r>
    </w:p>
    <w:p w14:paraId="194960C0" w14:textId="4BB9800C" w:rsidR="00B53305" w:rsidRPr="00890C87" w:rsidRDefault="004E0294" w:rsidP="00C736C7">
      <w:pPr>
        <w:pStyle w:val="AnnexNotitle0"/>
        <w:spacing w:before="1800" w:after="360"/>
        <w:rPr>
          <w:rFonts w:asciiTheme="minorHAnsi" w:hAnsiTheme="minorHAnsi"/>
          <w:lang w:val="fr-FR"/>
        </w:rPr>
      </w:pPr>
      <w:r w:rsidRPr="00890C87">
        <w:rPr>
          <w:rFonts w:asciiTheme="minorHAnsi" w:hAnsiTheme="minorHAnsi"/>
          <w:lang w:val="fr-FR"/>
        </w:rPr>
        <w:lastRenderedPageBreak/>
        <w:t xml:space="preserve">Annexe </w:t>
      </w:r>
      <w:r w:rsidR="00381A44" w:rsidRPr="00890C87">
        <w:rPr>
          <w:rFonts w:asciiTheme="minorHAnsi" w:hAnsiTheme="minorHAnsi"/>
          <w:lang w:val="fr-FR"/>
        </w:rPr>
        <w:t>2</w:t>
      </w:r>
      <w:r w:rsidR="00953A10" w:rsidRPr="00890C87">
        <w:rPr>
          <w:rFonts w:asciiTheme="minorHAnsi" w:hAnsiTheme="minorHAnsi"/>
          <w:lang w:val="fr-FR"/>
        </w:rPr>
        <w:br/>
      </w:r>
      <w:r w:rsidR="00953A10" w:rsidRPr="00890C87">
        <w:rPr>
          <w:rFonts w:asciiTheme="minorHAnsi" w:hAnsiTheme="minorHAnsi"/>
          <w:lang w:val="fr-FR"/>
        </w:rPr>
        <w:br/>
      </w:r>
      <w:r w:rsidR="00B53305" w:rsidRPr="00890C87">
        <w:rPr>
          <w:rFonts w:asciiTheme="minorHAnsi" w:hAnsiTheme="minorHAnsi"/>
          <w:lang w:val="fr-FR"/>
        </w:rPr>
        <w:t>Questions UIT-R supprimées</w:t>
      </w: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838"/>
        <w:gridCol w:w="7605"/>
      </w:tblGrid>
      <w:tr w:rsidR="00E6773B" w:rsidRPr="00890C87" w14:paraId="61CCE6AD" w14:textId="77777777" w:rsidTr="00460DC7">
        <w:trPr>
          <w:cantSplit/>
          <w:tblHeader/>
          <w:jc w:val="center"/>
        </w:trPr>
        <w:tc>
          <w:tcPr>
            <w:tcW w:w="1838" w:type="dxa"/>
            <w:vAlign w:val="center"/>
            <w:hideMark/>
          </w:tcPr>
          <w:p w14:paraId="1E5FC091" w14:textId="58CEB747" w:rsidR="00E6773B" w:rsidRPr="00890C87" w:rsidRDefault="00E6773B" w:rsidP="00C736C7">
            <w:pPr>
              <w:pStyle w:val="Tablehead"/>
              <w:rPr>
                <w:lang w:val="fr-FR"/>
              </w:rPr>
            </w:pPr>
            <w:r w:rsidRPr="00890C87">
              <w:rPr>
                <w:lang w:val="fr-FR"/>
              </w:rPr>
              <w:t>Question UIT-R</w:t>
            </w:r>
          </w:p>
        </w:tc>
        <w:tc>
          <w:tcPr>
            <w:tcW w:w="7605" w:type="dxa"/>
            <w:vAlign w:val="center"/>
            <w:hideMark/>
          </w:tcPr>
          <w:p w14:paraId="5A6B4F45" w14:textId="508A262D" w:rsidR="00E6773B" w:rsidRPr="00890C87" w:rsidRDefault="00E6773B" w:rsidP="00C736C7">
            <w:pPr>
              <w:pStyle w:val="Tablehead"/>
              <w:rPr>
                <w:lang w:val="fr-FR"/>
              </w:rPr>
            </w:pPr>
            <w:r w:rsidRPr="00890C87">
              <w:rPr>
                <w:lang w:val="fr-FR"/>
              </w:rPr>
              <w:t>Titre</w:t>
            </w:r>
          </w:p>
        </w:tc>
      </w:tr>
      <w:tr w:rsidR="00381A44" w:rsidRPr="00890C87" w14:paraId="037A86A3" w14:textId="77777777" w:rsidTr="00460DC7">
        <w:trPr>
          <w:cantSplit/>
          <w:jc w:val="center"/>
        </w:trPr>
        <w:tc>
          <w:tcPr>
            <w:tcW w:w="1838" w:type="dxa"/>
            <w:tcMar>
              <w:top w:w="0" w:type="dxa"/>
              <w:left w:w="108" w:type="dxa"/>
              <w:bottom w:w="0" w:type="dxa"/>
              <w:right w:w="108" w:type="dxa"/>
            </w:tcMar>
          </w:tcPr>
          <w:p w14:paraId="0CBA682C" w14:textId="7BDD310E" w:rsidR="00381A44" w:rsidRPr="00890C87" w:rsidRDefault="00381A44" w:rsidP="00381A44">
            <w:pPr>
              <w:pStyle w:val="Tabletext"/>
              <w:jc w:val="center"/>
              <w:rPr>
                <w:lang w:val="fr-FR" w:eastAsia="ja-JP"/>
              </w:rPr>
            </w:pPr>
            <w:r w:rsidRPr="00890C87">
              <w:rPr>
                <w:lang w:val="fr-FR"/>
              </w:rPr>
              <w:t>135-2/6</w:t>
            </w:r>
          </w:p>
        </w:tc>
        <w:tc>
          <w:tcPr>
            <w:tcW w:w="7605" w:type="dxa"/>
            <w:tcMar>
              <w:top w:w="0" w:type="dxa"/>
              <w:left w:w="108" w:type="dxa"/>
              <w:bottom w:w="0" w:type="dxa"/>
              <w:right w:w="108" w:type="dxa"/>
            </w:tcMar>
          </w:tcPr>
          <w:p w14:paraId="663B13FC" w14:textId="4C0E0097" w:rsidR="00381A44" w:rsidRPr="00890C87" w:rsidRDefault="00381A44" w:rsidP="00381A44">
            <w:pPr>
              <w:pStyle w:val="Tabletext"/>
              <w:rPr>
                <w:lang w:val="fr-FR" w:eastAsia="ja-JP"/>
              </w:rPr>
            </w:pPr>
            <w:r w:rsidRPr="00890C87">
              <w:rPr>
                <w:lang w:val="fr-FR"/>
              </w:rPr>
              <w:t>Paramètres des systèmes audionumériques avec ou sans image associée et gestion de ces systèmes</w:t>
            </w:r>
          </w:p>
        </w:tc>
      </w:tr>
      <w:tr w:rsidR="00381A44" w:rsidRPr="00890C87" w14:paraId="43898F9E" w14:textId="77777777" w:rsidTr="00460DC7">
        <w:trPr>
          <w:cantSplit/>
          <w:jc w:val="center"/>
        </w:trPr>
        <w:tc>
          <w:tcPr>
            <w:tcW w:w="1838" w:type="dxa"/>
            <w:tcMar>
              <w:top w:w="0" w:type="dxa"/>
              <w:left w:w="108" w:type="dxa"/>
              <w:bottom w:w="0" w:type="dxa"/>
              <w:right w:w="108" w:type="dxa"/>
            </w:tcMar>
          </w:tcPr>
          <w:p w14:paraId="0E8BD7C3" w14:textId="480DD15F" w:rsidR="00381A44" w:rsidRPr="00890C87" w:rsidRDefault="00381A44" w:rsidP="00381A44">
            <w:pPr>
              <w:pStyle w:val="Tabletext"/>
              <w:jc w:val="center"/>
              <w:rPr>
                <w:lang w:val="fr-FR" w:eastAsia="ja-JP"/>
              </w:rPr>
            </w:pPr>
            <w:r w:rsidRPr="00890C87">
              <w:rPr>
                <w:lang w:val="fr-FR"/>
              </w:rPr>
              <w:t>139-2/6</w:t>
            </w:r>
          </w:p>
        </w:tc>
        <w:tc>
          <w:tcPr>
            <w:tcW w:w="7605" w:type="dxa"/>
            <w:tcMar>
              <w:top w:w="0" w:type="dxa"/>
              <w:left w:w="108" w:type="dxa"/>
              <w:bottom w:w="0" w:type="dxa"/>
              <w:right w:w="108" w:type="dxa"/>
            </w:tcMar>
          </w:tcPr>
          <w:p w14:paraId="25E0FE53" w14:textId="2D7B2F75" w:rsidR="00381A44" w:rsidRPr="00890C87" w:rsidRDefault="00381A44" w:rsidP="00381A44">
            <w:pPr>
              <w:pStyle w:val="Tabletext"/>
              <w:rPr>
                <w:lang w:val="fr-FR" w:eastAsia="ja-JP"/>
              </w:rPr>
            </w:pPr>
            <w:r w:rsidRPr="00890C87">
              <w:rPr>
                <w:lang w:val="fr-FR"/>
              </w:rPr>
              <w:t>Méthodes de restitution des formats audio évolués</w:t>
            </w:r>
          </w:p>
        </w:tc>
      </w:tr>
    </w:tbl>
    <w:p w14:paraId="72398E66" w14:textId="77777777" w:rsidR="00B53305" w:rsidRPr="00890C87" w:rsidRDefault="00B53305" w:rsidP="00460DC7">
      <w:pPr>
        <w:spacing w:before="840" w:line="240" w:lineRule="auto"/>
        <w:jc w:val="center"/>
        <w:rPr>
          <w:rFonts w:asciiTheme="minorHAnsi" w:hAnsiTheme="minorHAnsi"/>
          <w:lang w:val="fr-FR"/>
        </w:rPr>
      </w:pPr>
      <w:r w:rsidRPr="00890C87">
        <w:rPr>
          <w:rFonts w:asciiTheme="minorHAnsi" w:hAnsiTheme="minorHAnsi"/>
          <w:lang w:val="fr-FR"/>
        </w:rPr>
        <w:t>_______________</w:t>
      </w:r>
    </w:p>
    <w:sectPr w:rsidR="00B53305" w:rsidRPr="00890C87" w:rsidSect="00031E64">
      <w:headerReference w:type="even" r:id="rId9"/>
      <w:headerReference w:type="default" r:id="rId10"/>
      <w:headerReference w:type="first" r:id="rId11"/>
      <w:footerReference w:type="first" r:id="rId12"/>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F7B5" w14:textId="77777777" w:rsidR="00B53305" w:rsidRDefault="00B53305">
      <w:r>
        <w:separator/>
      </w:r>
    </w:p>
  </w:endnote>
  <w:endnote w:type="continuationSeparator" w:id="0">
    <w:p w14:paraId="5910A3E0" w14:textId="77777777" w:rsidR="00B53305" w:rsidRDefault="00B53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D2F1" w14:textId="3814CB18" w:rsidR="00E6773B" w:rsidRPr="00304636" w:rsidRDefault="00E6773B" w:rsidP="00E6773B">
    <w:pPr>
      <w:pStyle w:val="FirstFooter"/>
      <w:spacing w:line="240" w:lineRule="auto"/>
      <w:ind w:left="-397" w:right="-397"/>
      <w:jc w:val="center"/>
      <w:rPr>
        <w:color w:val="4F81BD"/>
        <w:sz w:val="18"/>
        <w:szCs w:val="18"/>
        <w:lang w:val="fr-FR"/>
      </w:rPr>
    </w:pPr>
    <w:r w:rsidRPr="00085B3E">
      <w:rPr>
        <w:rFonts w:asciiTheme="minorHAnsi" w:hAnsiTheme="minorHAnsi"/>
        <w:color w:val="4F81BD"/>
        <w:sz w:val="18"/>
        <w:szCs w:val="18"/>
        <w:lang w:val="fr-CH"/>
      </w:rPr>
      <w:t>Union internationale des télécommunications • Place des Nations, CH</w:t>
    </w:r>
    <w:r w:rsidRPr="00085B3E">
      <w:rPr>
        <w:rFonts w:asciiTheme="minorHAnsi" w:hAnsiTheme="minorHAnsi"/>
        <w:color w:val="4F81BD"/>
        <w:sz w:val="18"/>
        <w:szCs w:val="18"/>
        <w:lang w:val="fr-CH"/>
      </w:rPr>
      <w:noBreakHyphen/>
      <w:t xml:space="preserve">1211 Genève 20, Suisse </w:t>
    </w:r>
    <w:r w:rsidRPr="00085B3E">
      <w:rPr>
        <w:rFonts w:asciiTheme="minorHAnsi" w:hAnsiTheme="minorHAnsi"/>
        <w:color w:val="4F81BD"/>
        <w:sz w:val="18"/>
        <w:szCs w:val="18"/>
        <w:lang w:val="fr-CH"/>
      </w:rPr>
      <w:br/>
      <w:t>Tél</w:t>
    </w:r>
    <w:r>
      <w:rPr>
        <w:rFonts w:asciiTheme="minorHAnsi" w:hAnsiTheme="minorHAnsi"/>
        <w:color w:val="4F81BD"/>
        <w:sz w:val="18"/>
        <w:szCs w:val="18"/>
        <w:lang w:val="fr-CH"/>
      </w:rPr>
      <w:t>.</w:t>
    </w:r>
    <w:r w:rsidRPr="00085B3E">
      <w:rPr>
        <w:rFonts w:asciiTheme="minorHAnsi" w:hAnsiTheme="minorHAnsi"/>
        <w:color w:val="4F81BD"/>
        <w:sz w:val="18"/>
        <w:szCs w:val="18"/>
        <w:lang w:val="fr-CH"/>
      </w:rPr>
      <w:t xml:space="preserve">: +41 22 730 5111 • </w:t>
    </w:r>
    <w:r w:rsidR="00BA06FB" w:rsidRPr="00085B3E">
      <w:rPr>
        <w:rFonts w:asciiTheme="minorHAnsi" w:hAnsiTheme="minorHAnsi"/>
        <w:color w:val="4F81BD"/>
        <w:sz w:val="18"/>
        <w:szCs w:val="18"/>
        <w:lang w:val="fr-CH"/>
      </w:rPr>
      <w:t>C</w:t>
    </w:r>
    <w:r w:rsidRPr="00085B3E">
      <w:rPr>
        <w:rFonts w:asciiTheme="minorHAnsi" w:hAnsiTheme="minorHAnsi"/>
        <w:color w:val="4F81BD"/>
        <w:sz w:val="18"/>
        <w:szCs w:val="18"/>
        <w:lang w:val="fr-CH"/>
      </w:rPr>
      <w:t xml:space="preserve">ourriel: </w:t>
    </w:r>
    <w:hyperlink r:id="rId1" w:history="1">
      <w:r w:rsidRPr="00304636">
        <w:rPr>
          <w:rStyle w:val="Hyperlink"/>
          <w:rFonts w:asciiTheme="minorHAnsi" w:hAnsiTheme="minorHAnsi"/>
          <w:sz w:val="18"/>
          <w:szCs w:val="18"/>
          <w:lang w:val="fr-FR"/>
        </w:rPr>
        <w:t>itumail@itu.int</w:t>
      </w:r>
    </w:hyperlink>
    <w:r w:rsidRPr="00F632E9">
      <w:rPr>
        <w:rFonts w:asciiTheme="minorHAnsi" w:hAnsiTheme="minorHAnsi"/>
        <w:sz w:val="18"/>
        <w:szCs w:val="18"/>
        <w:lang w:val="fr-CH"/>
      </w:rPr>
      <w:t xml:space="preserve"> </w:t>
    </w:r>
    <w:r w:rsidRPr="00085B3E">
      <w:rPr>
        <w:rFonts w:asciiTheme="minorHAnsi" w:hAnsiTheme="minorHAnsi"/>
        <w:color w:val="4F81BD"/>
        <w:sz w:val="18"/>
        <w:szCs w:val="18"/>
        <w:lang w:val="fr-CH"/>
      </w:rPr>
      <w:t xml:space="preserve">• Fax: +41 22 733 7256 • </w:t>
    </w:r>
    <w:hyperlink r:id="rId2" w:history="1">
      <w:proofErr w:type="spellStart"/>
      <w:r w:rsidR="00BA06FB" w:rsidRPr="00ED5FB3">
        <w:rPr>
          <w:rStyle w:val="Hyperlink"/>
          <w:sz w:val="18"/>
          <w:szCs w:val="18"/>
          <w:lang w:val="fr-CH"/>
        </w:rPr>
        <w:t>www.itu.int</w:t>
      </w:r>
      <w:proofErr w:type="spellEnd"/>
    </w:hyperlink>
    <w:r w:rsidRPr="00304636">
      <w:rPr>
        <w:color w:val="4F81BD"/>
        <w:sz w:val="18"/>
        <w:szCs w:val="18"/>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A6E53" w14:textId="77777777" w:rsidR="00B53305" w:rsidRDefault="00B53305">
      <w:r>
        <w:t>____________________</w:t>
      </w:r>
    </w:p>
  </w:footnote>
  <w:footnote w:type="continuationSeparator" w:id="0">
    <w:p w14:paraId="12E82768" w14:textId="77777777" w:rsidR="00B53305" w:rsidRDefault="00B53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B3CC" w14:textId="572DA2C8" w:rsidR="00E915AF" w:rsidRPr="002569F7" w:rsidRDefault="00EC7661" w:rsidP="00953A10">
    <w:pPr>
      <w:pStyle w:val="Header"/>
      <w:jc w:val="center"/>
      <w:rPr>
        <w:sz w:val="18"/>
        <w:szCs w:val="16"/>
      </w:rPr>
    </w:pPr>
    <w:r w:rsidRPr="00EC7661">
      <w:rPr>
        <w:sz w:val="18"/>
        <w:szCs w:val="16"/>
      </w:rPr>
      <w:t xml:space="preserve">- </w:t>
    </w:r>
    <w:r w:rsidRPr="00EC7661">
      <w:rPr>
        <w:sz w:val="18"/>
        <w:szCs w:val="16"/>
      </w:rPr>
      <w:fldChar w:fldCharType="begin"/>
    </w:r>
    <w:r w:rsidRPr="00EC7661">
      <w:rPr>
        <w:sz w:val="18"/>
        <w:szCs w:val="16"/>
      </w:rPr>
      <w:instrText xml:space="preserve"> PAGE </w:instrText>
    </w:r>
    <w:r w:rsidRPr="00EC7661">
      <w:rPr>
        <w:sz w:val="18"/>
        <w:szCs w:val="16"/>
      </w:rPr>
      <w:fldChar w:fldCharType="separate"/>
    </w:r>
    <w:r w:rsidR="004E0294">
      <w:rPr>
        <w:noProof/>
        <w:sz w:val="18"/>
        <w:szCs w:val="16"/>
      </w:rPr>
      <w:t>2</w:t>
    </w:r>
    <w:r w:rsidRPr="00EC7661">
      <w:rPr>
        <w:sz w:val="18"/>
        <w:szCs w:val="16"/>
      </w:rPr>
      <w:fldChar w:fldCharType="end"/>
    </w:r>
    <w:r w:rsidRPr="00EC7661">
      <w:rP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30D1" w14:textId="77777777" w:rsidR="00E915AF" w:rsidRPr="00AF3325" w:rsidRDefault="00E915AF" w:rsidP="00B53305">
    <w:pPr>
      <w:pStyle w:val="Header"/>
    </w:pPr>
    <w:r>
      <w:tab/>
    </w:r>
    <w:r>
      <w:tab/>
    </w:r>
    <w:r w:rsidR="00B53305">
      <w:rPr>
        <w:sz w:val="18"/>
        <w:szCs w:val="16"/>
      </w:rPr>
      <w:t xml:space="preserve">- </w:t>
    </w:r>
    <w:r w:rsidR="00B53305" w:rsidRPr="002569F7">
      <w:rPr>
        <w:rStyle w:val="PageNumber"/>
        <w:sz w:val="18"/>
        <w:szCs w:val="16"/>
      </w:rPr>
      <w:fldChar w:fldCharType="begin"/>
    </w:r>
    <w:r w:rsidR="00B53305" w:rsidRPr="002569F7">
      <w:rPr>
        <w:rStyle w:val="PageNumber"/>
        <w:sz w:val="18"/>
        <w:szCs w:val="16"/>
      </w:rPr>
      <w:instrText xml:space="preserve"> PAGE </w:instrText>
    </w:r>
    <w:r w:rsidR="00B53305" w:rsidRPr="002569F7">
      <w:rPr>
        <w:rStyle w:val="PageNumber"/>
        <w:sz w:val="18"/>
        <w:szCs w:val="16"/>
      </w:rPr>
      <w:fldChar w:fldCharType="separate"/>
    </w:r>
    <w:r w:rsidR="00953A10">
      <w:rPr>
        <w:rStyle w:val="PageNumber"/>
        <w:noProof/>
        <w:sz w:val="18"/>
        <w:szCs w:val="16"/>
      </w:rPr>
      <w:t>3</w:t>
    </w:r>
    <w:r w:rsidR="00B53305" w:rsidRPr="002569F7">
      <w:rPr>
        <w:rStyle w:val="PageNumber"/>
        <w:sz w:val="18"/>
        <w:szCs w:val="16"/>
      </w:rPr>
      <w:fldChar w:fldCharType="end"/>
    </w:r>
    <w:r w:rsidR="00B53305">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DC4A" w14:textId="77777777" w:rsidR="00E6773B" w:rsidRPr="00A52F57" w:rsidRDefault="00E6773B" w:rsidP="00DD562F">
    <w:pPr>
      <w:pStyle w:val="Header"/>
      <w:spacing w:line="360" w:lineRule="auto"/>
      <w:jc w:val="center"/>
    </w:pPr>
    <w:r>
      <w:rPr>
        <w:noProof/>
      </w:rPr>
      <w:drawing>
        <wp:inline distT="0" distB="0" distL="0" distR="0" wp14:anchorId="1258BA42" wp14:editId="70EE325E">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660E030A"/>
    <w:multiLevelType w:val="hybridMultilevel"/>
    <w:tmpl w:val="9D228FEA"/>
    <w:lvl w:ilvl="0" w:tplc="46A6D32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4500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0383371">
    <w:abstractNumId w:val="5"/>
  </w:num>
  <w:num w:numId="3" w16cid:durableId="693265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mirrorMargins/>
  <w:activeWritingStyle w:appName="MSWord" w:lang="fr-FR" w:vendorID="64" w:dllVersion="6" w:nlCheck="1" w:checkStyle="0"/>
  <w:activeWritingStyle w:appName="MSWord" w:lang="fr-CH" w:vendorID="64" w:dllVersion="6" w:nlCheck="1" w:checkStyle="0"/>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53305"/>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1265F"/>
    <w:rsid w:val="00116BA7"/>
    <w:rsid w:val="00117282"/>
    <w:rsid w:val="00117389"/>
    <w:rsid w:val="00121C2D"/>
    <w:rsid w:val="00134404"/>
    <w:rsid w:val="00144DFB"/>
    <w:rsid w:val="00177CCF"/>
    <w:rsid w:val="00187CA3"/>
    <w:rsid w:val="00196710"/>
    <w:rsid w:val="00196770"/>
    <w:rsid w:val="001969BA"/>
    <w:rsid w:val="00197324"/>
    <w:rsid w:val="001B1DF6"/>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15CC"/>
    <w:rsid w:val="002569F7"/>
    <w:rsid w:val="00266E74"/>
    <w:rsid w:val="00275F9D"/>
    <w:rsid w:val="002819A8"/>
    <w:rsid w:val="00283C3B"/>
    <w:rsid w:val="002861E6"/>
    <w:rsid w:val="00287D18"/>
    <w:rsid w:val="002A2618"/>
    <w:rsid w:val="002A5DD7"/>
    <w:rsid w:val="002B0CAC"/>
    <w:rsid w:val="002D5A15"/>
    <w:rsid w:val="002D5BDD"/>
    <w:rsid w:val="002E3D27"/>
    <w:rsid w:val="002F0890"/>
    <w:rsid w:val="002F2531"/>
    <w:rsid w:val="002F4967"/>
    <w:rsid w:val="002F5AA5"/>
    <w:rsid w:val="00316935"/>
    <w:rsid w:val="003266ED"/>
    <w:rsid w:val="00326C68"/>
    <w:rsid w:val="003370B8"/>
    <w:rsid w:val="00345D38"/>
    <w:rsid w:val="003471C9"/>
    <w:rsid w:val="00352097"/>
    <w:rsid w:val="003666FF"/>
    <w:rsid w:val="003720F7"/>
    <w:rsid w:val="0037309C"/>
    <w:rsid w:val="00380A6E"/>
    <w:rsid w:val="00381A44"/>
    <w:rsid w:val="003836D4"/>
    <w:rsid w:val="00387A95"/>
    <w:rsid w:val="00387AE4"/>
    <w:rsid w:val="003A1F49"/>
    <w:rsid w:val="003A55ED"/>
    <w:rsid w:val="003A5D52"/>
    <w:rsid w:val="003B2BDA"/>
    <w:rsid w:val="003B55EC"/>
    <w:rsid w:val="003C2EA7"/>
    <w:rsid w:val="003C4471"/>
    <w:rsid w:val="003C7D41"/>
    <w:rsid w:val="003D4418"/>
    <w:rsid w:val="003D4A69"/>
    <w:rsid w:val="003E504F"/>
    <w:rsid w:val="003E78D6"/>
    <w:rsid w:val="00400573"/>
    <w:rsid w:val="004007A3"/>
    <w:rsid w:val="00406D71"/>
    <w:rsid w:val="00411CB3"/>
    <w:rsid w:val="004228FA"/>
    <w:rsid w:val="004326DB"/>
    <w:rsid w:val="0043682E"/>
    <w:rsid w:val="00447ECB"/>
    <w:rsid w:val="00460DC7"/>
    <w:rsid w:val="004623F7"/>
    <w:rsid w:val="00480F51"/>
    <w:rsid w:val="00481124"/>
    <w:rsid w:val="004815EB"/>
    <w:rsid w:val="00487569"/>
    <w:rsid w:val="00496864"/>
    <w:rsid w:val="00496920"/>
    <w:rsid w:val="004A4496"/>
    <w:rsid w:val="004B11AB"/>
    <w:rsid w:val="004B7C9A"/>
    <w:rsid w:val="004C6779"/>
    <w:rsid w:val="004D733B"/>
    <w:rsid w:val="004E0294"/>
    <w:rsid w:val="004E0DC4"/>
    <w:rsid w:val="004E0FB5"/>
    <w:rsid w:val="004E4398"/>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5EB3"/>
    <w:rsid w:val="005F0D3E"/>
    <w:rsid w:val="005F3CB6"/>
    <w:rsid w:val="005F657C"/>
    <w:rsid w:val="00602D53"/>
    <w:rsid w:val="006047E5"/>
    <w:rsid w:val="00617BD0"/>
    <w:rsid w:val="00642050"/>
    <w:rsid w:val="0064371D"/>
    <w:rsid w:val="00650543"/>
    <w:rsid w:val="00650B2A"/>
    <w:rsid w:val="00651777"/>
    <w:rsid w:val="006550F8"/>
    <w:rsid w:val="006829F3"/>
    <w:rsid w:val="006A518B"/>
    <w:rsid w:val="006B0590"/>
    <w:rsid w:val="006B49DA"/>
    <w:rsid w:val="006C53F8"/>
    <w:rsid w:val="006C7CDE"/>
    <w:rsid w:val="00712099"/>
    <w:rsid w:val="007234B1"/>
    <w:rsid w:val="00723D08"/>
    <w:rsid w:val="007244FE"/>
    <w:rsid w:val="00725FDA"/>
    <w:rsid w:val="00727816"/>
    <w:rsid w:val="00730B9A"/>
    <w:rsid w:val="007356D2"/>
    <w:rsid w:val="00750CFA"/>
    <w:rsid w:val="007553DA"/>
    <w:rsid w:val="00773F7E"/>
    <w:rsid w:val="00775DB8"/>
    <w:rsid w:val="00782354"/>
    <w:rsid w:val="007921A7"/>
    <w:rsid w:val="00793AE3"/>
    <w:rsid w:val="007B3DB1"/>
    <w:rsid w:val="007C2E1E"/>
    <w:rsid w:val="007D183E"/>
    <w:rsid w:val="007D43D0"/>
    <w:rsid w:val="007E1833"/>
    <w:rsid w:val="007E3F13"/>
    <w:rsid w:val="007F5828"/>
    <w:rsid w:val="007F751A"/>
    <w:rsid w:val="00800012"/>
    <w:rsid w:val="0080261F"/>
    <w:rsid w:val="00806160"/>
    <w:rsid w:val="008143A4"/>
    <w:rsid w:val="0081513E"/>
    <w:rsid w:val="0084035E"/>
    <w:rsid w:val="00840E74"/>
    <w:rsid w:val="00854131"/>
    <w:rsid w:val="0085652D"/>
    <w:rsid w:val="0087694B"/>
    <w:rsid w:val="00880F4D"/>
    <w:rsid w:val="0088443B"/>
    <w:rsid w:val="00890C87"/>
    <w:rsid w:val="008B35A3"/>
    <w:rsid w:val="008B37E1"/>
    <w:rsid w:val="008B45F8"/>
    <w:rsid w:val="008B68CD"/>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3A10"/>
    <w:rsid w:val="00963D9D"/>
    <w:rsid w:val="0098013E"/>
    <w:rsid w:val="0098096A"/>
    <w:rsid w:val="00981B54"/>
    <w:rsid w:val="009842C3"/>
    <w:rsid w:val="00985D8F"/>
    <w:rsid w:val="009A009A"/>
    <w:rsid w:val="009A659B"/>
    <w:rsid w:val="009A6BB6"/>
    <w:rsid w:val="009B3F43"/>
    <w:rsid w:val="009B5CFA"/>
    <w:rsid w:val="009C161F"/>
    <w:rsid w:val="009C56B4"/>
    <w:rsid w:val="009D51A2"/>
    <w:rsid w:val="009E04A8"/>
    <w:rsid w:val="009E4AEC"/>
    <w:rsid w:val="009E5BD8"/>
    <w:rsid w:val="009E681E"/>
    <w:rsid w:val="00A119E6"/>
    <w:rsid w:val="00A20FBC"/>
    <w:rsid w:val="00A231BC"/>
    <w:rsid w:val="00A31370"/>
    <w:rsid w:val="00A34D6F"/>
    <w:rsid w:val="00A41F91"/>
    <w:rsid w:val="00A63355"/>
    <w:rsid w:val="00A7142A"/>
    <w:rsid w:val="00A7596D"/>
    <w:rsid w:val="00A963DF"/>
    <w:rsid w:val="00AA211B"/>
    <w:rsid w:val="00AC0C22"/>
    <w:rsid w:val="00AC3896"/>
    <w:rsid w:val="00AD2CF2"/>
    <w:rsid w:val="00AE2D88"/>
    <w:rsid w:val="00AE6F6F"/>
    <w:rsid w:val="00AF3325"/>
    <w:rsid w:val="00AF34D9"/>
    <w:rsid w:val="00AF70DA"/>
    <w:rsid w:val="00B019D3"/>
    <w:rsid w:val="00B34CF9"/>
    <w:rsid w:val="00B37559"/>
    <w:rsid w:val="00B4054B"/>
    <w:rsid w:val="00B53305"/>
    <w:rsid w:val="00B579B0"/>
    <w:rsid w:val="00B57D11"/>
    <w:rsid w:val="00B649D7"/>
    <w:rsid w:val="00B65935"/>
    <w:rsid w:val="00B81C2F"/>
    <w:rsid w:val="00B90743"/>
    <w:rsid w:val="00B90C45"/>
    <w:rsid w:val="00B933BE"/>
    <w:rsid w:val="00B9378C"/>
    <w:rsid w:val="00B9432A"/>
    <w:rsid w:val="00BA06FB"/>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36C7"/>
    <w:rsid w:val="00C76D7F"/>
    <w:rsid w:val="00C813AA"/>
    <w:rsid w:val="00C9291E"/>
    <w:rsid w:val="00CA3F44"/>
    <w:rsid w:val="00CA4E58"/>
    <w:rsid w:val="00CB2C1B"/>
    <w:rsid w:val="00CB3771"/>
    <w:rsid w:val="00CB44BF"/>
    <w:rsid w:val="00CB5153"/>
    <w:rsid w:val="00CD6695"/>
    <w:rsid w:val="00CE01F5"/>
    <w:rsid w:val="00CE076A"/>
    <w:rsid w:val="00CE463D"/>
    <w:rsid w:val="00CF5963"/>
    <w:rsid w:val="00D10BA0"/>
    <w:rsid w:val="00D21694"/>
    <w:rsid w:val="00D24EB5"/>
    <w:rsid w:val="00D35AB9"/>
    <w:rsid w:val="00D35CFB"/>
    <w:rsid w:val="00D41571"/>
    <w:rsid w:val="00D416A0"/>
    <w:rsid w:val="00D43318"/>
    <w:rsid w:val="00D47672"/>
    <w:rsid w:val="00D5123C"/>
    <w:rsid w:val="00D55560"/>
    <w:rsid w:val="00D61C5A"/>
    <w:rsid w:val="00D6790C"/>
    <w:rsid w:val="00D73277"/>
    <w:rsid w:val="00D76586"/>
    <w:rsid w:val="00D82657"/>
    <w:rsid w:val="00D87E20"/>
    <w:rsid w:val="00DA4037"/>
    <w:rsid w:val="00DD562F"/>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73B"/>
    <w:rsid w:val="00E67928"/>
    <w:rsid w:val="00E70FB5"/>
    <w:rsid w:val="00E87663"/>
    <w:rsid w:val="00E915AF"/>
    <w:rsid w:val="00E96415"/>
    <w:rsid w:val="00EA15B3"/>
    <w:rsid w:val="00EA15BA"/>
    <w:rsid w:val="00EA2C83"/>
    <w:rsid w:val="00EB2358"/>
    <w:rsid w:val="00EB3EB8"/>
    <w:rsid w:val="00EC00EF"/>
    <w:rsid w:val="00EC02FE"/>
    <w:rsid w:val="00EC4A96"/>
    <w:rsid w:val="00EC7661"/>
    <w:rsid w:val="00ED5FB3"/>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79B"/>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56BBECD"/>
  <w15:docId w15:val="{34CF1FA7-8DDA-4BE1-8CF1-F275968F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link w:val="AnnexNoTitleChar"/>
    <w:uiPriority w:val="99"/>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uiPriority w:val="99"/>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uiPriority w:val="99"/>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uiPriority w:val="99"/>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3305"/>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lang w:eastAsia="zh-CN"/>
    </w:rPr>
  </w:style>
  <w:style w:type="paragraph" w:customStyle="1" w:styleId="enumlev19pt">
    <w:name w:val="enumlev1 + 9 pt"/>
    <w:aliases w:val="Left,Before:  0 cm,First line:  0 cm"/>
    <w:basedOn w:val="Normal"/>
    <w:rsid w:val="00B53305"/>
    <w:pPr>
      <w:tabs>
        <w:tab w:val="clear" w:pos="794"/>
        <w:tab w:val="clear" w:pos="1191"/>
        <w:tab w:val="clear" w:pos="1588"/>
        <w:tab w:val="clear" w:pos="1985"/>
      </w:tabs>
      <w:spacing w:before="80"/>
      <w:jc w:val="left"/>
    </w:pPr>
    <w:rPr>
      <w:sz w:val="18"/>
      <w:szCs w:val="18"/>
      <w:lang w:val="fr-CH"/>
    </w:rPr>
  </w:style>
  <w:style w:type="paragraph" w:customStyle="1" w:styleId="AnnexNotitle0">
    <w:name w:val="Annex_No &amp; title"/>
    <w:basedOn w:val="Normal"/>
    <w:next w:val="Normalaftertitle"/>
    <w:link w:val="AnnexNotitleChar0"/>
    <w:rsid w:val="00B53305"/>
    <w:pPr>
      <w:keepNext/>
      <w:keepLines/>
      <w:spacing w:before="480" w:line="240" w:lineRule="auto"/>
      <w:jc w:val="center"/>
    </w:pPr>
    <w:rPr>
      <w:rFonts w:ascii="Times New Roman" w:hAnsi="Times New Roman" w:cs="Times New Roman"/>
      <w:b/>
      <w:sz w:val="28"/>
      <w:szCs w:val="20"/>
      <w:lang w:val="en-GB"/>
    </w:rPr>
  </w:style>
  <w:style w:type="character" w:customStyle="1" w:styleId="TabletextChar">
    <w:name w:val="Table_text Char"/>
    <w:link w:val="Tabletext"/>
    <w:uiPriority w:val="99"/>
    <w:locked/>
    <w:rsid w:val="00B53305"/>
    <w:rPr>
      <w:szCs w:val="22"/>
      <w:lang w:val="en-US" w:eastAsia="en-US"/>
    </w:rPr>
  </w:style>
  <w:style w:type="character" w:customStyle="1" w:styleId="AnnexNotitleChar0">
    <w:name w:val="Annex_No &amp; title Char"/>
    <w:link w:val="AnnexNotitle0"/>
    <w:locked/>
    <w:rsid w:val="00B53305"/>
    <w:rPr>
      <w:rFonts w:ascii="Times New Roman" w:hAnsi="Times New Roman" w:cs="Times New Roman"/>
      <w:b/>
      <w:sz w:val="28"/>
      <w:lang w:val="en-GB" w:eastAsia="en-US"/>
    </w:rPr>
  </w:style>
  <w:style w:type="paragraph" w:customStyle="1" w:styleId="QuestionNoBR">
    <w:name w:val="Question_No_BR"/>
    <w:basedOn w:val="Normal"/>
    <w:next w:val="Normal"/>
    <w:rsid w:val="00B53305"/>
    <w:pPr>
      <w:keepNext/>
      <w:keepLines/>
      <w:spacing w:before="480" w:line="240" w:lineRule="auto"/>
      <w:jc w:val="center"/>
    </w:pPr>
    <w:rPr>
      <w:rFonts w:ascii="Times New Roman" w:hAnsi="Times New Roman" w:cs="Times New Roman"/>
      <w:caps/>
      <w:sz w:val="28"/>
      <w:szCs w:val="20"/>
      <w:lang w:val="en-GB"/>
    </w:rPr>
  </w:style>
  <w:style w:type="character" w:customStyle="1" w:styleId="TableheadChar">
    <w:name w:val="Table_head Char"/>
    <w:basedOn w:val="DefaultParagraphFont"/>
    <w:link w:val="Tablehead"/>
    <w:uiPriority w:val="99"/>
    <w:locked/>
    <w:rsid w:val="00B53305"/>
    <w:rPr>
      <w:b/>
      <w:szCs w:val="22"/>
      <w:lang w:val="en-US" w:eastAsia="en-US"/>
    </w:rPr>
  </w:style>
  <w:style w:type="character" w:customStyle="1" w:styleId="AnnexNoTitleChar">
    <w:name w:val="Annex_NoTitle Char"/>
    <w:basedOn w:val="DefaultParagraphFont"/>
    <w:link w:val="AnnexNoTitle"/>
    <w:uiPriority w:val="99"/>
    <w:locked/>
    <w:rsid w:val="00B53305"/>
    <w:rPr>
      <w:b/>
      <w:sz w:val="24"/>
      <w:szCs w:val="22"/>
      <w:lang w:val="en-US" w:eastAsia="en-US"/>
    </w:rPr>
  </w:style>
  <w:style w:type="character" w:customStyle="1" w:styleId="NormalaftertitleChar">
    <w:name w:val="Normal_after_title Char"/>
    <w:basedOn w:val="DefaultParagraphFont"/>
    <w:link w:val="Normalaftertitle"/>
    <w:uiPriority w:val="99"/>
    <w:rsid w:val="00B53305"/>
    <w:rPr>
      <w:sz w:val="24"/>
      <w:szCs w:val="22"/>
      <w:lang w:val="en-US" w:eastAsia="en-US"/>
    </w:rPr>
  </w:style>
  <w:style w:type="paragraph" w:customStyle="1" w:styleId="Headingb9pt">
    <w:name w:val="Heading_b + 9 pt"/>
    <w:basedOn w:val="Headingb"/>
    <w:rsid w:val="00CB2C1B"/>
    <w:rPr>
      <w:sz w:val="18"/>
      <w:szCs w:val="18"/>
      <w:lang w:val="fr-CH"/>
    </w:rPr>
  </w:style>
  <w:style w:type="character" w:customStyle="1" w:styleId="HeaderChar">
    <w:name w:val="Header Char"/>
    <w:basedOn w:val="DefaultParagraphFont"/>
    <w:link w:val="Header"/>
    <w:rsid w:val="00E6773B"/>
    <w:rPr>
      <w:sz w:val="24"/>
      <w:szCs w:val="22"/>
      <w:lang w:val="en-US" w:eastAsia="en-US"/>
    </w:rPr>
  </w:style>
  <w:style w:type="character" w:customStyle="1" w:styleId="UnresolvedMention1">
    <w:name w:val="Unresolved Mention1"/>
    <w:basedOn w:val="DefaultParagraphFont"/>
    <w:uiPriority w:val="99"/>
    <w:semiHidden/>
    <w:unhideWhenUsed/>
    <w:rsid w:val="00BA06FB"/>
    <w:rPr>
      <w:color w:val="605E5C"/>
      <w:shd w:val="clear" w:color="auto" w:fill="E1DFDD"/>
    </w:rPr>
  </w:style>
  <w:style w:type="paragraph" w:customStyle="1" w:styleId="Normalaftertitle0">
    <w:name w:val="Normal after title"/>
    <w:basedOn w:val="Normal"/>
    <w:next w:val="Normal"/>
    <w:link w:val="NormalaftertitleChar0"/>
    <w:uiPriority w:val="99"/>
    <w:rsid w:val="00CE01F5"/>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uiPriority w:val="99"/>
    <w:rsid w:val="00CE01F5"/>
    <w:rPr>
      <w:rFonts w:ascii="Times New Roman" w:hAnsi="Times New Roman" w:cs="Times New Roman"/>
      <w:sz w:val="24"/>
      <w:lang w:val="en-GB" w:eastAsia="en-US"/>
    </w:rPr>
  </w:style>
  <w:style w:type="character" w:customStyle="1" w:styleId="CallChar">
    <w:name w:val="Call Char"/>
    <w:basedOn w:val="DefaultParagraphFont"/>
    <w:link w:val="Call"/>
    <w:uiPriority w:val="99"/>
    <w:rsid w:val="00CE01F5"/>
    <w:rPr>
      <w:i/>
      <w:sz w:val="24"/>
      <w:szCs w:val="22"/>
      <w:lang w:val="en-US" w:eastAsia="en-US"/>
    </w:rPr>
  </w:style>
  <w:style w:type="paragraph" w:styleId="Revision">
    <w:name w:val="Revision"/>
    <w:hidden/>
    <w:uiPriority w:val="99"/>
    <w:semiHidden/>
    <w:rsid w:val="0084035E"/>
    <w:rPr>
      <w:sz w:val="24"/>
      <w:szCs w:val="22"/>
      <w:lang w:val="en-US" w:eastAsia="en-US"/>
    </w:rPr>
  </w:style>
  <w:style w:type="character" w:styleId="FollowedHyperlink">
    <w:name w:val="FollowedHyperlink"/>
    <w:basedOn w:val="DefaultParagraphFont"/>
    <w:semiHidden/>
    <w:unhideWhenUsed/>
    <w:rsid w:val="00C736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121/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iencla\AppData\Roaming\Microsoft\Templates\POOL%20F%20-%20ITU\PF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9AEF6B73714E0BA28BD1FB54C1FC13"/>
        <w:category>
          <w:name w:val="General"/>
          <w:gallery w:val="placeholder"/>
        </w:category>
        <w:types>
          <w:type w:val="bbPlcHdr"/>
        </w:types>
        <w:behaviors>
          <w:behavior w:val="content"/>
        </w:behaviors>
        <w:guid w:val="{BCB092ED-97D7-4CDC-A664-AD31C4FC922D}"/>
      </w:docPartPr>
      <w:docPartBody>
        <w:p w:rsidR="000B1E07" w:rsidRDefault="00DA30EF" w:rsidP="00DA30EF">
          <w:pPr>
            <w:pStyle w:val="BB9AEF6B73714E0BA28BD1FB54C1FC13"/>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EF"/>
    <w:rsid w:val="000B1E07"/>
    <w:rsid w:val="00177CCF"/>
    <w:rsid w:val="002819A8"/>
    <w:rsid w:val="007244FE"/>
    <w:rsid w:val="00B9378C"/>
    <w:rsid w:val="00DA30EF"/>
    <w:rsid w:val="00EA15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0EF"/>
    <w:rPr>
      <w:color w:val="808080"/>
    </w:rPr>
  </w:style>
  <w:style w:type="paragraph" w:customStyle="1" w:styleId="BB9AEF6B73714E0BA28BD1FB54C1FC13">
    <w:name w:val="BB9AEF6B73714E0BA28BD1FB54C1FC13"/>
    <w:rsid w:val="00DA3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F57EB-6ED3-4614-BB56-0B115A6BF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PF_BRcirc.dotx</Template>
  <TotalTime>22</TotalTime>
  <Pages>4</Pages>
  <Words>817</Words>
  <Characters>5005</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5811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Acien, Clara</dc:creator>
  <cp:lastModifiedBy>Fernandez Jimenez, Virginia</cp:lastModifiedBy>
  <cp:revision>8</cp:revision>
  <cp:lastPrinted>2013-03-08T10:15:00Z</cp:lastPrinted>
  <dcterms:created xsi:type="dcterms:W3CDTF">2025-01-28T10:35:00Z</dcterms:created>
  <dcterms:modified xsi:type="dcterms:W3CDTF">2025-02-03T10:51:00Z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