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FE400E" w14:paraId="68083994" w14:textId="77777777" w:rsidTr="00153E23">
        <w:tc>
          <w:tcPr>
            <w:tcW w:w="5000" w:type="pct"/>
            <w:gridSpan w:val="3"/>
            <w:shd w:val="clear" w:color="auto" w:fill="auto"/>
          </w:tcPr>
          <w:p w14:paraId="19A1E267" w14:textId="77777777" w:rsidR="000F7BBE" w:rsidRPr="00FE400E" w:rsidRDefault="000F7BBE" w:rsidP="00816FDD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FE400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FE400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E400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FE400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E400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FE400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E400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2775BC3" w14:textId="77777777" w:rsidR="000F7BBE" w:rsidRPr="00FE400E" w:rsidRDefault="000F7BBE" w:rsidP="00816FDD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FE400E" w14:paraId="7A49CEF0" w14:textId="77777777" w:rsidTr="00153E23">
        <w:tc>
          <w:tcPr>
            <w:tcW w:w="2707" w:type="pct"/>
            <w:gridSpan w:val="2"/>
            <w:shd w:val="clear" w:color="auto" w:fill="auto"/>
          </w:tcPr>
          <w:p w14:paraId="1E95D8C8" w14:textId="5A275AF1" w:rsidR="000F7BBE" w:rsidRPr="00FE400E" w:rsidRDefault="000F7BBE" w:rsidP="00816FDD">
            <w:pPr>
              <w:spacing w:before="80" w:line="300" w:lineRule="exact"/>
              <w:rPr>
                <w:position w:val="2"/>
                <w:lang w:bidi="ar-EG"/>
              </w:rPr>
            </w:pPr>
            <w:r w:rsidRPr="00FE400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5AA275A" w14:textId="4DC61248" w:rsidR="000F7BBE" w:rsidRPr="00FE400E" w:rsidRDefault="00FE400E" w:rsidP="00816FDD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FE400E">
              <w:rPr>
                <w:b/>
                <w:bCs/>
              </w:rPr>
              <w:t>CACE/1130</w:t>
            </w:r>
          </w:p>
        </w:tc>
        <w:tc>
          <w:tcPr>
            <w:tcW w:w="2293" w:type="pct"/>
            <w:shd w:val="clear" w:color="auto" w:fill="auto"/>
          </w:tcPr>
          <w:p w14:paraId="1BB49877" w14:textId="77F456BD" w:rsidR="000F7BBE" w:rsidRPr="00FE400E" w:rsidRDefault="00FE400E" w:rsidP="00816FDD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FE400E">
              <w:rPr>
                <w:rtl/>
              </w:rPr>
              <w:t>28 يناير 2025</w:t>
            </w:r>
          </w:p>
        </w:tc>
      </w:tr>
      <w:tr w:rsidR="000F7BBE" w:rsidRPr="00FE400E" w14:paraId="75501336" w14:textId="77777777" w:rsidTr="00153E23">
        <w:tc>
          <w:tcPr>
            <w:tcW w:w="5000" w:type="pct"/>
            <w:gridSpan w:val="3"/>
            <w:shd w:val="clear" w:color="auto" w:fill="auto"/>
          </w:tcPr>
          <w:p w14:paraId="7C94D8DA" w14:textId="77777777" w:rsidR="000F7BBE" w:rsidRPr="00FE400E" w:rsidRDefault="000F7BBE" w:rsidP="00816FD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E400E" w14:paraId="77962D85" w14:textId="77777777" w:rsidTr="00153E23">
        <w:tc>
          <w:tcPr>
            <w:tcW w:w="5000" w:type="pct"/>
            <w:gridSpan w:val="3"/>
            <w:shd w:val="clear" w:color="auto" w:fill="auto"/>
          </w:tcPr>
          <w:p w14:paraId="1BFDEDBD" w14:textId="77777777" w:rsidR="000F7BBE" w:rsidRPr="00FE400E" w:rsidRDefault="000F7BBE" w:rsidP="00816FD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E400E" w14:paraId="2E9C4183" w14:textId="77777777" w:rsidTr="00153E23">
        <w:tc>
          <w:tcPr>
            <w:tcW w:w="5000" w:type="pct"/>
            <w:gridSpan w:val="3"/>
            <w:shd w:val="clear" w:color="auto" w:fill="auto"/>
          </w:tcPr>
          <w:p w14:paraId="575D3A8E" w14:textId="6F827E2F" w:rsidR="000F7BBE" w:rsidRPr="00FE400E" w:rsidRDefault="00FE400E" w:rsidP="00816FDD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FE400E">
              <w:rPr>
                <w:b/>
                <w:bCs/>
                <w:rtl/>
              </w:rPr>
              <w:t>إلى إدارات الدول الأعضاء في الاتحاد وأعضاء قطاع الاتصالات الراديوية والمنتسبين إلى قطاع الاتصالات الراديوية والهيئات الأكاديمية المنضمة إلى الاتحاد المشاركة في أعمال لجنة الدراسات 4 للاتصالات الراديوية</w:t>
            </w:r>
          </w:p>
        </w:tc>
      </w:tr>
      <w:tr w:rsidR="000F7BBE" w:rsidRPr="00FE400E" w14:paraId="3B7929E7" w14:textId="77777777" w:rsidTr="00153E23">
        <w:tc>
          <w:tcPr>
            <w:tcW w:w="5000" w:type="pct"/>
            <w:gridSpan w:val="3"/>
            <w:shd w:val="clear" w:color="auto" w:fill="auto"/>
          </w:tcPr>
          <w:p w14:paraId="3B8A15F5" w14:textId="77777777" w:rsidR="000F7BBE" w:rsidRPr="00FE400E" w:rsidRDefault="000F7BBE" w:rsidP="00816FD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E400E" w14:paraId="40C94F0F" w14:textId="77777777" w:rsidTr="00153E23">
        <w:tc>
          <w:tcPr>
            <w:tcW w:w="5000" w:type="pct"/>
            <w:gridSpan w:val="3"/>
            <w:shd w:val="clear" w:color="auto" w:fill="auto"/>
          </w:tcPr>
          <w:p w14:paraId="32494ADA" w14:textId="77777777" w:rsidR="000F7BBE" w:rsidRPr="00FE400E" w:rsidRDefault="000F7BBE" w:rsidP="00816FD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E400E" w14:paraId="2BA205E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5EABF54" w14:textId="77777777" w:rsidR="000F7BBE" w:rsidRPr="00FE400E" w:rsidRDefault="000F7BBE" w:rsidP="00816FDD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FE400E">
              <w:rPr>
                <w:position w:val="2"/>
                <w:rtl/>
              </w:rPr>
              <w:t>الموضوع</w:t>
            </w:r>
            <w:r w:rsidRPr="00FE400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886C854" w14:textId="77777777" w:rsidR="00FE400E" w:rsidRPr="00FE400E" w:rsidRDefault="00FE400E" w:rsidP="00816FDD">
            <w:pPr>
              <w:keepNext/>
              <w:keepLines/>
              <w:tabs>
                <w:tab w:val="clear" w:pos="794"/>
                <w:tab w:val="left" w:pos="34"/>
              </w:tabs>
              <w:spacing w:before="0" w:after="120"/>
              <w:rPr>
                <w:b/>
                <w:bCs/>
                <w:lang w:val="ar-SA" w:eastAsia="zh-TW" w:bidi="en-GB"/>
              </w:rPr>
            </w:pPr>
            <w:r w:rsidRPr="00FE400E">
              <w:rPr>
                <w:b/>
                <w:bCs/>
                <w:rtl/>
              </w:rPr>
              <w:t>لجنة الدراسات 4 للاتصالات الراديوية (الخدمات الساتلية)</w:t>
            </w:r>
          </w:p>
          <w:p w14:paraId="19BABAEE" w14:textId="35BFEF5F" w:rsidR="000F7BBE" w:rsidRPr="00F767D1" w:rsidRDefault="00FE400E" w:rsidP="00816FDD">
            <w:pPr>
              <w:pStyle w:val="enumlev1"/>
              <w:rPr>
                <w:b/>
                <w:bCs/>
                <w:position w:val="2"/>
                <w:lang w:bidi="ar-EG"/>
              </w:rPr>
            </w:pPr>
            <w:r w:rsidRPr="00F767D1">
              <w:rPr>
                <w:b/>
                <w:bCs/>
              </w:rPr>
              <w:t>–</w:t>
            </w:r>
            <w:r w:rsidRPr="00F767D1">
              <w:rPr>
                <w:b/>
                <w:bCs/>
                <w:rtl/>
              </w:rPr>
              <w:tab/>
              <w:t>إلغاء مسألة واحدة لقطاع الاتصالات الراديوية</w:t>
            </w:r>
          </w:p>
        </w:tc>
      </w:tr>
      <w:tr w:rsidR="00FC09E8" w:rsidRPr="00FE400E" w14:paraId="7CF236B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1C8D5F9" w14:textId="77777777" w:rsidR="00FC09E8" w:rsidRPr="00FE400E" w:rsidRDefault="00FC09E8" w:rsidP="00816FDD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0C55247" w14:textId="77777777" w:rsidR="00FC09E8" w:rsidRPr="00FE400E" w:rsidRDefault="00FC09E8" w:rsidP="00816FDD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76D96B2E" w14:textId="77777777" w:rsidR="00FE400E" w:rsidRPr="00FE400E" w:rsidRDefault="00FE400E" w:rsidP="00816FDD">
      <w:pPr>
        <w:pStyle w:val="Normalaftertitle"/>
        <w:spacing w:line="280" w:lineRule="exact"/>
        <w:textDirection w:val="tbRlV"/>
        <w:rPr>
          <w:rtl/>
          <w:lang w:bidi="ar-EG"/>
        </w:rPr>
      </w:pPr>
      <w:r w:rsidRPr="00FE400E">
        <w:rPr>
          <w:rtl/>
        </w:rPr>
        <w:t xml:space="preserve">تحية طيبة وبعد، </w:t>
      </w:r>
    </w:p>
    <w:p w14:paraId="0DF1CACF" w14:textId="6ADA5CE9" w:rsidR="00FE400E" w:rsidRPr="00FE400E" w:rsidRDefault="00FE400E" w:rsidP="00F767D1">
      <w:pPr>
        <w:rPr>
          <w:lang w:val="en-GB" w:eastAsia="zh-TW" w:bidi="en-GB"/>
        </w:rPr>
      </w:pPr>
      <w:r w:rsidRPr="00FE400E">
        <w:rPr>
          <w:rtl/>
        </w:rPr>
        <w:t xml:space="preserve">بموجب الرسالة الإدارية المعممة </w:t>
      </w:r>
      <w:hyperlink r:id="rId8" w:history="1">
        <w:r w:rsidRPr="00F767D1">
          <w:rPr>
            <w:rStyle w:val="Hyperlink"/>
          </w:rPr>
          <w:t>CACE/1120</w:t>
        </w:r>
      </w:hyperlink>
      <w:r w:rsidRPr="00FE400E">
        <w:rPr>
          <w:rtl/>
        </w:rPr>
        <w:t xml:space="preserve"> المؤرخة 20 نوفمبر 2024، اقترحت لجنة الدراسات إلغاء مسألة واحدة لقطاع الاتصالات الراديوية.</w:t>
      </w:r>
    </w:p>
    <w:p w14:paraId="0FFE2DDC" w14:textId="77777777" w:rsidR="00FE400E" w:rsidRPr="00FE400E" w:rsidRDefault="00FE400E" w:rsidP="00816FDD">
      <w:pPr>
        <w:textDirection w:val="tbRlV"/>
        <w:rPr>
          <w:lang w:val="ar-SA" w:eastAsia="zh-TW" w:bidi="en-GB"/>
        </w:rPr>
      </w:pPr>
      <w:r w:rsidRPr="00FE400E">
        <w:rPr>
          <w:rtl/>
        </w:rPr>
        <w:t>وقد استُوفيت الشروط التي تحكم هذا الإجراء في 20 يناير 2025.</w:t>
      </w:r>
    </w:p>
    <w:p w14:paraId="25320F6A" w14:textId="77777777" w:rsidR="00FE400E" w:rsidRPr="00FE400E" w:rsidRDefault="00FE400E" w:rsidP="00816FDD">
      <w:pPr>
        <w:textDirection w:val="tbRlV"/>
        <w:rPr>
          <w:lang w:val="ar-SA" w:eastAsia="zh-TW" w:bidi="en-GB"/>
        </w:rPr>
      </w:pPr>
      <w:r w:rsidRPr="00FE400E">
        <w:rPr>
          <w:rtl/>
        </w:rPr>
        <w:t>ويبين الملحق بهذه الرسالة مسألة قطاع الاتصالات الراديوية الملغاة.</w:t>
      </w:r>
    </w:p>
    <w:p w14:paraId="14186227" w14:textId="77777777" w:rsidR="00F16820" w:rsidRPr="00FE400E" w:rsidRDefault="00F16820" w:rsidP="00816FDD">
      <w:pPr>
        <w:spacing w:before="240"/>
        <w:rPr>
          <w:rtl/>
          <w:lang w:bidi="ar-EG"/>
        </w:rPr>
      </w:pPr>
      <w:r w:rsidRPr="00FE400E">
        <w:rPr>
          <w:rFonts w:hint="cs"/>
          <w:rtl/>
          <w:lang w:bidi="ar-EG"/>
        </w:rPr>
        <w:t>وتفضلوا بقبول فائق التقدير والاحترام.</w:t>
      </w:r>
    </w:p>
    <w:p w14:paraId="067A4052" w14:textId="3E05CF6E" w:rsidR="00F16820" w:rsidRPr="00FE400E" w:rsidRDefault="00F16820" w:rsidP="00F36B39">
      <w:pPr>
        <w:spacing w:before="1200"/>
        <w:jc w:val="left"/>
        <w:rPr>
          <w:rtl/>
        </w:rPr>
      </w:pPr>
      <w:r w:rsidRPr="00FE400E">
        <w:rPr>
          <w:rtl/>
        </w:rPr>
        <w:t xml:space="preserve">ماريو </w:t>
      </w:r>
      <w:proofErr w:type="spellStart"/>
      <w:r w:rsidRPr="00FE400E">
        <w:rPr>
          <w:rtl/>
        </w:rPr>
        <w:t>مانيفيتش</w:t>
      </w:r>
      <w:proofErr w:type="spellEnd"/>
      <w:r w:rsidRPr="00FE400E">
        <w:rPr>
          <w:rtl/>
        </w:rPr>
        <w:br/>
      </w:r>
      <w:r w:rsidRPr="00FE400E">
        <w:rPr>
          <w:rFonts w:hint="cs"/>
          <w:rtl/>
        </w:rPr>
        <w:t>المدير</w:t>
      </w:r>
    </w:p>
    <w:p w14:paraId="7FF37E3B" w14:textId="3475F5DB" w:rsidR="00FE400E" w:rsidRPr="00FE400E" w:rsidRDefault="00FE400E" w:rsidP="00F36B39">
      <w:pPr>
        <w:spacing w:before="2400"/>
        <w:jc w:val="left"/>
        <w:rPr>
          <w:rtl/>
        </w:rPr>
      </w:pPr>
      <w:r w:rsidRPr="00FE400E">
        <w:rPr>
          <w:b/>
          <w:bCs/>
          <w:rtl/>
        </w:rPr>
        <w:t>الملحقات</w:t>
      </w:r>
      <w:r w:rsidRPr="00FE400E">
        <w:rPr>
          <w:b/>
          <w:bCs/>
        </w:rPr>
        <w:t>:</w:t>
      </w:r>
      <w:r w:rsidRPr="00FE400E">
        <w:rPr>
          <w:b/>
          <w:bCs/>
          <w:rtl/>
        </w:rPr>
        <w:t xml:space="preserve"> 1</w:t>
      </w:r>
    </w:p>
    <w:p w14:paraId="1B024E93" w14:textId="77777777" w:rsidR="00FC09E8" w:rsidRPr="00FE400E" w:rsidRDefault="00FC09E8" w:rsidP="00816FDD">
      <w:pPr>
        <w:tabs>
          <w:tab w:val="clear" w:pos="794"/>
        </w:tabs>
        <w:spacing w:before="0" w:after="160" w:line="259" w:lineRule="auto"/>
        <w:jc w:val="left"/>
        <w:rPr>
          <w:rtl/>
        </w:rPr>
      </w:pPr>
      <w:r w:rsidRPr="00FE400E">
        <w:rPr>
          <w:rtl/>
        </w:rPr>
        <w:br w:type="page"/>
      </w:r>
    </w:p>
    <w:p w14:paraId="6A63B3E3" w14:textId="59D3DE7D" w:rsidR="00FE400E" w:rsidRPr="00FE400E" w:rsidRDefault="00F767D1" w:rsidP="00F767D1">
      <w:pPr>
        <w:pStyle w:val="Annextitle"/>
        <w:rPr>
          <w:lang w:val="ar-SA" w:eastAsia="zh-TW" w:bidi="en-GB"/>
        </w:rPr>
      </w:pPr>
      <w:r>
        <w:rPr>
          <w:rFonts w:hint="cs"/>
          <w:rtl/>
        </w:rPr>
        <w:lastRenderedPageBreak/>
        <w:t>ال</w:t>
      </w:r>
      <w:r w:rsidR="00FE400E" w:rsidRPr="00FE400E">
        <w:rPr>
          <w:rtl/>
        </w:rPr>
        <w:t>ملحق</w:t>
      </w:r>
      <w:r>
        <w:rPr>
          <w:rtl/>
        </w:rPr>
        <w:br/>
      </w:r>
      <w:r>
        <w:rPr>
          <w:rtl/>
        </w:rPr>
        <w:br/>
      </w:r>
      <w:r w:rsidR="00FE400E" w:rsidRPr="00FE400E">
        <w:rPr>
          <w:rtl/>
        </w:rPr>
        <w:t>مسألة قطاع الاتصالات الراديوية الملغاة</w:t>
      </w:r>
    </w:p>
    <w:tbl>
      <w:tblPr>
        <w:bidiVisual/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6"/>
        <w:gridCol w:w="7747"/>
      </w:tblGrid>
      <w:tr w:rsidR="00FE400E" w:rsidRPr="00FE400E" w14:paraId="69AA9DFA" w14:textId="77777777" w:rsidTr="00975436">
        <w:trPr>
          <w:cantSplit/>
          <w:tblHeader/>
          <w:jc w:val="center"/>
        </w:trPr>
        <w:tc>
          <w:tcPr>
            <w:tcW w:w="1696" w:type="dxa"/>
            <w:vAlign w:val="center"/>
            <w:hideMark/>
          </w:tcPr>
          <w:p w14:paraId="0DF8E8D4" w14:textId="77777777" w:rsidR="00FE400E" w:rsidRPr="00FE400E" w:rsidRDefault="00FE400E" w:rsidP="00F767D1">
            <w:pPr>
              <w:pStyle w:val="Tablehead0"/>
              <w:bidi/>
              <w:spacing w:before="60" w:after="60" w:line="28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FE400E">
              <w:rPr>
                <w:rFonts w:ascii="Dubai" w:hAnsi="Dubai" w:cs="Dubai"/>
                <w:bCs/>
                <w:szCs w:val="20"/>
                <w:rtl/>
              </w:rPr>
              <w:t xml:space="preserve">مسألة قطاع الاتصالات الراديوية </w:t>
            </w:r>
            <w:r w:rsidRPr="00FE400E">
              <w:rPr>
                <w:rFonts w:ascii="Dubai" w:hAnsi="Dubai" w:cs="Dubai"/>
                <w:bCs/>
                <w:szCs w:val="20"/>
              </w:rPr>
              <w:t>(ITU-R</w:t>
            </w:r>
            <w:r w:rsidRPr="00FE400E">
              <w:rPr>
                <w:rFonts w:ascii="Dubai" w:hAnsi="Dubai" w:cs="Dubai"/>
                <w:bCs/>
                <w:szCs w:val="20"/>
                <w:lang w:val="en-GB"/>
              </w:rPr>
              <w:t>)</w:t>
            </w:r>
          </w:p>
        </w:tc>
        <w:tc>
          <w:tcPr>
            <w:tcW w:w="7747" w:type="dxa"/>
            <w:vAlign w:val="center"/>
            <w:hideMark/>
          </w:tcPr>
          <w:p w14:paraId="2108CCEF" w14:textId="77777777" w:rsidR="00FE400E" w:rsidRPr="00FE400E" w:rsidRDefault="00FE400E" w:rsidP="00F767D1">
            <w:pPr>
              <w:pStyle w:val="Tablehead0"/>
              <w:bidi/>
              <w:spacing w:before="60" w:after="60" w:line="280" w:lineRule="exact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FE400E">
              <w:rPr>
                <w:rFonts w:ascii="Dubai" w:hAnsi="Dubai" w:cs="Dubai"/>
                <w:bCs/>
                <w:szCs w:val="20"/>
                <w:rtl/>
              </w:rPr>
              <w:t>العنوان</w:t>
            </w:r>
          </w:p>
        </w:tc>
      </w:tr>
      <w:tr w:rsidR="00FE400E" w:rsidRPr="00FE400E" w14:paraId="08F7CED2" w14:textId="77777777" w:rsidTr="00975436">
        <w:trPr>
          <w:cantSplit/>
          <w:jc w:val="center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5FA7" w14:textId="77777777" w:rsidR="00FE400E" w:rsidRPr="00FE400E" w:rsidRDefault="00FE400E" w:rsidP="00F767D1">
            <w:pPr>
              <w:pStyle w:val="Tabletext"/>
              <w:bidi/>
              <w:spacing w:before="60" w:after="60" w:line="280" w:lineRule="exact"/>
              <w:jc w:val="center"/>
              <w:textDirection w:val="tbRlV"/>
              <w:rPr>
                <w:rFonts w:ascii="Dubai" w:hAnsi="Dubai" w:cs="Dubai"/>
                <w:szCs w:val="20"/>
                <w:lang w:val="ar-SA" w:eastAsia="zh-TW" w:bidi="en-GB"/>
              </w:rPr>
            </w:pPr>
            <w:r w:rsidRPr="00FE400E">
              <w:rPr>
                <w:rFonts w:ascii="Dubai" w:hAnsi="Dubai" w:cs="Dubai"/>
                <w:szCs w:val="20"/>
                <w:rtl/>
              </w:rPr>
              <w:t>4/284</w:t>
            </w:r>
          </w:p>
        </w:tc>
        <w:tc>
          <w:tcPr>
            <w:tcW w:w="7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6FB9" w14:textId="0A3D6916" w:rsidR="00FE400E" w:rsidRPr="00FE400E" w:rsidRDefault="00FE400E" w:rsidP="00F767D1">
            <w:pPr>
              <w:pStyle w:val="Tabletext"/>
              <w:bidi/>
              <w:spacing w:before="60" w:after="60" w:line="280" w:lineRule="exact"/>
              <w:textDirection w:val="tbRlV"/>
              <w:rPr>
                <w:rFonts w:ascii="Dubai" w:hAnsi="Dubai" w:cs="Dubai"/>
                <w:szCs w:val="20"/>
                <w:lang w:val="en-GB" w:eastAsia="zh-TW" w:bidi="en-GB"/>
              </w:rPr>
            </w:pPr>
            <w:r w:rsidRPr="00FE400E">
              <w:rPr>
                <w:rFonts w:ascii="Dubai" w:hAnsi="Dubai" w:cs="Dubai"/>
                <w:szCs w:val="20"/>
                <w:rtl/>
              </w:rPr>
              <w:t xml:space="preserve">مسائل إدارة الطيف المتعلقة بإدخال الخدمة الإذاعية الساتلية (الصوتية) في مدى الترددات </w:t>
            </w:r>
            <w:proofErr w:type="spellStart"/>
            <w:r w:rsidRPr="00FE400E">
              <w:rPr>
                <w:rFonts w:ascii="Dubai" w:hAnsi="Dubai" w:cs="Dubai"/>
                <w:szCs w:val="20"/>
                <w:rtl/>
              </w:rPr>
              <w:t>GHz</w:t>
            </w:r>
            <w:proofErr w:type="spellEnd"/>
            <w:r w:rsidRPr="00FE400E">
              <w:rPr>
                <w:rFonts w:ascii="Dubai" w:hAnsi="Dubai" w:cs="Dubai"/>
                <w:szCs w:val="20"/>
                <w:rtl/>
              </w:rPr>
              <w:t xml:space="preserve"> 3-1</w:t>
            </w:r>
          </w:p>
        </w:tc>
      </w:tr>
    </w:tbl>
    <w:p w14:paraId="45FDECC4" w14:textId="77777777" w:rsidR="003B5733" w:rsidRDefault="003B5733" w:rsidP="00816FDD">
      <w:pPr>
        <w:spacing w:before="600"/>
        <w:jc w:val="center"/>
        <w:rPr>
          <w:lang w:bidi="ar-EG"/>
        </w:rPr>
      </w:pPr>
      <w:r w:rsidRPr="00FE4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077D" w14:textId="77777777" w:rsidR="00FE400E" w:rsidRDefault="00FE400E" w:rsidP="006C3242">
      <w:pPr>
        <w:spacing w:before="0" w:line="240" w:lineRule="auto"/>
      </w:pPr>
      <w:r>
        <w:separator/>
      </w:r>
    </w:p>
  </w:endnote>
  <w:endnote w:type="continuationSeparator" w:id="0">
    <w:p w14:paraId="6C6B5F25" w14:textId="77777777" w:rsidR="00FE400E" w:rsidRDefault="00FE400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5BB3" w14:textId="75FC6E5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E79EF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0574" w14:textId="77777777" w:rsidR="00FE400E" w:rsidRDefault="00FE400E" w:rsidP="006C3242">
      <w:pPr>
        <w:spacing w:before="0" w:line="240" w:lineRule="auto"/>
      </w:pPr>
      <w:r>
        <w:separator/>
      </w:r>
    </w:p>
  </w:footnote>
  <w:footnote w:type="continuationSeparator" w:id="0">
    <w:p w14:paraId="34DFA791" w14:textId="77777777" w:rsidR="00FE400E" w:rsidRDefault="00FE400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BAA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A837DA" w14:paraId="7E207C3C" w14:textId="77777777" w:rsidTr="00A837DA">
      <w:trPr>
        <w:jc w:val="center"/>
      </w:trPr>
      <w:tc>
        <w:tcPr>
          <w:tcW w:w="4814" w:type="dxa"/>
        </w:tcPr>
        <w:p w14:paraId="16B37872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5608E42" wp14:editId="743E4BF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4B0D4C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1891456">
    <w:abstractNumId w:val="9"/>
  </w:num>
  <w:num w:numId="2" w16cid:durableId="256451624">
    <w:abstractNumId w:val="7"/>
  </w:num>
  <w:num w:numId="3" w16cid:durableId="1125659995">
    <w:abstractNumId w:val="6"/>
  </w:num>
  <w:num w:numId="4" w16cid:durableId="473374239">
    <w:abstractNumId w:val="5"/>
  </w:num>
  <w:num w:numId="5" w16cid:durableId="748117569">
    <w:abstractNumId w:val="4"/>
  </w:num>
  <w:num w:numId="6" w16cid:durableId="693531976">
    <w:abstractNumId w:val="8"/>
  </w:num>
  <w:num w:numId="7" w16cid:durableId="1342394931">
    <w:abstractNumId w:val="3"/>
  </w:num>
  <w:num w:numId="8" w16cid:durableId="667907531">
    <w:abstractNumId w:val="2"/>
  </w:num>
  <w:num w:numId="9" w16cid:durableId="1800412263">
    <w:abstractNumId w:val="1"/>
  </w:num>
  <w:num w:numId="10" w16cid:durableId="180780435">
    <w:abstractNumId w:val="0"/>
  </w:num>
  <w:num w:numId="11" w16cid:durableId="560288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0E"/>
    <w:rsid w:val="000473C0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249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63254F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6EE9"/>
    <w:rsid w:val="00816FDD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837DA"/>
    <w:rsid w:val="00A97F94"/>
    <w:rsid w:val="00AA7EA2"/>
    <w:rsid w:val="00B03099"/>
    <w:rsid w:val="00B05BC8"/>
    <w:rsid w:val="00B1143A"/>
    <w:rsid w:val="00B64B47"/>
    <w:rsid w:val="00B74B14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434B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36B39"/>
    <w:rsid w:val="00F767D1"/>
    <w:rsid w:val="00F84366"/>
    <w:rsid w:val="00F85089"/>
    <w:rsid w:val="00F974C5"/>
    <w:rsid w:val="00FA6F46"/>
    <w:rsid w:val="00FC09E8"/>
    <w:rsid w:val="00FE400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33A88"/>
  <w15:chartTrackingRefBased/>
  <w15:docId w15:val="{E4D55447-93D4-499A-A16F-E2E2CDC9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uiPriority w:val="99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FE400E"/>
    <w:rPr>
      <w:rFonts w:ascii="Dubai" w:hAnsi="Dubai" w:cs="Dubai"/>
      <w:lang w:bidi="ar-SY"/>
    </w:rPr>
  </w:style>
  <w:style w:type="paragraph" w:customStyle="1" w:styleId="Tablehead0">
    <w:name w:val="Table_head"/>
    <w:basedOn w:val="Normal"/>
    <w:next w:val="Tabletext"/>
    <w:link w:val="TableheadChar"/>
    <w:uiPriority w:val="99"/>
    <w:rsid w:val="00FE400E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Calibri" w:cs="Simplified Arabic"/>
      <w:b/>
      <w:sz w:val="20"/>
      <w:szCs w:val="30"/>
      <w:lang w:val="fr-CH"/>
    </w:rPr>
  </w:style>
  <w:style w:type="paragraph" w:customStyle="1" w:styleId="Tabletext">
    <w:name w:val="Table_text"/>
    <w:basedOn w:val="Normal"/>
    <w:link w:val="TabletextChar"/>
    <w:uiPriority w:val="99"/>
    <w:rsid w:val="00FE400E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Calibri" w:cs="Simplified Arabic"/>
      <w:sz w:val="20"/>
      <w:szCs w:val="30"/>
      <w:lang w:val="fr-CH"/>
    </w:rPr>
  </w:style>
  <w:style w:type="paragraph" w:customStyle="1" w:styleId="AnnexNotitle">
    <w:name w:val="Annex_No &amp; title"/>
    <w:basedOn w:val="Normal"/>
    <w:next w:val="Normal"/>
    <w:rsid w:val="00FE400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 w:hint="cs"/>
      <w:b/>
      <w:sz w:val="28"/>
      <w:szCs w:val="20"/>
      <w:lang w:val="fr-CH"/>
    </w:rPr>
  </w:style>
  <w:style w:type="character" w:customStyle="1" w:styleId="TabletextChar">
    <w:name w:val="Table_text Char"/>
    <w:link w:val="Tabletext"/>
    <w:uiPriority w:val="99"/>
    <w:locked/>
    <w:rsid w:val="00FE400E"/>
    <w:rPr>
      <w:rFonts w:ascii="Times New Roman" w:eastAsia="Times New Roman" w:hAnsi="Calibri" w:cs="Simplified Arabic"/>
      <w:sz w:val="20"/>
      <w:szCs w:val="30"/>
      <w:lang w:val="fr-CH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FE400E"/>
    <w:rPr>
      <w:rFonts w:ascii="Times New Roman" w:eastAsia="Times New Roman" w:hAnsi="Calibri" w:cs="Simplified Arabic"/>
      <w:b/>
      <w:sz w:val="20"/>
      <w:szCs w:val="30"/>
      <w:lang w:val="fr-CH"/>
    </w:rPr>
  </w:style>
  <w:style w:type="paragraph" w:customStyle="1" w:styleId="Rnu">
    <w:name w:val="Rnu"/>
    <w:basedOn w:val="Normal"/>
    <w:qFormat/>
    <w:rsid w:val="00D7434B"/>
    <w:pPr>
      <w:framePr w:hSpace="180" w:wrap="around" w:vAnchor="text" w:hAnchor="text" w:xAlign="center" w:y="1"/>
      <w:tabs>
        <w:tab w:val="clear" w:pos="794"/>
        <w:tab w:val="left" w:pos="385"/>
      </w:tabs>
      <w:spacing w:before="80" w:after="60" w:line="300" w:lineRule="exact"/>
      <w:ind w:left="385" w:hanging="385"/>
      <w:suppressOverlap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7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el\Desktop\Arabic%20Templates%202024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2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Kamaleldin, Mohamed</dc:creator>
  <cp:keywords/>
  <dc:description/>
  <cp:lastModifiedBy>Chamova, Alisa</cp:lastModifiedBy>
  <cp:revision>4</cp:revision>
  <dcterms:created xsi:type="dcterms:W3CDTF">2025-01-27T10:19:00Z</dcterms:created>
  <dcterms:modified xsi:type="dcterms:W3CDTF">2025-01-27T10:46:00Z</dcterms:modified>
</cp:coreProperties>
</file>