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0E142D" w14:paraId="05D79348" w14:textId="77777777" w:rsidTr="006A1921">
        <w:trPr>
          <w:jc w:val="center"/>
        </w:trPr>
        <w:tc>
          <w:tcPr>
            <w:tcW w:w="9889" w:type="dxa"/>
            <w:gridSpan w:val="3"/>
            <w:shd w:val="clear" w:color="auto" w:fill="auto"/>
          </w:tcPr>
          <w:p w14:paraId="4C7D5DCD" w14:textId="77777777" w:rsidR="00EA15B3" w:rsidRPr="000E142D" w:rsidRDefault="008E38B4" w:rsidP="00117282">
            <w:pPr>
              <w:spacing w:before="0"/>
              <w:jc w:val="left"/>
              <w:rPr>
                <w:rFonts w:cstheme="minorHAnsi"/>
                <w:b/>
                <w:bCs/>
                <w:color w:val="808080"/>
                <w:sz w:val="28"/>
                <w:szCs w:val="28"/>
                <w:lang w:val="en-GB"/>
              </w:rPr>
            </w:pPr>
            <w:r w:rsidRPr="000E142D">
              <w:rPr>
                <w:rFonts w:cstheme="minorHAnsi"/>
                <w:b/>
                <w:bCs/>
                <w:color w:val="808080"/>
                <w:sz w:val="28"/>
                <w:szCs w:val="28"/>
                <w:lang w:val="en-GB"/>
              </w:rPr>
              <w:t xml:space="preserve">Radiocommunication </w:t>
            </w:r>
            <w:r w:rsidR="00AF70DA" w:rsidRPr="000E142D">
              <w:rPr>
                <w:rFonts w:cstheme="minorHAnsi"/>
                <w:b/>
                <w:bCs/>
                <w:color w:val="808080"/>
                <w:sz w:val="28"/>
                <w:szCs w:val="28"/>
                <w:lang w:val="en-GB"/>
              </w:rPr>
              <w:t>Bureau (BR)</w:t>
            </w:r>
          </w:p>
          <w:p w14:paraId="00846F79" w14:textId="77777777" w:rsidR="008E38B4" w:rsidRPr="000E142D" w:rsidRDefault="008E38B4" w:rsidP="00117282">
            <w:pPr>
              <w:spacing w:before="0"/>
              <w:jc w:val="left"/>
              <w:rPr>
                <w:rFonts w:cstheme="minorHAnsi"/>
                <w:b/>
                <w:bCs/>
                <w:color w:val="808080"/>
                <w:sz w:val="28"/>
                <w:szCs w:val="28"/>
                <w:lang w:val="en-GB"/>
              </w:rPr>
            </w:pPr>
          </w:p>
          <w:p w14:paraId="73B51AF1" w14:textId="77777777" w:rsidR="008E38B4" w:rsidRPr="000E142D" w:rsidRDefault="008E38B4" w:rsidP="00117282">
            <w:pPr>
              <w:spacing w:before="0"/>
              <w:jc w:val="left"/>
              <w:rPr>
                <w:rFonts w:cs="Times New Roman Bold"/>
                <w:b/>
                <w:bCs/>
                <w:color w:val="808080"/>
                <w:sz w:val="28"/>
                <w:szCs w:val="28"/>
                <w:lang w:val="en-GB"/>
              </w:rPr>
            </w:pPr>
          </w:p>
        </w:tc>
      </w:tr>
      <w:tr w:rsidR="00651777" w:rsidRPr="000E142D" w14:paraId="44371BD5" w14:textId="77777777" w:rsidTr="006A1921">
        <w:trPr>
          <w:jc w:val="center"/>
        </w:trPr>
        <w:tc>
          <w:tcPr>
            <w:tcW w:w="7054" w:type="dxa"/>
            <w:gridSpan w:val="2"/>
            <w:shd w:val="clear" w:color="auto" w:fill="auto"/>
          </w:tcPr>
          <w:p w14:paraId="3A39D63F" w14:textId="77777777" w:rsidR="00A52F57" w:rsidRPr="000E142D" w:rsidRDefault="00A52F57" w:rsidP="00D74BDE">
            <w:pPr>
              <w:spacing w:before="0"/>
              <w:jc w:val="left"/>
              <w:rPr>
                <w:sz w:val="28"/>
                <w:szCs w:val="28"/>
                <w:lang w:val="en-GB"/>
              </w:rPr>
            </w:pPr>
            <w:r w:rsidRPr="000E142D">
              <w:rPr>
                <w:szCs w:val="24"/>
                <w:lang w:val="en-GB"/>
              </w:rPr>
              <w:t>Administrative Circular</w:t>
            </w:r>
          </w:p>
          <w:p w14:paraId="57DD055A" w14:textId="2A878CAF" w:rsidR="00651777" w:rsidRPr="000E142D" w:rsidRDefault="00A52F57" w:rsidP="00D74BDE">
            <w:pPr>
              <w:spacing w:before="0"/>
              <w:jc w:val="left"/>
              <w:rPr>
                <w:b/>
                <w:bCs/>
                <w:szCs w:val="24"/>
                <w:lang w:val="en-GB"/>
              </w:rPr>
            </w:pPr>
            <w:r w:rsidRPr="000E142D">
              <w:rPr>
                <w:b/>
                <w:bCs/>
                <w:szCs w:val="24"/>
                <w:lang w:val="en-GB"/>
              </w:rPr>
              <w:t>CACE</w:t>
            </w:r>
            <w:r w:rsidR="00D74BDE" w:rsidRPr="000E142D">
              <w:rPr>
                <w:b/>
                <w:bCs/>
                <w:szCs w:val="24"/>
                <w:lang w:val="en-GB"/>
              </w:rPr>
              <w:t>/</w:t>
            </w:r>
            <w:r w:rsidR="00C03F41">
              <w:rPr>
                <w:b/>
                <w:bCs/>
                <w:szCs w:val="24"/>
                <w:lang w:val="en-GB"/>
              </w:rPr>
              <w:t>1123</w:t>
            </w:r>
          </w:p>
        </w:tc>
        <w:tc>
          <w:tcPr>
            <w:tcW w:w="2835" w:type="dxa"/>
            <w:shd w:val="clear" w:color="auto" w:fill="auto"/>
          </w:tcPr>
          <w:p w14:paraId="55233F10" w14:textId="253298D0" w:rsidR="00651777" w:rsidRPr="000E142D" w:rsidRDefault="00EE5663" w:rsidP="00034340">
            <w:pPr>
              <w:spacing w:before="0"/>
              <w:jc w:val="right"/>
              <w:rPr>
                <w:szCs w:val="24"/>
                <w:lang w:val="en-GB"/>
              </w:rPr>
            </w:pPr>
            <w:r>
              <w:rPr>
                <w:rFonts w:cs="Arial"/>
                <w:szCs w:val="24"/>
                <w:lang w:val="en-GB"/>
              </w:rPr>
              <w:t>3</w:t>
            </w:r>
            <w:r w:rsidR="00C03F41">
              <w:rPr>
                <w:rFonts w:cs="Arial"/>
                <w:szCs w:val="24"/>
                <w:lang w:val="en-GB"/>
              </w:rPr>
              <w:t xml:space="preserve"> </w:t>
            </w:r>
            <w:r w:rsidR="00F9357E">
              <w:rPr>
                <w:rFonts w:cs="Arial"/>
                <w:szCs w:val="24"/>
                <w:lang w:val="en-GB"/>
              </w:rPr>
              <w:t>December</w:t>
            </w:r>
            <w:r w:rsidR="00C03F41">
              <w:rPr>
                <w:rFonts w:cs="Arial"/>
                <w:szCs w:val="24"/>
                <w:lang w:val="en-GB"/>
              </w:rPr>
              <w:t xml:space="preserve"> 2024</w:t>
            </w:r>
          </w:p>
        </w:tc>
      </w:tr>
      <w:tr w:rsidR="0037309C" w:rsidRPr="000E142D" w14:paraId="044568F3" w14:textId="77777777" w:rsidTr="006A1921">
        <w:trPr>
          <w:jc w:val="center"/>
        </w:trPr>
        <w:tc>
          <w:tcPr>
            <w:tcW w:w="9889" w:type="dxa"/>
            <w:gridSpan w:val="3"/>
            <w:shd w:val="clear" w:color="auto" w:fill="auto"/>
          </w:tcPr>
          <w:p w14:paraId="11339E1D" w14:textId="77777777" w:rsidR="0037309C" w:rsidRPr="000E142D" w:rsidRDefault="0037309C" w:rsidP="006047E5">
            <w:pPr>
              <w:spacing w:before="0"/>
              <w:jc w:val="left"/>
              <w:rPr>
                <w:rFonts w:cs="Arial"/>
                <w:szCs w:val="24"/>
                <w:lang w:val="en-GB"/>
              </w:rPr>
            </w:pPr>
          </w:p>
        </w:tc>
      </w:tr>
      <w:tr w:rsidR="0037309C" w:rsidRPr="000E142D" w14:paraId="757C3B75" w14:textId="77777777" w:rsidTr="006A1921">
        <w:trPr>
          <w:jc w:val="center"/>
        </w:trPr>
        <w:tc>
          <w:tcPr>
            <w:tcW w:w="9889" w:type="dxa"/>
            <w:gridSpan w:val="3"/>
            <w:shd w:val="clear" w:color="auto" w:fill="auto"/>
          </w:tcPr>
          <w:p w14:paraId="75D7DE68" w14:textId="77777777" w:rsidR="0037309C" w:rsidRPr="000E142D" w:rsidRDefault="0037309C" w:rsidP="00D374CD">
            <w:pPr>
              <w:spacing w:before="0"/>
              <w:jc w:val="left"/>
              <w:rPr>
                <w:szCs w:val="24"/>
                <w:lang w:val="en-GB"/>
              </w:rPr>
            </w:pPr>
          </w:p>
        </w:tc>
      </w:tr>
      <w:tr w:rsidR="0037309C" w:rsidRPr="000E142D" w14:paraId="75BFCC92" w14:textId="77777777" w:rsidTr="006A1921">
        <w:trPr>
          <w:jc w:val="center"/>
        </w:trPr>
        <w:tc>
          <w:tcPr>
            <w:tcW w:w="9889" w:type="dxa"/>
            <w:gridSpan w:val="3"/>
            <w:shd w:val="clear" w:color="auto" w:fill="auto"/>
          </w:tcPr>
          <w:p w14:paraId="3A01E520" w14:textId="2E3A5A94" w:rsidR="00D21694" w:rsidRPr="000E142D" w:rsidRDefault="000D02EC" w:rsidP="000D02EC">
            <w:pPr>
              <w:spacing w:before="0"/>
              <w:jc w:val="left"/>
              <w:rPr>
                <w:b/>
                <w:bCs/>
                <w:szCs w:val="24"/>
                <w:lang w:val="en-GB"/>
              </w:rPr>
            </w:pPr>
            <w:r w:rsidRPr="000E142D">
              <w:rPr>
                <w:b/>
                <w:lang w:val="en-GB"/>
              </w:rPr>
              <w:t>To Administrations of Member States of the ITU, Radiocommunication Sector Members,</w:t>
            </w:r>
            <w:r w:rsidRPr="000E142D">
              <w:rPr>
                <w:b/>
                <w:lang w:val="en-GB"/>
              </w:rPr>
              <w:br/>
              <w:t xml:space="preserve">ITU-R Associates </w:t>
            </w:r>
            <w:r w:rsidR="003F5E59" w:rsidRPr="000E142D">
              <w:rPr>
                <w:b/>
                <w:lang w:val="en-GB"/>
              </w:rPr>
              <w:t xml:space="preserve">and ITU Academia </w:t>
            </w:r>
            <w:r w:rsidRPr="000E142D">
              <w:rPr>
                <w:b/>
                <w:lang w:val="en-GB"/>
              </w:rPr>
              <w:t xml:space="preserve">participating in the work of Radiocommunication Study Group </w:t>
            </w:r>
            <w:r w:rsidR="00C03F41">
              <w:rPr>
                <w:b/>
                <w:lang w:val="en-GB"/>
              </w:rPr>
              <w:t>6</w:t>
            </w:r>
          </w:p>
        </w:tc>
      </w:tr>
      <w:tr w:rsidR="0037309C" w:rsidRPr="000E142D" w14:paraId="644431E3" w14:textId="77777777" w:rsidTr="006A1921">
        <w:trPr>
          <w:jc w:val="center"/>
        </w:trPr>
        <w:tc>
          <w:tcPr>
            <w:tcW w:w="9889" w:type="dxa"/>
            <w:gridSpan w:val="3"/>
            <w:shd w:val="clear" w:color="auto" w:fill="auto"/>
          </w:tcPr>
          <w:p w14:paraId="5A17F5F9" w14:textId="77777777" w:rsidR="0037309C" w:rsidRPr="000E142D" w:rsidRDefault="0037309C" w:rsidP="006047E5">
            <w:pPr>
              <w:spacing w:before="0"/>
              <w:jc w:val="left"/>
              <w:rPr>
                <w:szCs w:val="24"/>
                <w:lang w:val="en-GB"/>
              </w:rPr>
            </w:pPr>
          </w:p>
        </w:tc>
      </w:tr>
      <w:tr w:rsidR="00B862A0" w:rsidRPr="000E142D" w14:paraId="5F495704" w14:textId="77777777" w:rsidTr="006A1921">
        <w:trPr>
          <w:jc w:val="center"/>
        </w:trPr>
        <w:tc>
          <w:tcPr>
            <w:tcW w:w="9889" w:type="dxa"/>
            <w:gridSpan w:val="3"/>
            <w:shd w:val="clear" w:color="auto" w:fill="auto"/>
          </w:tcPr>
          <w:p w14:paraId="5DCB675E" w14:textId="77777777" w:rsidR="00B862A0" w:rsidRPr="000E142D" w:rsidRDefault="00B862A0" w:rsidP="006047E5">
            <w:pPr>
              <w:spacing w:before="0"/>
              <w:jc w:val="left"/>
              <w:rPr>
                <w:szCs w:val="24"/>
                <w:lang w:val="en-GB"/>
              </w:rPr>
            </w:pPr>
          </w:p>
        </w:tc>
      </w:tr>
      <w:tr w:rsidR="00D74BDE" w:rsidRPr="000E142D" w14:paraId="60314437" w14:textId="77777777" w:rsidTr="006A1921">
        <w:trPr>
          <w:jc w:val="center"/>
        </w:trPr>
        <w:tc>
          <w:tcPr>
            <w:tcW w:w="1526" w:type="dxa"/>
            <w:shd w:val="clear" w:color="auto" w:fill="auto"/>
          </w:tcPr>
          <w:p w14:paraId="273AC8E7" w14:textId="77777777" w:rsidR="00D74BDE" w:rsidRPr="000E142D" w:rsidRDefault="00D74BDE" w:rsidP="00D74BDE">
            <w:pPr>
              <w:spacing w:before="0"/>
              <w:jc w:val="left"/>
              <w:rPr>
                <w:lang w:val="en-GB"/>
              </w:rPr>
            </w:pPr>
            <w:r w:rsidRPr="000E142D">
              <w:rPr>
                <w:lang w:val="en-GB"/>
              </w:rPr>
              <w:t>Subject:</w:t>
            </w:r>
          </w:p>
        </w:tc>
        <w:tc>
          <w:tcPr>
            <w:tcW w:w="8363" w:type="dxa"/>
            <w:gridSpan w:val="2"/>
            <w:vMerge w:val="restart"/>
            <w:shd w:val="clear" w:color="auto" w:fill="auto"/>
          </w:tcPr>
          <w:p w14:paraId="153A0DED" w14:textId="769218D4" w:rsidR="000D02EC" w:rsidRPr="000E142D" w:rsidRDefault="000D02EC" w:rsidP="000D02EC">
            <w:pPr>
              <w:tabs>
                <w:tab w:val="clear" w:pos="794"/>
                <w:tab w:val="clear" w:pos="1191"/>
                <w:tab w:val="clear" w:pos="1588"/>
                <w:tab w:val="clear" w:pos="1985"/>
                <w:tab w:val="left" w:pos="709"/>
              </w:tabs>
              <w:spacing w:before="0"/>
              <w:ind w:left="1418" w:hanging="1418"/>
              <w:rPr>
                <w:b/>
                <w:bCs/>
                <w:lang w:val="en-GB"/>
              </w:rPr>
            </w:pPr>
            <w:r w:rsidRPr="000E142D">
              <w:rPr>
                <w:b/>
                <w:bCs/>
                <w:lang w:val="en-GB"/>
              </w:rPr>
              <w:t xml:space="preserve">Radiocommunication Study Group </w:t>
            </w:r>
            <w:r w:rsidR="00C03F41">
              <w:rPr>
                <w:b/>
                <w:bCs/>
                <w:lang w:val="en-GB"/>
              </w:rPr>
              <w:t>6 (Broadcasting Service)</w:t>
            </w:r>
          </w:p>
          <w:p w14:paraId="6F3505ED" w14:textId="0CBA206B" w:rsidR="00D74BDE" w:rsidRPr="000E142D" w:rsidRDefault="000D02EC" w:rsidP="000E142D">
            <w:pPr>
              <w:spacing w:before="120"/>
              <w:ind w:left="794" w:hanging="794"/>
              <w:jc w:val="left"/>
              <w:rPr>
                <w:lang w:val="en-GB"/>
              </w:rPr>
            </w:pPr>
            <w:r w:rsidRPr="000E142D">
              <w:rPr>
                <w:b/>
                <w:bCs/>
                <w:lang w:val="en-GB"/>
              </w:rPr>
              <w:t>–</w:t>
            </w:r>
            <w:r w:rsidRPr="000E142D">
              <w:rPr>
                <w:b/>
                <w:bCs/>
                <w:lang w:val="en-GB"/>
              </w:rPr>
              <w:tab/>
              <w:t xml:space="preserve">Proposed adoption by correspondence of </w:t>
            </w:r>
            <w:r w:rsidR="00C03F41">
              <w:rPr>
                <w:b/>
                <w:bCs/>
                <w:lang w:val="en-GB"/>
              </w:rPr>
              <w:t>1</w:t>
            </w:r>
            <w:r w:rsidR="00C03F41" w:rsidRPr="000E142D">
              <w:rPr>
                <w:b/>
                <w:bCs/>
                <w:lang w:val="en-GB"/>
              </w:rPr>
              <w:t> </w:t>
            </w:r>
            <w:r w:rsidRPr="000E142D">
              <w:rPr>
                <w:b/>
                <w:bCs/>
                <w:lang w:val="en-GB"/>
              </w:rPr>
              <w:t>draft revised ITU-R Recommendation</w:t>
            </w:r>
          </w:p>
        </w:tc>
      </w:tr>
      <w:tr w:rsidR="00D74BDE" w:rsidRPr="000E142D" w14:paraId="2A8E09C4" w14:textId="77777777" w:rsidTr="006A1921">
        <w:trPr>
          <w:jc w:val="center"/>
        </w:trPr>
        <w:tc>
          <w:tcPr>
            <w:tcW w:w="1526" w:type="dxa"/>
            <w:shd w:val="clear" w:color="auto" w:fill="auto"/>
          </w:tcPr>
          <w:p w14:paraId="5D12DA34" w14:textId="77777777" w:rsidR="00D74BDE" w:rsidRPr="000E142D" w:rsidRDefault="00D74BDE" w:rsidP="00D74BDE">
            <w:pPr>
              <w:spacing w:before="0"/>
              <w:jc w:val="left"/>
              <w:rPr>
                <w:b/>
                <w:bCs/>
                <w:lang w:val="en-GB"/>
              </w:rPr>
            </w:pPr>
          </w:p>
        </w:tc>
        <w:tc>
          <w:tcPr>
            <w:tcW w:w="8363" w:type="dxa"/>
            <w:gridSpan w:val="2"/>
            <w:vMerge/>
            <w:shd w:val="clear" w:color="auto" w:fill="auto"/>
          </w:tcPr>
          <w:p w14:paraId="3749F022" w14:textId="77777777" w:rsidR="00D74BDE" w:rsidRPr="000E142D" w:rsidRDefault="00D74BDE" w:rsidP="00D74BDE">
            <w:pPr>
              <w:spacing w:before="0"/>
              <w:rPr>
                <w:b/>
                <w:bCs/>
                <w:lang w:val="en-GB"/>
              </w:rPr>
            </w:pPr>
          </w:p>
        </w:tc>
      </w:tr>
      <w:tr w:rsidR="00D74BDE" w:rsidRPr="000E142D" w14:paraId="7CDF0C74" w14:textId="77777777" w:rsidTr="006A1921">
        <w:trPr>
          <w:jc w:val="center"/>
        </w:trPr>
        <w:tc>
          <w:tcPr>
            <w:tcW w:w="1526" w:type="dxa"/>
            <w:shd w:val="clear" w:color="auto" w:fill="auto"/>
          </w:tcPr>
          <w:p w14:paraId="26196DA2" w14:textId="77777777" w:rsidR="00D74BDE" w:rsidRPr="000E142D" w:rsidRDefault="00D74BDE" w:rsidP="00D74BDE">
            <w:pPr>
              <w:spacing w:before="0"/>
              <w:jc w:val="left"/>
              <w:rPr>
                <w:b/>
                <w:bCs/>
                <w:lang w:val="en-GB"/>
              </w:rPr>
            </w:pPr>
          </w:p>
        </w:tc>
        <w:tc>
          <w:tcPr>
            <w:tcW w:w="8363" w:type="dxa"/>
            <w:gridSpan w:val="2"/>
            <w:vMerge/>
            <w:shd w:val="clear" w:color="auto" w:fill="auto"/>
          </w:tcPr>
          <w:p w14:paraId="388FB9FE" w14:textId="77777777" w:rsidR="00D74BDE" w:rsidRPr="000E142D" w:rsidRDefault="00D74BDE" w:rsidP="00D74BDE">
            <w:pPr>
              <w:spacing w:before="0"/>
              <w:rPr>
                <w:b/>
                <w:bCs/>
                <w:lang w:val="en-GB"/>
              </w:rPr>
            </w:pPr>
          </w:p>
        </w:tc>
      </w:tr>
      <w:tr w:rsidR="00D74BDE" w:rsidRPr="000E142D" w14:paraId="202264F2" w14:textId="77777777" w:rsidTr="006A1921">
        <w:trPr>
          <w:jc w:val="center"/>
        </w:trPr>
        <w:tc>
          <w:tcPr>
            <w:tcW w:w="9889" w:type="dxa"/>
            <w:gridSpan w:val="3"/>
            <w:shd w:val="clear" w:color="auto" w:fill="auto"/>
          </w:tcPr>
          <w:p w14:paraId="13EDAD6A" w14:textId="77777777" w:rsidR="00D74BDE" w:rsidRPr="000E142D" w:rsidRDefault="00D74BDE" w:rsidP="00D74BDE">
            <w:pPr>
              <w:spacing w:before="0"/>
              <w:jc w:val="left"/>
              <w:rPr>
                <w:b/>
                <w:bCs/>
                <w:lang w:val="en-GB"/>
              </w:rPr>
            </w:pPr>
          </w:p>
        </w:tc>
      </w:tr>
    </w:tbl>
    <w:p w14:paraId="6D504B59" w14:textId="72112A20" w:rsidR="000D02EC" w:rsidRPr="00F00614" w:rsidRDefault="000D02EC" w:rsidP="004A7DCD">
      <w:pPr>
        <w:pStyle w:val="Normalaftertitle0"/>
        <w:spacing w:before="360"/>
        <w:jc w:val="both"/>
        <w:rPr>
          <w:rFonts w:asciiTheme="minorHAnsi" w:hAnsiTheme="minorHAnsi" w:cstheme="minorHAnsi"/>
        </w:rPr>
      </w:pPr>
      <w:r w:rsidRPr="000E142D">
        <w:rPr>
          <w:rFonts w:asciiTheme="minorHAnsi" w:hAnsiTheme="minorHAnsi" w:cstheme="minorHAnsi"/>
        </w:rPr>
        <w:t xml:space="preserve">At the meeting of Radiocommunication Study Group </w:t>
      </w:r>
      <w:r w:rsidR="00C03F41">
        <w:rPr>
          <w:rFonts w:asciiTheme="minorHAnsi" w:hAnsiTheme="minorHAnsi" w:cstheme="minorHAnsi"/>
        </w:rPr>
        <w:t>6</w:t>
      </w:r>
      <w:r w:rsidRPr="000E142D">
        <w:rPr>
          <w:rFonts w:asciiTheme="minorHAnsi" w:hAnsiTheme="minorHAnsi" w:cstheme="minorHAnsi"/>
        </w:rPr>
        <w:t xml:space="preserve">, </w:t>
      </w:r>
      <w:r w:rsidRPr="00F00614">
        <w:rPr>
          <w:rFonts w:asciiTheme="minorHAnsi" w:hAnsiTheme="minorHAnsi" w:cstheme="minorHAnsi"/>
        </w:rPr>
        <w:t xml:space="preserve">held on </w:t>
      </w:r>
      <w:r w:rsidR="00C03F41" w:rsidRPr="00F00614">
        <w:rPr>
          <w:rFonts w:asciiTheme="minorHAnsi" w:hAnsiTheme="minorHAnsi" w:cstheme="minorHAnsi"/>
        </w:rPr>
        <w:t>15 November</w:t>
      </w:r>
      <w:r w:rsidR="00F877C8" w:rsidRPr="00F00614">
        <w:rPr>
          <w:rFonts w:asciiTheme="minorHAnsi" w:hAnsiTheme="minorHAnsi" w:cstheme="minorHAnsi"/>
        </w:rPr>
        <w:t xml:space="preserve"> </w:t>
      </w:r>
      <w:r w:rsidRPr="00F00614">
        <w:rPr>
          <w:rFonts w:asciiTheme="minorHAnsi" w:hAnsiTheme="minorHAnsi" w:cstheme="minorHAnsi"/>
        </w:rPr>
        <w:t>20</w:t>
      </w:r>
      <w:r w:rsidR="00C03F41" w:rsidRPr="00F00614">
        <w:rPr>
          <w:rFonts w:asciiTheme="minorHAnsi" w:hAnsiTheme="minorHAnsi" w:cstheme="minorHAnsi"/>
        </w:rPr>
        <w:t>24</w:t>
      </w:r>
      <w:r w:rsidRPr="00F00614">
        <w:rPr>
          <w:rFonts w:asciiTheme="minorHAnsi" w:hAnsiTheme="minorHAnsi" w:cstheme="minorHAnsi"/>
        </w:rPr>
        <w:t xml:space="preserve">, the Study Group decided to seek adoption of </w:t>
      </w:r>
      <w:r w:rsidR="00C03F41" w:rsidRPr="00F00614">
        <w:rPr>
          <w:rFonts w:asciiTheme="minorHAnsi" w:hAnsiTheme="minorHAnsi" w:cstheme="minorHAnsi"/>
        </w:rPr>
        <w:t xml:space="preserve">1 </w:t>
      </w:r>
      <w:r w:rsidR="004A116E" w:rsidRPr="00F00614">
        <w:rPr>
          <w:rFonts w:asciiTheme="minorHAnsi" w:hAnsiTheme="minorHAnsi" w:cstheme="minorHAnsi"/>
        </w:rPr>
        <w:t xml:space="preserve">draft </w:t>
      </w:r>
      <w:r w:rsidRPr="00F00614">
        <w:rPr>
          <w:rFonts w:asciiTheme="minorHAnsi" w:hAnsiTheme="minorHAnsi" w:cstheme="minorHAnsi"/>
        </w:rPr>
        <w:t>revised ITU-R Recommendation in accordance with §</w:t>
      </w:r>
      <w:r w:rsidR="00F378FF" w:rsidRPr="00F00614">
        <w:rPr>
          <w:rFonts w:asciiTheme="minorHAnsi" w:hAnsiTheme="minorHAnsi" w:cstheme="minorHAnsi"/>
        </w:rPr>
        <w:t> </w:t>
      </w:r>
      <w:proofErr w:type="spellStart"/>
      <w:r w:rsidRPr="00F00614">
        <w:rPr>
          <w:rFonts w:asciiTheme="minorHAnsi" w:hAnsiTheme="minorHAnsi" w:cstheme="minorHAnsi"/>
        </w:rPr>
        <w:t>A2.6.2.2.3</w:t>
      </w:r>
      <w:proofErr w:type="spellEnd"/>
      <w:r w:rsidRPr="00F00614">
        <w:rPr>
          <w:rFonts w:asciiTheme="minorHAnsi" w:hAnsiTheme="minorHAnsi" w:cstheme="minorHAnsi"/>
        </w:rPr>
        <w:t xml:space="preserve"> of Resolution ITU</w:t>
      </w:r>
      <w:r w:rsidRPr="00F00614">
        <w:rPr>
          <w:rFonts w:asciiTheme="minorHAnsi" w:hAnsiTheme="minorHAnsi" w:cstheme="minorHAnsi"/>
        </w:rPr>
        <w:noBreakHyphen/>
        <w:t>R 1-</w:t>
      </w:r>
      <w:r w:rsidR="003F5E59" w:rsidRPr="00F00614">
        <w:rPr>
          <w:rFonts w:asciiTheme="minorHAnsi" w:hAnsiTheme="minorHAnsi" w:cstheme="minorHAnsi"/>
        </w:rPr>
        <w:t>9</w:t>
      </w:r>
      <w:r w:rsidRPr="00F00614">
        <w:rPr>
          <w:rFonts w:asciiTheme="minorHAnsi" w:hAnsiTheme="minorHAnsi" w:cstheme="minorHAnsi"/>
        </w:rPr>
        <w:t xml:space="preserve"> (Adoption by a Study Group by correspondence). The title and summary of the draft Recommendation are given in the Annex to this letter. </w:t>
      </w:r>
    </w:p>
    <w:p w14:paraId="3C679323" w14:textId="787554D2" w:rsidR="000D02EC" w:rsidRPr="00F00614" w:rsidRDefault="000D02EC" w:rsidP="0055219D">
      <w:pPr>
        <w:tabs>
          <w:tab w:val="left" w:pos="0"/>
          <w:tab w:val="left" w:pos="1134"/>
          <w:tab w:val="left" w:pos="3119"/>
        </w:tabs>
        <w:rPr>
          <w:rFonts w:asciiTheme="minorHAnsi" w:hAnsiTheme="minorHAnsi" w:cstheme="minorHAnsi"/>
          <w:lang w:val="en-GB"/>
        </w:rPr>
      </w:pPr>
      <w:r w:rsidRPr="00F00614">
        <w:rPr>
          <w:rFonts w:asciiTheme="minorHAnsi" w:hAnsiTheme="minorHAnsi" w:cstheme="minorHAnsi"/>
          <w:lang w:val="en-GB"/>
        </w:rPr>
        <w:t xml:space="preserve">The consideration period shall extend for two months ending on </w:t>
      </w:r>
      <w:r w:rsidR="00EE5663">
        <w:rPr>
          <w:rFonts w:asciiTheme="minorHAnsi" w:hAnsiTheme="minorHAnsi" w:cstheme="minorHAnsi"/>
          <w:u w:val="single"/>
          <w:lang w:val="en-GB"/>
        </w:rPr>
        <w:t>3</w:t>
      </w:r>
      <w:r w:rsidR="00C03F41" w:rsidRPr="00F00614">
        <w:rPr>
          <w:rFonts w:asciiTheme="minorHAnsi" w:hAnsiTheme="minorHAnsi" w:cstheme="minorHAnsi"/>
          <w:u w:val="single"/>
          <w:lang w:val="en-GB"/>
        </w:rPr>
        <w:t xml:space="preserve"> </w:t>
      </w:r>
      <w:r w:rsidR="00F9357E">
        <w:rPr>
          <w:rFonts w:asciiTheme="minorHAnsi" w:hAnsiTheme="minorHAnsi" w:cstheme="minorHAnsi"/>
          <w:u w:val="single"/>
          <w:lang w:val="en-GB"/>
        </w:rPr>
        <w:t>February</w:t>
      </w:r>
      <w:r w:rsidR="00C03F41" w:rsidRPr="00F00614">
        <w:rPr>
          <w:rFonts w:asciiTheme="minorHAnsi" w:hAnsiTheme="minorHAnsi" w:cstheme="minorHAnsi"/>
          <w:u w:val="single"/>
          <w:lang w:val="en-GB"/>
        </w:rPr>
        <w:t xml:space="preserve"> 2025</w:t>
      </w:r>
      <w:r w:rsidRPr="00F00614">
        <w:rPr>
          <w:rFonts w:asciiTheme="minorHAnsi" w:hAnsiTheme="minorHAnsi" w:cstheme="minorHAnsi"/>
          <w:lang w:val="en-GB"/>
        </w:rPr>
        <w:t>. If within this period no objections are received from Member States, the approval by consultation procedure of § </w:t>
      </w:r>
      <w:proofErr w:type="spellStart"/>
      <w:r w:rsidRPr="00F00614">
        <w:rPr>
          <w:rFonts w:asciiTheme="minorHAnsi" w:hAnsiTheme="minorHAnsi" w:cstheme="minorHAnsi"/>
          <w:lang w:val="en-GB"/>
        </w:rPr>
        <w:t>A2.6.2.3</w:t>
      </w:r>
      <w:proofErr w:type="spellEnd"/>
      <w:r w:rsidRPr="00F00614">
        <w:rPr>
          <w:rFonts w:asciiTheme="minorHAnsi" w:hAnsiTheme="minorHAnsi" w:cstheme="minorHAnsi"/>
          <w:lang w:val="en-GB"/>
        </w:rPr>
        <w:t xml:space="preserve"> of Resolution ITU</w:t>
      </w:r>
      <w:r w:rsidRPr="00F00614">
        <w:rPr>
          <w:rFonts w:asciiTheme="minorHAnsi" w:hAnsiTheme="minorHAnsi" w:cstheme="minorHAnsi"/>
          <w:lang w:val="en-GB"/>
        </w:rPr>
        <w:noBreakHyphen/>
        <w:t>R 1</w:t>
      </w:r>
      <w:r w:rsidR="00EF6231" w:rsidRPr="00F00614">
        <w:rPr>
          <w:lang w:val="en-GB"/>
        </w:rPr>
        <w:t>-9</w:t>
      </w:r>
      <w:r w:rsidRPr="00F00614">
        <w:rPr>
          <w:rFonts w:asciiTheme="minorHAnsi" w:hAnsiTheme="minorHAnsi" w:cstheme="minorHAnsi"/>
          <w:lang w:val="en-GB"/>
        </w:rPr>
        <w:t xml:space="preserve"> will be initiated. </w:t>
      </w:r>
    </w:p>
    <w:p w14:paraId="6C847EA7" w14:textId="24EC49EB" w:rsidR="000D02EC" w:rsidRPr="00F00614" w:rsidRDefault="000D02EC" w:rsidP="0055219D">
      <w:pPr>
        <w:tabs>
          <w:tab w:val="left" w:pos="0"/>
          <w:tab w:val="left" w:pos="1134"/>
          <w:tab w:val="left" w:pos="3119"/>
        </w:tabs>
        <w:rPr>
          <w:rFonts w:asciiTheme="minorHAnsi" w:hAnsiTheme="minorHAnsi" w:cstheme="minorHAnsi"/>
          <w:lang w:val="en-GB"/>
        </w:rPr>
      </w:pPr>
      <w:r w:rsidRPr="00F00614">
        <w:rPr>
          <w:rFonts w:asciiTheme="minorHAnsi" w:hAnsiTheme="minorHAnsi" w:cstheme="minorHAnsi"/>
          <w:lang w:val="en-GB"/>
        </w:rPr>
        <w:t xml:space="preserve">Any Member State </w:t>
      </w:r>
      <w:bookmarkStart w:id="0" w:name="_Hlk116571750"/>
      <w:r w:rsidR="00B16F23" w:rsidRPr="00F00614">
        <w:rPr>
          <w:szCs w:val="24"/>
        </w:rPr>
        <w:t>raising an objection</w:t>
      </w:r>
      <w:bookmarkEnd w:id="0"/>
      <w:r w:rsidR="00B16F23" w:rsidRPr="00F00614">
        <w:rPr>
          <w:szCs w:val="24"/>
        </w:rPr>
        <w:t xml:space="preserve"> </w:t>
      </w:r>
      <w:r w:rsidRPr="00F00614">
        <w:rPr>
          <w:rFonts w:asciiTheme="minorHAnsi" w:hAnsiTheme="minorHAnsi" w:cstheme="minorHAnsi"/>
          <w:lang w:val="en-GB"/>
        </w:rPr>
        <w:t>to the adoption of the draft Recommendation is requested to inform the Director and the Chair of the Study Group of the reasons for the objection.</w:t>
      </w:r>
    </w:p>
    <w:p w14:paraId="31FBBDD0" w14:textId="17DC8F65" w:rsidR="000D02EC" w:rsidRPr="00F00614" w:rsidRDefault="000D02EC" w:rsidP="00B97FE6">
      <w:pPr>
        <w:rPr>
          <w:lang w:val="en-GB"/>
        </w:rPr>
      </w:pPr>
      <w:r w:rsidRPr="00F00614">
        <w:rPr>
          <w:lang w:val="en-GB"/>
        </w:rPr>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003F5E59" w:rsidRPr="00F00614">
        <w:rPr>
          <w:lang w:val="en-GB"/>
        </w:rPr>
        <w:noBreakHyphen/>
      </w:r>
      <w:r w:rsidRPr="00F00614">
        <w:rPr>
          <w:lang w:val="en-GB"/>
        </w:rPr>
        <w:t>T/ITU</w:t>
      </w:r>
      <w:r w:rsidR="003F5E59" w:rsidRPr="00F00614">
        <w:rPr>
          <w:lang w:val="en-GB"/>
        </w:rPr>
        <w:noBreakHyphen/>
      </w:r>
      <w:r w:rsidRPr="00F00614">
        <w:rPr>
          <w:lang w:val="en-GB"/>
        </w:rPr>
        <w:t xml:space="preserve">R/ISO/IEC is available at </w:t>
      </w:r>
      <w:hyperlink r:id="rId8" w:history="1">
        <w:r w:rsidRPr="00F00614">
          <w:rPr>
            <w:rStyle w:val="Hyperlink"/>
            <w:szCs w:val="24"/>
            <w:lang w:val="en-GB"/>
          </w:rPr>
          <w:t>http://</w:t>
        </w:r>
        <w:proofErr w:type="spellStart"/>
        <w:r w:rsidRPr="00F00614">
          <w:rPr>
            <w:rStyle w:val="Hyperlink"/>
            <w:szCs w:val="24"/>
            <w:lang w:val="en-GB"/>
          </w:rPr>
          <w:t>www.itu.int</w:t>
        </w:r>
        <w:proofErr w:type="spellEnd"/>
        <w:r w:rsidRPr="00F00614">
          <w:rPr>
            <w:rStyle w:val="Hyperlink"/>
            <w:szCs w:val="24"/>
            <w:lang w:val="en-GB"/>
          </w:rPr>
          <w:t>/</w:t>
        </w:r>
        <w:proofErr w:type="spellStart"/>
        <w:r w:rsidRPr="00F00614">
          <w:rPr>
            <w:rStyle w:val="Hyperlink"/>
            <w:szCs w:val="24"/>
            <w:lang w:val="en-GB"/>
          </w:rPr>
          <w:t>en</w:t>
        </w:r>
        <w:proofErr w:type="spellEnd"/>
        <w:r w:rsidRPr="00F00614">
          <w:rPr>
            <w:rStyle w:val="Hyperlink"/>
            <w:szCs w:val="24"/>
            <w:lang w:val="en-GB"/>
          </w:rPr>
          <w:t>/ITU-T/</w:t>
        </w:r>
        <w:proofErr w:type="spellStart"/>
        <w:r w:rsidRPr="00F00614">
          <w:rPr>
            <w:rStyle w:val="Hyperlink"/>
            <w:szCs w:val="24"/>
            <w:lang w:val="en-GB"/>
          </w:rPr>
          <w:t>ipr</w:t>
        </w:r>
        <w:proofErr w:type="spellEnd"/>
        <w:r w:rsidRPr="00F00614">
          <w:rPr>
            <w:rStyle w:val="Hyperlink"/>
            <w:szCs w:val="24"/>
            <w:lang w:val="en-GB"/>
          </w:rPr>
          <w:t>/Pages/</w:t>
        </w:r>
        <w:proofErr w:type="spellStart"/>
        <w:r w:rsidRPr="00F00614">
          <w:rPr>
            <w:rStyle w:val="Hyperlink"/>
            <w:szCs w:val="24"/>
            <w:lang w:val="en-GB"/>
          </w:rPr>
          <w:t>policy.aspx</w:t>
        </w:r>
        <w:proofErr w:type="spellEnd"/>
      </w:hyperlink>
      <w:r w:rsidRPr="00F00614">
        <w:rPr>
          <w:lang w:val="en-GB"/>
        </w:rPr>
        <w:t>.</w:t>
      </w:r>
    </w:p>
    <w:p w14:paraId="21AD92D5" w14:textId="77777777" w:rsidR="000D02EC" w:rsidRPr="00F00614" w:rsidRDefault="000D02EC" w:rsidP="00B97FE6">
      <w:pPr>
        <w:spacing w:before="1200"/>
        <w:jc w:val="left"/>
        <w:rPr>
          <w:rFonts w:asciiTheme="minorHAnsi" w:hAnsiTheme="minorHAnsi" w:cstheme="minorHAnsi"/>
          <w:lang w:val="en-GB"/>
        </w:rPr>
      </w:pPr>
      <w:r w:rsidRPr="00F00614">
        <w:rPr>
          <w:lang w:val="en-GB"/>
        </w:rPr>
        <w:t>Mario Maniewicz</w:t>
      </w:r>
      <w:r w:rsidR="0055219D" w:rsidRPr="00F00614">
        <w:rPr>
          <w:lang w:val="en-GB"/>
        </w:rPr>
        <w:br/>
      </w:r>
      <w:r w:rsidRPr="00F00614">
        <w:rPr>
          <w:rFonts w:asciiTheme="minorHAnsi" w:hAnsiTheme="minorHAnsi" w:cstheme="minorHAnsi"/>
          <w:lang w:val="en-GB"/>
        </w:rPr>
        <w:t>Director</w:t>
      </w:r>
    </w:p>
    <w:p w14:paraId="1AE6A6AF" w14:textId="4D37D834" w:rsidR="000D02EC" w:rsidRPr="00F00614" w:rsidRDefault="000D02EC" w:rsidP="00F00614">
      <w:pPr>
        <w:spacing w:before="1080"/>
        <w:rPr>
          <w:u w:val="single"/>
          <w:lang w:val="en-GB"/>
        </w:rPr>
      </w:pPr>
      <w:r w:rsidRPr="00F00614">
        <w:rPr>
          <w:b/>
          <w:bCs/>
          <w:lang w:val="en-GB"/>
        </w:rPr>
        <w:t>Annex:</w:t>
      </w:r>
      <w:r w:rsidRPr="00F00614">
        <w:rPr>
          <w:lang w:val="en-GB"/>
        </w:rPr>
        <w:tab/>
        <w:t>Title and summary of the draft Recommendation</w:t>
      </w:r>
    </w:p>
    <w:p w14:paraId="1D954EFC" w14:textId="35005E0F" w:rsidR="000D02EC" w:rsidRPr="00F00614" w:rsidRDefault="000D02EC" w:rsidP="00F00614">
      <w:pPr>
        <w:keepNext/>
        <w:keepLines/>
        <w:spacing w:before="600"/>
        <w:rPr>
          <w:lang w:val="fr-FR"/>
        </w:rPr>
      </w:pPr>
      <w:r w:rsidRPr="00F00614">
        <w:rPr>
          <w:b/>
          <w:bCs/>
          <w:lang w:val="fr-FR"/>
        </w:rPr>
        <w:t>Document</w:t>
      </w:r>
      <w:r w:rsidR="00E9360E" w:rsidRPr="00F00614">
        <w:rPr>
          <w:b/>
          <w:bCs/>
          <w:lang w:val="fr-FR"/>
        </w:rPr>
        <w:t>:</w:t>
      </w:r>
      <w:r w:rsidRPr="00F00614">
        <w:rPr>
          <w:b/>
          <w:bCs/>
          <w:lang w:val="fr-FR"/>
        </w:rPr>
        <w:tab/>
      </w:r>
      <w:r w:rsidRPr="00F00614">
        <w:rPr>
          <w:lang w:val="fr-FR"/>
        </w:rPr>
        <w:t xml:space="preserve">Document </w:t>
      </w:r>
      <w:r w:rsidR="00C03F41" w:rsidRPr="00F00614">
        <w:rPr>
          <w:lang w:val="fr-FR"/>
        </w:rPr>
        <w:t>6</w:t>
      </w:r>
      <w:r w:rsidRPr="00F00614">
        <w:rPr>
          <w:lang w:val="fr-FR"/>
        </w:rPr>
        <w:t>/</w:t>
      </w:r>
      <w:r w:rsidR="00C03F41" w:rsidRPr="00F00614">
        <w:rPr>
          <w:lang w:val="fr-FR"/>
        </w:rPr>
        <w:t>74</w:t>
      </w:r>
      <w:r w:rsidRPr="00F00614">
        <w:rPr>
          <w:lang w:val="fr-FR"/>
        </w:rPr>
        <w:t>(</w:t>
      </w:r>
      <w:proofErr w:type="spellStart"/>
      <w:r w:rsidRPr="00F00614">
        <w:rPr>
          <w:lang w:val="fr-FR"/>
        </w:rPr>
        <w:t>Rev.1</w:t>
      </w:r>
      <w:proofErr w:type="spellEnd"/>
      <w:r w:rsidRPr="00F00614">
        <w:rPr>
          <w:lang w:val="fr-FR"/>
        </w:rPr>
        <w:t>)</w:t>
      </w:r>
    </w:p>
    <w:p w14:paraId="086D8E5C" w14:textId="35707FE8" w:rsidR="00C03F41" w:rsidRPr="00F00614" w:rsidRDefault="004A116E" w:rsidP="00F877C8">
      <w:pPr>
        <w:tabs>
          <w:tab w:val="clear" w:pos="1588"/>
          <w:tab w:val="left" w:pos="2552"/>
        </w:tabs>
        <w:spacing w:before="120"/>
        <w:jc w:val="left"/>
        <w:rPr>
          <w:rStyle w:val="Hyperlink"/>
          <w:lang w:val="en-GB"/>
        </w:rPr>
      </w:pPr>
      <w:r w:rsidRPr="00F00614">
        <w:rPr>
          <w:lang w:val="en-GB"/>
        </w:rPr>
        <w:t xml:space="preserve">This </w:t>
      </w:r>
      <w:r w:rsidR="000D02EC" w:rsidRPr="00F00614">
        <w:rPr>
          <w:lang w:val="en-GB"/>
        </w:rPr>
        <w:t xml:space="preserve">document </w:t>
      </w:r>
      <w:r w:rsidRPr="00F00614">
        <w:rPr>
          <w:lang w:val="en-GB"/>
        </w:rPr>
        <w:t>is</w:t>
      </w:r>
      <w:r w:rsidR="000D02EC" w:rsidRPr="00F00614">
        <w:rPr>
          <w:lang w:val="en-GB"/>
        </w:rPr>
        <w:t xml:space="preserve"> available in electronic format at:</w:t>
      </w:r>
      <w:r w:rsidR="00F00614">
        <w:rPr>
          <w:lang w:val="en-GB"/>
        </w:rPr>
        <w:t xml:space="preserve"> </w:t>
      </w:r>
      <w:hyperlink r:id="rId9" w:history="1">
        <w:r w:rsidR="00C03F41" w:rsidRPr="00F00614">
          <w:rPr>
            <w:rStyle w:val="Hyperlink"/>
            <w:lang w:val="en-GB"/>
          </w:rPr>
          <w:t>https://</w:t>
        </w:r>
        <w:proofErr w:type="spellStart"/>
        <w:r w:rsidR="00C03F41" w:rsidRPr="00F00614">
          <w:rPr>
            <w:rStyle w:val="Hyperlink"/>
            <w:lang w:val="en-GB"/>
          </w:rPr>
          <w:t>www.itu.int</w:t>
        </w:r>
        <w:proofErr w:type="spellEnd"/>
        <w:r w:rsidR="00C03F41" w:rsidRPr="00F00614">
          <w:rPr>
            <w:rStyle w:val="Hyperlink"/>
            <w:lang w:val="en-GB"/>
          </w:rPr>
          <w:t>/md/</w:t>
        </w:r>
        <w:proofErr w:type="spellStart"/>
        <w:r w:rsidR="00C03F41" w:rsidRPr="00F00614">
          <w:rPr>
            <w:rStyle w:val="Hyperlink"/>
            <w:lang w:val="en-GB"/>
          </w:rPr>
          <w:t>R23</w:t>
        </w:r>
        <w:proofErr w:type="spellEnd"/>
        <w:r w:rsidR="00C03F41" w:rsidRPr="00F00614">
          <w:rPr>
            <w:rStyle w:val="Hyperlink"/>
            <w:lang w:val="en-GB"/>
          </w:rPr>
          <w:t>-</w:t>
        </w:r>
        <w:proofErr w:type="spellStart"/>
        <w:r w:rsidR="00C03F41" w:rsidRPr="00F00614">
          <w:rPr>
            <w:rStyle w:val="Hyperlink"/>
            <w:lang w:val="en-GB"/>
          </w:rPr>
          <w:t>SG06</w:t>
        </w:r>
        <w:proofErr w:type="spellEnd"/>
        <w:r w:rsidR="00C03F41" w:rsidRPr="00F00614">
          <w:rPr>
            <w:rStyle w:val="Hyperlink"/>
            <w:lang w:val="en-GB"/>
          </w:rPr>
          <w:t>-C/</w:t>
        </w:r>
        <w:proofErr w:type="spellStart"/>
        <w:r w:rsidR="00C03F41" w:rsidRPr="00F00614">
          <w:rPr>
            <w:rStyle w:val="Hyperlink"/>
            <w:lang w:val="en-GB"/>
          </w:rPr>
          <w:t>en</w:t>
        </w:r>
        <w:proofErr w:type="spellEnd"/>
      </w:hyperlink>
    </w:p>
    <w:p w14:paraId="27243D5E" w14:textId="6DFB076E" w:rsidR="00F877C8" w:rsidRPr="00F00614" w:rsidRDefault="000D02EC" w:rsidP="00F877C8">
      <w:pPr>
        <w:tabs>
          <w:tab w:val="clear" w:pos="1588"/>
          <w:tab w:val="left" w:pos="2552"/>
        </w:tabs>
        <w:spacing w:before="120"/>
        <w:jc w:val="left"/>
        <w:rPr>
          <w:sz w:val="16"/>
          <w:u w:val="single"/>
        </w:rPr>
      </w:pPr>
      <w:r w:rsidRPr="00F00614">
        <w:rPr>
          <w:sz w:val="16"/>
          <w:u w:val="single"/>
        </w:rPr>
        <w:br w:type="page"/>
      </w:r>
    </w:p>
    <w:p w14:paraId="21758A00" w14:textId="6283372B" w:rsidR="000D02EC" w:rsidRPr="00F00614" w:rsidRDefault="000D02EC" w:rsidP="00F877C8">
      <w:pPr>
        <w:pStyle w:val="AnnexNoTitle"/>
        <w:rPr>
          <w:sz w:val="28"/>
          <w:szCs w:val="28"/>
        </w:rPr>
      </w:pPr>
      <w:r w:rsidRPr="00F00614">
        <w:rPr>
          <w:sz w:val="28"/>
          <w:szCs w:val="28"/>
        </w:rPr>
        <w:lastRenderedPageBreak/>
        <w:t>Annex</w:t>
      </w:r>
      <w:r w:rsidRPr="00F00614">
        <w:rPr>
          <w:sz w:val="28"/>
          <w:szCs w:val="28"/>
        </w:rPr>
        <w:br/>
      </w:r>
      <w:r w:rsidRPr="00F00614">
        <w:rPr>
          <w:sz w:val="28"/>
          <w:szCs w:val="28"/>
        </w:rPr>
        <w:br/>
        <w:t>Title and summary of the draft Recommendation</w:t>
      </w:r>
    </w:p>
    <w:p w14:paraId="353BE0CA" w14:textId="69CD1DC4" w:rsidR="000D02EC" w:rsidRPr="00F00614" w:rsidRDefault="000D02EC" w:rsidP="006918DC">
      <w:pPr>
        <w:tabs>
          <w:tab w:val="right" w:pos="9639"/>
        </w:tabs>
        <w:spacing w:before="600"/>
        <w:rPr>
          <w:lang w:val="en-GB"/>
        </w:rPr>
      </w:pPr>
      <w:r w:rsidRPr="00F00614">
        <w:rPr>
          <w:u w:val="single"/>
          <w:lang w:val="en-GB"/>
        </w:rPr>
        <w:t xml:space="preserve">Draft revision of Recommendation ITU-R </w:t>
      </w:r>
      <w:proofErr w:type="spellStart"/>
      <w:r w:rsidR="00C03F41" w:rsidRPr="00F00614">
        <w:rPr>
          <w:u w:val="single"/>
          <w:lang w:val="en-GB"/>
        </w:rPr>
        <w:t>BT.1774</w:t>
      </w:r>
      <w:proofErr w:type="spellEnd"/>
      <w:r w:rsidR="00C03F41" w:rsidRPr="00F00614">
        <w:rPr>
          <w:u w:val="single"/>
          <w:lang w:val="en-GB"/>
        </w:rPr>
        <w:t>-2</w:t>
      </w:r>
      <w:r w:rsidRPr="00F00614">
        <w:rPr>
          <w:lang w:val="en-GB"/>
        </w:rPr>
        <w:tab/>
        <w:t xml:space="preserve">Doc. </w:t>
      </w:r>
      <w:r w:rsidR="00C03F41" w:rsidRPr="00F00614">
        <w:rPr>
          <w:lang w:val="en-GB"/>
        </w:rPr>
        <w:t>6</w:t>
      </w:r>
      <w:r w:rsidRPr="00F00614">
        <w:rPr>
          <w:lang w:val="en-GB"/>
        </w:rPr>
        <w:t>/</w:t>
      </w:r>
      <w:r w:rsidR="00C03F41" w:rsidRPr="00F00614">
        <w:rPr>
          <w:lang w:val="en-GB"/>
        </w:rPr>
        <w:t>74</w:t>
      </w:r>
      <w:r w:rsidRPr="00F00614">
        <w:rPr>
          <w:lang w:val="en-GB"/>
        </w:rPr>
        <w:t>(</w:t>
      </w:r>
      <w:proofErr w:type="spellStart"/>
      <w:r w:rsidRPr="00F00614">
        <w:rPr>
          <w:lang w:val="en-GB"/>
        </w:rPr>
        <w:t>Rev.1</w:t>
      </w:r>
      <w:proofErr w:type="spellEnd"/>
      <w:r w:rsidRPr="00F00614">
        <w:rPr>
          <w:lang w:val="en-GB"/>
        </w:rPr>
        <w:t>)</w:t>
      </w:r>
    </w:p>
    <w:p w14:paraId="3CB1059A" w14:textId="2C96221B" w:rsidR="00F86CD9" w:rsidRDefault="00C03F41" w:rsidP="00C03F41">
      <w:pPr>
        <w:pStyle w:val="Rectitle"/>
        <w:rPr>
          <w:szCs w:val="28"/>
        </w:rPr>
      </w:pPr>
      <w:r w:rsidRPr="00F00614">
        <w:rPr>
          <w:lang w:eastAsia="ja-JP"/>
        </w:rPr>
        <w:t>Use</w:t>
      </w:r>
      <w:r w:rsidRPr="00F00614">
        <w:t xml:space="preserve"> of </w:t>
      </w:r>
      <w:r w:rsidRPr="00F00614">
        <w:rPr>
          <w:lang w:eastAsia="ja-JP"/>
        </w:rPr>
        <w:t xml:space="preserve">satellite and </w:t>
      </w:r>
      <w:r w:rsidRPr="00F00614">
        <w:t>terrestrial broadcast infrastructures for</w:t>
      </w:r>
      <w:r w:rsidRPr="00E57DE6">
        <w:br/>
        <w:t>public warning, disaster mitigation</w:t>
      </w:r>
      <w:r w:rsidRPr="00E57DE6">
        <w:rPr>
          <w:lang w:eastAsia="ja-JP"/>
        </w:rPr>
        <w:t xml:space="preserve"> </w:t>
      </w:r>
      <w:r w:rsidRPr="00E57DE6">
        <w:rPr>
          <w:szCs w:val="28"/>
        </w:rPr>
        <w:t>and relief</w:t>
      </w:r>
    </w:p>
    <w:p w14:paraId="5358B738" w14:textId="77777777" w:rsidR="00C03F41" w:rsidRPr="00F00614" w:rsidRDefault="00C03F41" w:rsidP="00C03F41">
      <w:pPr>
        <w:tabs>
          <w:tab w:val="clear" w:pos="794"/>
          <w:tab w:val="clear" w:pos="1191"/>
          <w:tab w:val="clear" w:pos="1588"/>
          <w:tab w:val="clear" w:pos="1985"/>
          <w:tab w:val="left" w:pos="1134"/>
          <w:tab w:val="left" w:pos="1871"/>
          <w:tab w:val="left" w:pos="2608"/>
          <w:tab w:val="left" w:pos="3345"/>
        </w:tabs>
        <w:spacing w:before="240" w:line="240" w:lineRule="auto"/>
        <w:ind w:left="1134" w:hanging="1134"/>
        <w:rPr>
          <w:rFonts w:asciiTheme="minorHAnsi" w:hAnsiTheme="minorHAnsi" w:cstheme="minorHAnsi"/>
          <w:szCs w:val="20"/>
          <w:lang w:val="en-GB"/>
        </w:rPr>
      </w:pPr>
      <w:r w:rsidRPr="00F00614">
        <w:rPr>
          <w:rFonts w:asciiTheme="minorHAnsi" w:eastAsia="Malgun Gothic" w:hAnsiTheme="minorHAnsi" w:cstheme="minorHAnsi"/>
          <w:szCs w:val="20"/>
          <w:lang w:val="en-GB" w:eastAsia="ko-KR"/>
        </w:rPr>
        <w:t>–</w:t>
      </w:r>
      <w:r w:rsidRPr="00F00614">
        <w:rPr>
          <w:rFonts w:asciiTheme="minorHAnsi" w:eastAsia="Malgun Gothic" w:hAnsiTheme="minorHAnsi" w:cstheme="minorHAnsi"/>
          <w:szCs w:val="20"/>
          <w:lang w:val="en-GB" w:eastAsia="ko-KR"/>
        </w:rPr>
        <w:tab/>
        <w:t xml:space="preserve">Addition of a new </w:t>
      </w:r>
      <w:r w:rsidRPr="00F00614">
        <w:rPr>
          <w:rFonts w:asciiTheme="minorHAnsi" w:eastAsia="Malgun Gothic" w:hAnsiTheme="minorHAnsi" w:cstheme="minorHAnsi"/>
          <w:i/>
          <w:iCs/>
          <w:szCs w:val="20"/>
          <w:lang w:val="en-GB" w:eastAsia="ko-KR"/>
        </w:rPr>
        <w:t>recommends</w:t>
      </w:r>
      <w:r w:rsidRPr="00F00614">
        <w:rPr>
          <w:rFonts w:asciiTheme="minorHAnsi" w:eastAsia="Malgun Gothic" w:hAnsiTheme="minorHAnsi" w:cstheme="minorHAnsi"/>
          <w:szCs w:val="20"/>
          <w:lang w:val="en-GB" w:eastAsia="ko-KR"/>
        </w:rPr>
        <w:t xml:space="preserve"> 6 and renumbering of the followings.</w:t>
      </w:r>
    </w:p>
    <w:p w14:paraId="0D79BFDB" w14:textId="77777777" w:rsidR="00C03F41" w:rsidRPr="00F00614" w:rsidRDefault="00C03F41" w:rsidP="00F00614">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 xml:space="preserve">Addition of a new </w:t>
      </w:r>
      <w:r w:rsidRPr="00F00614">
        <w:rPr>
          <w:rFonts w:asciiTheme="minorHAnsi" w:eastAsia="Malgun Gothic" w:hAnsiTheme="minorHAnsi" w:cstheme="minorHAnsi"/>
          <w:i/>
          <w:iCs/>
          <w:szCs w:val="20"/>
          <w:lang w:val="en-GB" w:eastAsia="ko-KR"/>
        </w:rPr>
        <w:t>recognizing a)</w:t>
      </w:r>
      <w:r w:rsidRPr="00F00614">
        <w:rPr>
          <w:rFonts w:asciiTheme="minorHAnsi" w:eastAsia="Malgun Gothic" w:hAnsiTheme="minorHAnsi" w:cstheme="minorHAnsi"/>
          <w:szCs w:val="20"/>
          <w:lang w:val="en-GB" w:eastAsia="ko-KR"/>
        </w:rPr>
        <w:t xml:space="preserve"> and renaming of the followings.</w:t>
      </w:r>
    </w:p>
    <w:p w14:paraId="12C1E63D" w14:textId="77777777" w:rsidR="00C03F41" w:rsidRPr="00F00614" w:rsidRDefault="00C03F41" w:rsidP="00F00614">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Appendix 1 to Annex 1 has been changed into Attachment 1 (Informative) to Annex 1.</w:t>
      </w:r>
    </w:p>
    <w:p w14:paraId="33AA760C" w14:textId="77777777" w:rsidR="00C03F41" w:rsidRPr="00F00614" w:rsidRDefault="00C03F41" w:rsidP="00F00614">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 xml:space="preserve">Addition of two new </w:t>
      </w:r>
      <w:r w:rsidRPr="00F00614">
        <w:rPr>
          <w:rFonts w:asciiTheme="minorHAnsi" w:hAnsiTheme="minorHAnsi" w:cstheme="minorHAnsi"/>
          <w:szCs w:val="20"/>
          <w:lang w:val="en-GB" w:eastAsia="ja-JP"/>
        </w:rPr>
        <w:t>sections 4 and 5 in Attachment 1 to Annex 1</w:t>
      </w:r>
      <w:r w:rsidRPr="00F00614">
        <w:rPr>
          <w:rFonts w:asciiTheme="minorHAnsi" w:eastAsia="Malgun Gothic" w:hAnsiTheme="minorHAnsi" w:cstheme="minorHAnsi"/>
          <w:szCs w:val="20"/>
          <w:lang w:val="en-GB" w:eastAsia="ko-KR"/>
        </w:rPr>
        <w:t xml:space="preserve"> to include emergency warning system (</w:t>
      </w:r>
      <w:proofErr w:type="spellStart"/>
      <w:r w:rsidRPr="00F00614">
        <w:rPr>
          <w:rFonts w:asciiTheme="minorHAnsi" w:eastAsia="Malgun Gothic" w:hAnsiTheme="minorHAnsi" w:cstheme="minorHAnsi"/>
          <w:szCs w:val="20"/>
          <w:lang w:val="en-GB" w:eastAsia="ko-KR"/>
        </w:rPr>
        <w:t>EWS</w:t>
      </w:r>
      <w:proofErr w:type="spellEnd"/>
      <w:r w:rsidRPr="00F00614">
        <w:rPr>
          <w:rFonts w:asciiTheme="minorHAnsi" w:eastAsia="Malgun Gothic" w:hAnsiTheme="minorHAnsi" w:cstheme="minorHAnsi"/>
          <w:szCs w:val="20"/>
          <w:lang w:val="en-GB" w:eastAsia="ko-KR"/>
        </w:rPr>
        <w:t>) and Common Alerting Protocol (CAP) related to the features of the ATSC 3.0 broadcasting system.</w:t>
      </w:r>
    </w:p>
    <w:p w14:paraId="2D7F7391" w14:textId="77777777" w:rsidR="00C03F41" w:rsidRPr="00F00614" w:rsidRDefault="00C03F41" w:rsidP="00F00614">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 xml:space="preserve">Addition of a new section 6 in Attachment 1 to Annex 1 to include “Public Warning Systems for LTE-based </w:t>
      </w:r>
      <w:proofErr w:type="spellStart"/>
      <w:r w:rsidRPr="00F00614">
        <w:rPr>
          <w:rFonts w:asciiTheme="minorHAnsi" w:eastAsia="Malgun Gothic" w:hAnsiTheme="minorHAnsi" w:cstheme="minorHAnsi"/>
          <w:szCs w:val="20"/>
          <w:lang w:val="en-GB" w:eastAsia="ko-KR"/>
        </w:rPr>
        <w:t>5G</w:t>
      </w:r>
      <w:proofErr w:type="spellEnd"/>
      <w:r w:rsidRPr="00F00614">
        <w:rPr>
          <w:rFonts w:asciiTheme="minorHAnsi" w:eastAsia="Malgun Gothic" w:hAnsiTheme="minorHAnsi" w:cstheme="minorHAnsi"/>
          <w:szCs w:val="20"/>
          <w:lang w:val="en-GB" w:eastAsia="ko-KR"/>
        </w:rPr>
        <w:t xml:space="preserve"> Broadcast System”.</w:t>
      </w:r>
    </w:p>
    <w:p w14:paraId="0D8146EA" w14:textId="77777777" w:rsidR="00C03F41" w:rsidRPr="00F00614" w:rsidRDefault="00C03F41" w:rsidP="00F00614">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Addition of new Annex 3 on</w:t>
      </w:r>
      <w:r w:rsidRPr="00F00614">
        <w:rPr>
          <w:rFonts w:asciiTheme="minorHAnsi" w:hAnsiTheme="minorHAnsi" w:cstheme="minorHAnsi"/>
          <w:szCs w:val="20"/>
          <w:lang w:val="en-GB"/>
        </w:rPr>
        <w:t xml:space="preserve"> common emergency warning system control signal for digital broadcasting.</w:t>
      </w:r>
    </w:p>
    <w:p w14:paraId="338A2C31" w14:textId="77777777" w:rsidR="00C03F41" w:rsidRPr="00F00614" w:rsidRDefault="00C03F41" w:rsidP="00F00614">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hAnsiTheme="minorHAnsi" w:cstheme="minorHAnsi"/>
          <w:szCs w:val="20"/>
          <w:lang w:val="en-GB" w:eastAsia="ja-JP"/>
        </w:rPr>
        <w:t>Addition of list of abbreviations, editorial adjustments and update of some references.</w:t>
      </w:r>
    </w:p>
    <w:p w14:paraId="2CD9ADAD" w14:textId="77777777" w:rsidR="00C03F41" w:rsidRPr="00F00614" w:rsidRDefault="00C03F41" w:rsidP="00C03F41"/>
    <w:p w14:paraId="6E30B604" w14:textId="77777777" w:rsidR="00453E22" w:rsidRPr="000E142D" w:rsidRDefault="00453E22" w:rsidP="00C03F41">
      <w:pPr>
        <w:rPr>
          <w:lang w:val="en-GB"/>
        </w:rPr>
      </w:pPr>
    </w:p>
    <w:p w14:paraId="5DC3BCD3" w14:textId="77777777" w:rsidR="00453E22" w:rsidRPr="000E142D" w:rsidRDefault="00453E22" w:rsidP="00453E22">
      <w:pPr>
        <w:jc w:val="center"/>
        <w:rPr>
          <w:lang w:val="en-GB"/>
        </w:rPr>
      </w:pPr>
      <w:r w:rsidRPr="000E142D">
        <w:rPr>
          <w:lang w:val="en-GB"/>
        </w:rPr>
        <w:t>______________</w:t>
      </w:r>
    </w:p>
    <w:sectPr w:rsidR="00453E22" w:rsidRPr="000E142D"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217E" w14:textId="77777777" w:rsidR="00941E6E" w:rsidRDefault="00941E6E">
      <w:r>
        <w:separator/>
      </w:r>
    </w:p>
  </w:endnote>
  <w:endnote w:type="continuationSeparator" w:id="0">
    <w:p w14:paraId="3BC99856"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5CDD" w14:textId="19D9BCCD" w:rsidR="003F5E59" w:rsidRPr="00CD7D59" w:rsidRDefault="003F5E59" w:rsidP="00CD7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3AE14" w14:textId="77777777" w:rsidR="00282CF5" w:rsidRDefault="00282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E17D" w14:textId="7B43F4A7" w:rsidR="00AD4554" w:rsidRPr="0055219D" w:rsidRDefault="00941E6E" w:rsidP="00F86CD9">
    <w:pPr>
      <w:pStyle w:val="FirstFooter"/>
      <w:spacing w:line="240" w:lineRule="auto"/>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Tel</w:t>
    </w:r>
    <w:r w:rsidR="00F378FF">
      <w:rPr>
        <w:color w:val="4F81BD" w:themeColor="accent1"/>
        <w:sz w:val="19"/>
        <w:szCs w:val="19"/>
        <w:lang w:val="en-GB"/>
      </w:rPr>
      <w:t>.</w:t>
    </w:r>
    <w:r w:rsidRPr="0055219D">
      <w:rPr>
        <w:color w:val="4F81BD" w:themeColor="accent1"/>
        <w:sz w:val="19"/>
        <w:szCs w:val="19"/>
        <w:lang w:val="en-GB"/>
      </w:rPr>
      <w:t xml:space="preserve">: +41 22 730 5111 • E-mail: </w:t>
    </w:r>
    <w:hyperlink r:id="rId1" w:history="1">
      <w:proofErr w:type="spellStart"/>
      <w:r w:rsidRPr="0055219D">
        <w:rPr>
          <w:rStyle w:val="Hyperlink"/>
          <w:sz w:val="19"/>
          <w:szCs w:val="19"/>
          <w:lang w:val="en-GB"/>
        </w:rPr>
        <w:t>itumail@itu.int</w:t>
      </w:r>
      <w:proofErr w:type="spellEnd"/>
    </w:hyperlink>
    <w:r w:rsidRPr="0055219D">
      <w:rPr>
        <w:color w:val="4F81BD" w:themeColor="accent1"/>
        <w:sz w:val="19"/>
        <w:szCs w:val="19"/>
        <w:lang w:val="en-GB"/>
      </w:rPr>
      <w:t xml:space="preserve"> </w:t>
    </w:r>
    <w:r w:rsidRPr="00F378FF">
      <w:rPr>
        <w:color w:val="4F81BD" w:themeColor="accent1"/>
        <w:sz w:val="19"/>
        <w:szCs w:val="19"/>
        <w:lang w:val="en-GB"/>
      </w:rPr>
      <w:t>• Fax: +41 22 733 7256 •</w:t>
    </w:r>
    <w:r w:rsidRPr="00621F01">
      <w:rPr>
        <w:color w:val="4F81BD"/>
        <w:sz w:val="19"/>
        <w:szCs w:val="19"/>
        <w:lang w:val="en-GB"/>
      </w:rPr>
      <w:t xml:space="preserve"> </w:t>
    </w:r>
    <w:hyperlink r:id="rId2" w:history="1">
      <w:proofErr w:type="spellStart"/>
      <w:r w:rsidR="0055219D" w:rsidRPr="0055219D">
        <w:rPr>
          <w:rStyle w:val="Hyperlink"/>
          <w:sz w:val="19"/>
          <w:szCs w:val="19"/>
          <w:lang w:val="en-GB"/>
        </w:rPr>
        <w:t>www.itu.int</w:t>
      </w:r>
      <w:proofErr w:type="spellEnd"/>
    </w:hyperlink>
    <w:r w:rsidR="0055219D"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F43F3" w14:textId="77777777" w:rsidR="00941E6E" w:rsidRDefault="00941E6E">
      <w:r>
        <w:t>____________________</w:t>
      </w:r>
    </w:p>
  </w:footnote>
  <w:footnote w:type="continuationSeparator" w:id="0">
    <w:p w14:paraId="6B310215"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02B3" w14:textId="7A4D2956" w:rsidR="00FC6F6B" w:rsidRPr="00FC6F6B" w:rsidRDefault="006231F4" w:rsidP="0055219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63C52">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BEDF" w14:textId="5E7F2144" w:rsidR="00E915AF" w:rsidRPr="009141F0" w:rsidRDefault="009141F0" w:rsidP="00E9360E">
    <w:pPr>
      <w:pStyle w:val="Header"/>
      <w:jc w:val="center"/>
      <w:rPr>
        <w:iCs/>
        <w:sz w:val="18"/>
        <w:szCs w:val="16"/>
      </w:rPr>
    </w:pPr>
    <w:r>
      <w:rPr>
        <w:sz w:val="22"/>
        <w:szCs w:val="20"/>
      </w:rPr>
      <w:t xml:space="preserve">- </w:t>
    </w:r>
    <w:r w:rsidR="00E915AF" w:rsidRPr="009141F0">
      <w:rPr>
        <w:iCs/>
        <w:sz w:val="18"/>
        <w:szCs w:val="16"/>
      </w:rPr>
      <w:fldChar w:fldCharType="begin"/>
    </w:r>
    <w:r w:rsidR="00E915AF" w:rsidRPr="009141F0">
      <w:rPr>
        <w:iCs/>
        <w:sz w:val="18"/>
        <w:szCs w:val="16"/>
      </w:rPr>
      <w:instrText xml:space="preserve"> PAGE  \* MERGEFORMAT </w:instrText>
    </w:r>
    <w:r w:rsidR="00E915AF" w:rsidRPr="009141F0">
      <w:rPr>
        <w:iCs/>
        <w:sz w:val="18"/>
        <w:szCs w:val="16"/>
      </w:rPr>
      <w:fldChar w:fldCharType="separate"/>
    </w:r>
    <w:r w:rsidR="00063C52">
      <w:rPr>
        <w:iCs/>
        <w:noProof/>
        <w:sz w:val="18"/>
        <w:szCs w:val="16"/>
      </w:rPr>
      <w:t>3</w:t>
    </w:r>
    <w:r w:rsidR="00E915AF" w:rsidRPr="009141F0">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8B53" w14:textId="27A1809C" w:rsidR="003F5E59" w:rsidRDefault="003F5E59" w:rsidP="003F5E59">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6136B9B4" wp14:editId="0B7F245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01D05FC"/>
    <w:multiLevelType w:val="hybridMultilevel"/>
    <w:tmpl w:val="E3ACF098"/>
    <w:lvl w:ilvl="0" w:tplc="AF386E3E">
      <w:start w:val="7"/>
      <w:numFmt w:val="bullet"/>
      <w:lvlText w:val="–"/>
      <w:lvlJc w:val="left"/>
      <w:pPr>
        <w:ind w:left="1080" w:hanging="360"/>
      </w:pPr>
      <w:rPr>
        <w:rFonts w:ascii="Times New Roman" w:eastAsia="Malgun Gothic"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14059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7040">
    <w:abstractNumId w:val="4"/>
  </w:num>
  <w:num w:numId="3" w16cid:durableId="272858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2973"/>
    <w:rsid w:val="00063C52"/>
    <w:rsid w:val="00070258"/>
    <w:rsid w:val="0007323C"/>
    <w:rsid w:val="00086D03"/>
    <w:rsid w:val="000A096A"/>
    <w:rsid w:val="000A375E"/>
    <w:rsid w:val="000A7051"/>
    <w:rsid w:val="000B0AF6"/>
    <w:rsid w:val="000B0E9B"/>
    <w:rsid w:val="000B2CAE"/>
    <w:rsid w:val="000C03C7"/>
    <w:rsid w:val="000C2AD0"/>
    <w:rsid w:val="000D02EC"/>
    <w:rsid w:val="000E142D"/>
    <w:rsid w:val="000E3DEE"/>
    <w:rsid w:val="00100B72"/>
    <w:rsid w:val="00101F7D"/>
    <w:rsid w:val="00103C76"/>
    <w:rsid w:val="00104C35"/>
    <w:rsid w:val="0011265F"/>
    <w:rsid w:val="0011321A"/>
    <w:rsid w:val="00117282"/>
    <w:rsid w:val="00117389"/>
    <w:rsid w:val="00121C2D"/>
    <w:rsid w:val="00134404"/>
    <w:rsid w:val="00144DFB"/>
    <w:rsid w:val="0014621F"/>
    <w:rsid w:val="00151761"/>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7387A"/>
    <w:rsid w:val="00282CF5"/>
    <w:rsid w:val="002835C3"/>
    <w:rsid w:val="00283C3B"/>
    <w:rsid w:val="002861E6"/>
    <w:rsid w:val="00287D18"/>
    <w:rsid w:val="002A2618"/>
    <w:rsid w:val="002A2957"/>
    <w:rsid w:val="002A5DD7"/>
    <w:rsid w:val="002B0CAC"/>
    <w:rsid w:val="002D5A15"/>
    <w:rsid w:val="002D5BDD"/>
    <w:rsid w:val="002E3D27"/>
    <w:rsid w:val="002F0890"/>
    <w:rsid w:val="002F2531"/>
    <w:rsid w:val="002F4967"/>
    <w:rsid w:val="002F647F"/>
    <w:rsid w:val="00316935"/>
    <w:rsid w:val="003247C4"/>
    <w:rsid w:val="003266ED"/>
    <w:rsid w:val="003370B8"/>
    <w:rsid w:val="003443EB"/>
    <w:rsid w:val="00345D38"/>
    <w:rsid w:val="00352097"/>
    <w:rsid w:val="00361111"/>
    <w:rsid w:val="003666FF"/>
    <w:rsid w:val="0037309C"/>
    <w:rsid w:val="00380A6E"/>
    <w:rsid w:val="003836D4"/>
    <w:rsid w:val="003A1F49"/>
    <w:rsid w:val="003A5D52"/>
    <w:rsid w:val="003B2BDA"/>
    <w:rsid w:val="003B55EC"/>
    <w:rsid w:val="003C2EA7"/>
    <w:rsid w:val="003C4471"/>
    <w:rsid w:val="003C7D41"/>
    <w:rsid w:val="003D4A69"/>
    <w:rsid w:val="003E504F"/>
    <w:rsid w:val="003E78D6"/>
    <w:rsid w:val="003F5E59"/>
    <w:rsid w:val="00400573"/>
    <w:rsid w:val="004007A3"/>
    <w:rsid w:val="00406D71"/>
    <w:rsid w:val="004269E0"/>
    <w:rsid w:val="004326DB"/>
    <w:rsid w:val="0043682E"/>
    <w:rsid w:val="00436CD1"/>
    <w:rsid w:val="00447ECB"/>
    <w:rsid w:val="00453E22"/>
    <w:rsid w:val="004623F7"/>
    <w:rsid w:val="00464985"/>
    <w:rsid w:val="00480F51"/>
    <w:rsid w:val="00481124"/>
    <w:rsid w:val="004815EB"/>
    <w:rsid w:val="00482DEA"/>
    <w:rsid w:val="00487569"/>
    <w:rsid w:val="00496864"/>
    <w:rsid w:val="00496920"/>
    <w:rsid w:val="004A116E"/>
    <w:rsid w:val="004A4496"/>
    <w:rsid w:val="004A50A9"/>
    <w:rsid w:val="004A7DCD"/>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219D"/>
    <w:rsid w:val="00553DD7"/>
    <w:rsid w:val="005638CF"/>
    <w:rsid w:val="0056741E"/>
    <w:rsid w:val="0057325A"/>
    <w:rsid w:val="0057469A"/>
    <w:rsid w:val="00580814"/>
    <w:rsid w:val="00583A0B"/>
    <w:rsid w:val="005A03A3"/>
    <w:rsid w:val="005A2B92"/>
    <w:rsid w:val="005A79E9"/>
    <w:rsid w:val="005B214C"/>
    <w:rsid w:val="005B7FB9"/>
    <w:rsid w:val="005D3669"/>
    <w:rsid w:val="005E5EB3"/>
    <w:rsid w:val="005F3CB6"/>
    <w:rsid w:val="005F657C"/>
    <w:rsid w:val="00602D53"/>
    <w:rsid w:val="006047E5"/>
    <w:rsid w:val="0060635C"/>
    <w:rsid w:val="00621F01"/>
    <w:rsid w:val="006231F4"/>
    <w:rsid w:val="00641DBF"/>
    <w:rsid w:val="0064371D"/>
    <w:rsid w:val="00650B2A"/>
    <w:rsid w:val="00651777"/>
    <w:rsid w:val="006550F8"/>
    <w:rsid w:val="00656226"/>
    <w:rsid w:val="006829F3"/>
    <w:rsid w:val="006918DC"/>
    <w:rsid w:val="006A1921"/>
    <w:rsid w:val="006A518B"/>
    <w:rsid w:val="006B0590"/>
    <w:rsid w:val="006B49DA"/>
    <w:rsid w:val="006B4C75"/>
    <w:rsid w:val="006C53F8"/>
    <w:rsid w:val="006C7CDE"/>
    <w:rsid w:val="00714B22"/>
    <w:rsid w:val="007234B1"/>
    <w:rsid w:val="00723D08"/>
    <w:rsid w:val="00725FDA"/>
    <w:rsid w:val="00727816"/>
    <w:rsid w:val="00730B9A"/>
    <w:rsid w:val="00735A1C"/>
    <w:rsid w:val="00746876"/>
    <w:rsid w:val="00750CFA"/>
    <w:rsid w:val="007553DA"/>
    <w:rsid w:val="00782354"/>
    <w:rsid w:val="007921A7"/>
    <w:rsid w:val="007B3DB1"/>
    <w:rsid w:val="007C4AB2"/>
    <w:rsid w:val="007D183E"/>
    <w:rsid w:val="007D43D0"/>
    <w:rsid w:val="007E1833"/>
    <w:rsid w:val="007E3F13"/>
    <w:rsid w:val="007F751A"/>
    <w:rsid w:val="00800012"/>
    <w:rsid w:val="008016AE"/>
    <w:rsid w:val="0080261F"/>
    <w:rsid w:val="00806160"/>
    <w:rsid w:val="008143A4"/>
    <w:rsid w:val="0081513E"/>
    <w:rsid w:val="00854131"/>
    <w:rsid w:val="0085652D"/>
    <w:rsid w:val="0087694B"/>
    <w:rsid w:val="00880F4D"/>
    <w:rsid w:val="008957FB"/>
    <w:rsid w:val="008B35A3"/>
    <w:rsid w:val="008B37E1"/>
    <w:rsid w:val="008B45F8"/>
    <w:rsid w:val="008C2E74"/>
    <w:rsid w:val="008D5409"/>
    <w:rsid w:val="008E006D"/>
    <w:rsid w:val="008E38B4"/>
    <w:rsid w:val="008F4F21"/>
    <w:rsid w:val="00904D4A"/>
    <w:rsid w:val="009141F0"/>
    <w:rsid w:val="009151BA"/>
    <w:rsid w:val="00922C91"/>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140F"/>
    <w:rsid w:val="009D51A2"/>
    <w:rsid w:val="009E04A8"/>
    <w:rsid w:val="009E4AEC"/>
    <w:rsid w:val="009E50C2"/>
    <w:rsid w:val="009E5BD8"/>
    <w:rsid w:val="009E681E"/>
    <w:rsid w:val="00A10659"/>
    <w:rsid w:val="00A119E6"/>
    <w:rsid w:val="00A20B7F"/>
    <w:rsid w:val="00A20FBC"/>
    <w:rsid w:val="00A31370"/>
    <w:rsid w:val="00A34D6F"/>
    <w:rsid w:val="00A41F91"/>
    <w:rsid w:val="00A52F57"/>
    <w:rsid w:val="00A55544"/>
    <w:rsid w:val="00A63355"/>
    <w:rsid w:val="00A722D9"/>
    <w:rsid w:val="00A7596D"/>
    <w:rsid w:val="00A963DF"/>
    <w:rsid w:val="00AC0C22"/>
    <w:rsid w:val="00AC3896"/>
    <w:rsid w:val="00AD2CF2"/>
    <w:rsid w:val="00AD4554"/>
    <w:rsid w:val="00AE2D88"/>
    <w:rsid w:val="00AE6F6F"/>
    <w:rsid w:val="00AF3325"/>
    <w:rsid w:val="00AF34D9"/>
    <w:rsid w:val="00AF70DA"/>
    <w:rsid w:val="00B019D3"/>
    <w:rsid w:val="00B16F23"/>
    <w:rsid w:val="00B34CF9"/>
    <w:rsid w:val="00B37559"/>
    <w:rsid w:val="00B4054B"/>
    <w:rsid w:val="00B579B0"/>
    <w:rsid w:val="00B57D11"/>
    <w:rsid w:val="00B649D7"/>
    <w:rsid w:val="00B77949"/>
    <w:rsid w:val="00B81C2F"/>
    <w:rsid w:val="00B862A0"/>
    <w:rsid w:val="00B90743"/>
    <w:rsid w:val="00B90C45"/>
    <w:rsid w:val="00B933BE"/>
    <w:rsid w:val="00B940C2"/>
    <w:rsid w:val="00B97FE6"/>
    <w:rsid w:val="00BA072F"/>
    <w:rsid w:val="00BD6738"/>
    <w:rsid w:val="00BD7E5E"/>
    <w:rsid w:val="00BE63DB"/>
    <w:rsid w:val="00BE6574"/>
    <w:rsid w:val="00C03F41"/>
    <w:rsid w:val="00C07319"/>
    <w:rsid w:val="00C16FD2"/>
    <w:rsid w:val="00C4395E"/>
    <w:rsid w:val="00C47FFD"/>
    <w:rsid w:val="00C51E92"/>
    <w:rsid w:val="00C57E2C"/>
    <w:rsid w:val="00C608B7"/>
    <w:rsid w:val="00C66F24"/>
    <w:rsid w:val="00C76D7F"/>
    <w:rsid w:val="00C813AA"/>
    <w:rsid w:val="00C818D7"/>
    <w:rsid w:val="00C9291E"/>
    <w:rsid w:val="00CA374A"/>
    <w:rsid w:val="00CA3F44"/>
    <w:rsid w:val="00CA4E58"/>
    <w:rsid w:val="00CA6B61"/>
    <w:rsid w:val="00CB3771"/>
    <w:rsid w:val="00CB44BF"/>
    <w:rsid w:val="00CB5153"/>
    <w:rsid w:val="00CB55EA"/>
    <w:rsid w:val="00CD4E44"/>
    <w:rsid w:val="00CD7D59"/>
    <w:rsid w:val="00CE076A"/>
    <w:rsid w:val="00CE463D"/>
    <w:rsid w:val="00D0338E"/>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35F4C"/>
    <w:rsid w:val="00E428AB"/>
    <w:rsid w:val="00E438E8"/>
    <w:rsid w:val="00E453A3"/>
    <w:rsid w:val="00E520E2"/>
    <w:rsid w:val="00E530C4"/>
    <w:rsid w:val="00E55996"/>
    <w:rsid w:val="00E64254"/>
    <w:rsid w:val="00E67928"/>
    <w:rsid w:val="00E70FB5"/>
    <w:rsid w:val="00E915AF"/>
    <w:rsid w:val="00E9360E"/>
    <w:rsid w:val="00E96415"/>
    <w:rsid w:val="00EA15B3"/>
    <w:rsid w:val="00EB2358"/>
    <w:rsid w:val="00EB3EB8"/>
    <w:rsid w:val="00EC02FE"/>
    <w:rsid w:val="00EC4A96"/>
    <w:rsid w:val="00EE5663"/>
    <w:rsid w:val="00EF6231"/>
    <w:rsid w:val="00F00614"/>
    <w:rsid w:val="00F378FF"/>
    <w:rsid w:val="00F424BF"/>
    <w:rsid w:val="00F44FC3"/>
    <w:rsid w:val="00F46107"/>
    <w:rsid w:val="00F468C5"/>
    <w:rsid w:val="00F52F39"/>
    <w:rsid w:val="00F6021F"/>
    <w:rsid w:val="00F6184F"/>
    <w:rsid w:val="00F8310E"/>
    <w:rsid w:val="00F86CD9"/>
    <w:rsid w:val="00F877C8"/>
    <w:rsid w:val="00F914DD"/>
    <w:rsid w:val="00F9357E"/>
    <w:rsid w:val="00FA2358"/>
    <w:rsid w:val="00FA64C3"/>
    <w:rsid w:val="00FB2592"/>
    <w:rsid w:val="00FB2810"/>
    <w:rsid w:val="00FB7A2C"/>
    <w:rsid w:val="00FC2947"/>
    <w:rsid w:val="00FC6F6B"/>
    <w:rsid w:val="00FE0818"/>
    <w:rsid w:val="00FE6FB1"/>
    <w:rsid w:val="00FF075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9F65ED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link w:val="FooterChar"/>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link w:val="Rectitle"/>
    <w:rsid w:val="000D02EC"/>
    <w:rPr>
      <w:b/>
      <w:sz w:val="28"/>
      <w:szCs w:val="22"/>
      <w:lang w:val="en-US" w:eastAsia="en-US"/>
    </w:rPr>
  </w:style>
  <w:style w:type="character" w:styleId="FollowedHyperlink">
    <w:name w:val="FollowedHyperlink"/>
    <w:basedOn w:val="DefaultParagraphFont"/>
    <w:semiHidden/>
    <w:unhideWhenUsed/>
    <w:rsid w:val="00735A1C"/>
    <w:rPr>
      <w:color w:val="800080" w:themeColor="followedHyperlink"/>
      <w:u w:val="single"/>
    </w:rPr>
  </w:style>
  <w:style w:type="character" w:styleId="PlaceholderText">
    <w:name w:val="Placeholder Text"/>
    <w:basedOn w:val="DefaultParagraphFont"/>
    <w:uiPriority w:val="99"/>
    <w:semiHidden/>
    <w:rsid w:val="00361111"/>
    <w:rPr>
      <w:color w:val="808080"/>
    </w:rPr>
  </w:style>
  <w:style w:type="paragraph" w:customStyle="1" w:styleId="Reasons">
    <w:name w:val="Reasons"/>
    <w:basedOn w:val="Normal"/>
    <w:qFormat/>
    <w:rsid w:val="00453E2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B16F23"/>
    <w:rPr>
      <w:szCs w:val="22"/>
      <w:lang w:val="en-US" w:eastAsia="en-US"/>
    </w:rPr>
  </w:style>
  <w:style w:type="paragraph" w:styleId="Revision">
    <w:name w:val="Revision"/>
    <w:hidden/>
    <w:uiPriority w:val="99"/>
    <w:semiHidden/>
    <w:rsid w:val="003F5E59"/>
    <w:rPr>
      <w:sz w:val="24"/>
      <w:szCs w:val="22"/>
      <w:lang w:val="en-US" w:eastAsia="en-US"/>
    </w:rPr>
  </w:style>
  <w:style w:type="character" w:customStyle="1" w:styleId="FooterChar">
    <w:name w:val="Footer Char"/>
    <w:basedOn w:val="DefaultParagraphFont"/>
    <w:link w:val="Footer"/>
    <w:rsid w:val="003F5E59"/>
    <w:rPr>
      <w:sz w:val="24"/>
      <w:szCs w:val="22"/>
      <w:lang w:val="en-US" w:eastAsia="en-US"/>
    </w:rPr>
  </w:style>
  <w:style w:type="character" w:styleId="UnresolvedMention">
    <w:name w:val="Unresolved Mention"/>
    <w:basedOn w:val="DefaultParagraphFont"/>
    <w:uiPriority w:val="99"/>
    <w:semiHidden/>
    <w:unhideWhenUsed/>
    <w:rsid w:val="00CD7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3-SG06-C/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CD209-41A4-4C55-B545-5FFBD006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2</Pages>
  <Words>406</Words>
  <Characters>2460</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6</cp:revision>
  <cp:lastPrinted>2020-01-16T09:52:00Z</cp:lastPrinted>
  <dcterms:created xsi:type="dcterms:W3CDTF">2024-11-22T10:27:00Z</dcterms:created>
  <dcterms:modified xsi:type="dcterms:W3CDTF">2024-12-02T08:28:00Z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