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02F7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64E3859F" w:rsidR="00E53DCE" w:rsidRPr="00602F7C" w:rsidRDefault="00A96D3A" w:rsidP="00357EB8">
            <w:pPr>
              <w:spacing w:before="0"/>
              <w:rPr>
                <w:lang w:val="es-ES"/>
              </w:rPr>
            </w:pPr>
            <w:r w:rsidRPr="00602F7C">
              <w:rPr>
                <w:lang w:val="es-ES"/>
              </w:rPr>
              <w:t>Circular Administrativa</w:t>
            </w:r>
          </w:p>
          <w:p w14:paraId="69D58805" w14:textId="62F87BCA" w:rsidR="00E53DCE" w:rsidRPr="00602F7C" w:rsidRDefault="001B3D4D" w:rsidP="00357EB8">
            <w:pPr>
              <w:spacing w:before="0"/>
              <w:rPr>
                <w:b/>
                <w:bCs/>
                <w:lang w:val="es-ES"/>
              </w:rPr>
            </w:pPr>
            <w:r w:rsidRPr="00602F7C">
              <w:rPr>
                <w:b/>
                <w:bCs/>
                <w:lang w:val="es-ES"/>
              </w:rPr>
              <w:t>CACE/</w:t>
            </w:r>
            <w:r w:rsidR="005F17BA" w:rsidRPr="00602F7C">
              <w:rPr>
                <w:b/>
                <w:bCs/>
                <w:lang w:val="en-GB"/>
              </w:rPr>
              <w:t>1122</w:t>
            </w:r>
          </w:p>
        </w:tc>
        <w:tc>
          <w:tcPr>
            <w:tcW w:w="2835" w:type="dxa"/>
            <w:shd w:val="clear" w:color="auto" w:fill="auto"/>
          </w:tcPr>
          <w:p w14:paraId="3FD01BE1" w14:textId="26448EEF" w:rsidR="00E53DCE" w:rsidRPr="00602F7C" w:rsidRDefault="005F17BA" w:rsidP="006160CB">
            <w:pPr>
              <w:spacing w:before="0"/>
              <w:jc w:val="right"/>
              <w:rPr>
                <w:szCs w:val="24"/>
                <w:lang w:val="fr-FR"/>
              </w:rPr>
            </w:pPr>
            <w:r w:rsidRPr="00602F7C">
              <w:rPr>
                <w:lang w:val="es-ES_tradnl"/>
              </w:rPr>
              <w:t>5 de diciembre de 2024</w:t>
            </w:r>
          </w:p>
        </w:tc>
      </w:tr>
      <w:tr w:rsidR="00E53DCE" w:rsidRPr="00602F7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602F7C" w:rsidRDefault="00E53DCE" w:rsidP="00357EB8">
            <w:pPr>
              <w:spacing w:before="0"/>
              <w:rPr>
                <w:lang w:val="es-ES"/>
              </w:rPr>
            </w:pPr>
          </w:p>
        </w:tc>
      </w:tr>
      <w:tr w:rsidR="00E53DCE" w:rsidRPr="00602F7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602F7C" w:rsidRDefault="00E53DC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C80AA6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610A90DE" w:rsidR="00CA4AEE" w:rsidRPr="00602F7C" w:rsidRDefault="00CA4AEE" w:rsidP="00357EB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602F7C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5F17BA" w:rsidRPr="00602F7C">
              <w:rPr>
                <w:b/>
                <w:bCs/>
                <w:lang w:val="es-ES_tradnl"/>
              </w:rPr>
              <w:t>6</w:t>
            </w:r>
            <w:r w:rsidRPr="00602F7C">
              <w:rPr>
                <w:b/>
                <w:bCs/>
                <w:lang w:val="es-ES_tradnl"/>
              </w:rPr>
              <w:t xml:space="preserve"> de Radiocomunicaciones</w:t>
            </w:r>
          </w:p>
        </w:tc>
      </w:tr>
      <w:tr w:rsidR="00CA4AEE" w:rsidRPr="00C80AA6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CA4AEE" w:rsidRPr="00602F7C" w:rsidRDefault="00CA4AE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C80AA6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CA4AEE" w:rsidRPr="00602F7C" w:rsidRDefault="00CA4AE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C80AA6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CA4AEE" w:rsidRPr="00602F7C" w:rsidRDefault="00CA4AEE" w:rsidP="00357EB8">
            <w:pPr>
              <w:spacing w:before="0"/>
            </w:pPr>
            <w:proofErr w:type="spellStart"/>
            <w:r w:rsidRPr="00602F7C">
              <w:t>Asunto</w:t>
            </w:r>
            <w:proofErr w:type="spellEnd"/>
            <w:r w:rsidRPr="00602F7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1005A51" w14:textId="7986FE05" w:rsidR="00357EB8" w:rsidRPr="00602F7C" w:rsidRDefault="00357EB8" w:rsidP="00357EB8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602F7C">
              <w:rPr>
                <w:b/>
                <w:bCs/>
                <w:lang w:val="es-ES"/>
              </w:rPr>
              <w:t xml:space="preserve">Comisión de Estudio </w:t>
            </w:r>
            <w:r w:rsidR="004C09AE" w:rsidRPr="00602F7C">
              <w:rPr>
                <w:b/>
                <w:bCs/>
                <w:lang w:val="es-ES"/>
              </w:rPr>
              <w:t>6 de Radiocomunicaciones (Servicio de radiodifusión)</w:t>
            </w:r>
          </w:p>
          <w:p w14:paraId="3612960C" w14:textId="0515B4B1" w:rsidR="00CA4AEE" w:rsidRPr="00602F7C" w:rsidRDefault="00CA4AEE" w:rsidP="005F17BA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602F7C">
              <w:rPr>
                <w:b/>
                <w:bCs/>
                <w:lang w:val="es-ES"/>
              </w:rPr>
              <w:t>–</w:t>
            </w:r>
            <w:r w:rsidRPr="00602F7C">
              <w:rPr>
                <w:b/>
                <w:bCs/>
                <w:lang w:val="es-ES"/>
              </w:rPr>
              <w:tab/>
              <w:t xml:space="preserve">Propuesta de adopción de </w:t>
            </w:r>
            <w:r w:rsidR="005F17BA" w:rsidRPr="00602F7C">
              <w:rPr>
                <w:b/>
                <w:bCs/>
                <w:lang w:val="es-ES"/>
              </w:rPr>
              <w:t>1</w:t>
            </w:r>
            <w:r w:rsidRPr="00602F7C">
              <w:rPr>
                <w:b/>
                <w:bCs/>
                <w:lang w:val="es-ES"/>
              </w:rPr>
              <w:t xml:space="preserve"> proyectos de nueva Recomendación</w:t>
            </w:r>
            <w:r w:rsidR="00296F36" w:rsidRPr="00602F7C">
              <w:rPr>
                <w:b/>
                <w:bCs/>
                <w:lang w:val="es-ES"/>
              </w:rPr>
              <w:t xml:space="preserve"> </w:t>
            </w:r>
            <w:r w:rsidRPr="00602F7C">
              <w:rPr>
                <w:b/>
                <w:bCs/>
                <w:lang w:val="es-ES"/>
              </w:rPr>
              <w:t xml:space="preserve">UIT-R y </w:t>
            </w:r>
            <w:r w:rsidR="005F17BA" w:rsidRPr="00602F7C">
              <w:rPr>
                <w:b/>
                <w:bCs/>
                <w:lang w:val="es-ES"/>
              </w:rPr>
              <w:t>3</w:t>
            </w:r>
            <w:r w:rsidRPr="00602F7C">
              <w:rPr>
                <w:b/>
                <w:bCs/>
                <w:lang w:val="es-ES"/>
              </w:rPr>
              <w:t xml:space="preserve"> proyectos de Recomendación UIT-R revisada y su aprobación simultánea por correspondencia de conformidad con el § A2.6.2.4 de la Resolución UIT</w:t>
            </w:r>
            <w:r w:rsidRPr="00602F7C">
              <w:rPr>
                <w:b/>
                <w:bCs/>
                <w:lang w:val="es-ES"/>
              </w:rPr>
              <w:noBreakHyphen/>
              <w:t>R 1</w:t>
            </w:r>
            <w:r w:rsidRPr="00602F7C">
              <w:rPr>
                <w:b/>
                <w:bCs/>
                <w:lang w:val="es-ES"/>
              </w:rPr>
              <w:noBreakHyphen/>
              <w:t>9 (Procedimiento para la adopción y aprobación simultánea por correspondencia)</w:t>
            </w:r>
          </w:p>
        </w:tc>
      </w:tr>
      <w:tr w:rsidR="00CA4AEE" w:rsidRPr="00C80AA6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CA4AEE" w:rsidRPr="00602F7C" w:rsidRDefault="00CA4AEE" w:rsidP="00357EB8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CA4AEE" w:rsidRPr="00602F7C" w:rsidRDefault="00CA4AEE" w:rsidP="00CA4AE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CA4AEE" w:rsidRPr="00C80AA6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CA4AEE" w:rsidRPr="00602F7C" w:rsidRDefault="00CA4AEE" w:rsidP="00357EB8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CA4AEE" w:rsidRPr="00602F7C" w:rsidRDefault="00CA4AEE" w:rsidP="00CA4AE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1785D1C9" w14:textId="7B140744" w:rsidR="00CA4AEE" w:rsidRPr="00602F7C" w:rsidRDefault="00CA4AEE" w:rsidP="00603C2A">
      <w:pPr>
        <w:pStyle w:val="Normalaftertitle"/>
        <w:rPr>
          <w:lang w:val="es-ES_tradnl"/>
        </w:rPr>
      </w:pPr>
      <w:r w:rsidRPr="00602F7C">
        <w:rPr>
          <w:lang w:val="es-ES_tradnl"/>
        </w:rPr>
        <w:t xml:space="preserve">En la reunión de la Comisión de Estudio </w:t>
      </w:r>
      <w:r w:rsidR="005F17BA" w:rsidRPr="00602F7C">
        <w:rPr>
          <w:lang w:val="es-ES_tradnl"/>
        </w:rPr>
        <w:t>6</w:t>
      </w:r>
      <w:r w:rsidRPr="00602F7C">
        <w:rPr>
          <w:lang w:val="es-ES_tradnl"/>
        </w:rPr>
        <w:t xml:space="preserve"> de Radiocomunicaciones celebrada </w:t>
      </w:r>
      <w:r w:rsidR="005F17BA" w:rsidRPr="00602F7C">
        <w:rPr>
          <w:lang w:val="es-ES_tradnl"/>
        </w:rPr>
        <w:t>15 de noviembre de 2024</w:t>
      </w:r>
      <w:r w:rsidRPr="00602F7C">
        <w:rPr>
          <w:lang w:val="es-ES_tradnl"/>
        </w:rPr>
        <w:t xml:space="preserve">, la Comisión de Estudio decidió solicitar la adopción de </w:t>
      </w:r>
      <w:r w:rsidR="005F17BA" w:rsidRPr="00602F7C">
        <w:rPr>
          <w:lang w:val="es-ES_tradnl"/>
        </w:rPr>
        <w:t>1</w:t>
      </w:r>
      <w:r w:rsidRPr="00602F7C">
        <w:rPr>
          <w:lang w:val="es-ES_tradnl"/>
        </w:rPr>
        <w:t xml:space="preserve"> proyecto de nueva Recomendación UIT-R y de </w:t>
      </w:r>
      <w:r w:rsidR="005F17BA" w:rsidRPr="00602F7C">
        <w:rPr>
          <w:lang w:val="es-ES_tradnl"/>
        </w:rPr>
        <w:t>3</w:t>
      </w:r>
      <w:r w:rsidRPr="00602F7C">
        <w:rPr>
          <w:lang w:val="es-ES_tradnl"/>
        </w:rPr>
        <w:t xml:space="preserve"> proyectos de Recomendación UIT-R revisada por correspondencia (§ A2.6.2 de la Resolución UIT</w:t>
      </w:r>
      <w:r w:rsidRPr="00602F7C">
        <w:rPr>
          <w:lang w:val="es-ES_tradnl"/>
        </w:rPr>
        <w:noBreakHyphen/>
        <w:t>R 1</w:t>
      </w:r>
      <w:r w:rsidRPr="00602F7C">
        <w:rPr>
          <w:lang w:val="es-ES_tradnl"/>
        </w:rPr>
        <w:noBreakHyphen/>
        <w:t>9) y además decidió aplicar el procedimiento de adopción y aprobación simultáneas por correspondencia (PAAS</w:t>
      </w:r>
      <w:r w:rsidR="00F84400" w:rsidRPr="00602F7C">
        <w:rPr>
          <w:lang w:val="es-ES_tradnl"/>
        </w:rPr>
        <w:t xml:space="preserve">, </w:t>
      </w:r>
      <w:r w:rsidRPr="00602F7C">
        <w:rPr>
          <w:lang w:val="es-ES_tradnl"/>
        </w:rPr>
        <w:t>§ A2.6.2.4 de la Resolución UIT</w:t>
      </w:r>
      <w:r w:rsidRPr="00602F7C">
        <w:rPr>
          <w:lang w:val="es-ES_tradnl"/>
        </w:rPr>
        <w:noBreakHyphen/>
        <w:t>R 1</w:t>
      </w:r>
      <w:r w:rsidR="00A34538" w:rsidRPr="00602F7C">
        <w:rPr>
          <w:lang w:val="es-ES_tradnl"/>
        </w:rPr>
        <w:noBreakHyphen/>
        <w:t>9</w:t>
      </w:r>
      <w:r w:rsidRPr="00602F7C">
        <w:rPr>
          <w:lang w:val="es-ES_tradnl"/>
        </w:rPr>
        <w:t xml:space="preserve">). Los títulos y </w:t>
      </w:r>
      <w:r w:rsidR="005F17BA" w:rsidRPr="00602F7C">
        <w:rPr>
          <w:lang w:val="es-ES_tradnl"/>
        </w:rPr>
        <w:t>resúmenes</w:t>
      </w:r>
      <w:r w:rsidRPr="00602F7C">
        <w:rPr>
          <w:lang w:val="es-ES_tradnl"/>
        </w:rPr>
        <w:t xml:space="preserve"> de los proyectos de Recomendación aparecen en el Anexo a la presente Carta. Todo Estado Miembro que plantee una objeción a la adopción de un proyecto de Recomendación debe informar al Director y a la Presidencia de la Comisión de Estudio de los motivos de dicha objeción. </w:t>
      </w:r>
    </w:p>
    <w:p w14:paraId="03CDBFE0" w14:textId="10AC4B1A" w:rsidR="00CA4AEE" w:rsidRPr="005F17BA" w:rsidRDefault="00CA4AEE" w:rsidP="00603C2A">
      <w:pPr>
        <w:rPr>
          <w:lang w:val="es-ES_tradnl"/>
        </w:rPr>
      </w:pPr>
      <w:r w:rsidRPr="00602F7C">
        <w:rPr>
          <w:lang w:val="es-ES_tradnl"/>
        </w:rPr>
        <w:t xml:space="preserve">El periodo de consideración se extenderá durante 2 meses finalizando el </w:t>
      </w:r>
      <w:r w:rsidR="005F17BA" w:rsidRPr="00602F7C">
        <w:rPr>
          <w:u w:val="single"/>
          <w:lang w:val="es-ES_tradnl"/>
        </w:rPr>
        <w:t>5 de febrero de 2025</w:t>
      </w:r>
      <w:r w:rsidRPr="00602F7C">
        <w:rPr>
          <w:lang w:val="es-ES_tradnl"/>
        </w:rPr>
        <w:t>.</w:t>
      </w:r>
      <w:r w:rsidRPr="005F17BA">
        <w:rPr>
          <w:lang w:val="es-ES_tradnl"/>
        </w:rPr>
        <w:t xml:space="preserve"> Si durante este periodo no se reciben objeciones de los Estados Miembros, se considerarán adoptados los proyectos de Recomendación por la Comisión de Estudio </w:t>
      </w:r>
      <w:r w:rsidR="005F17BA" w:rsidRPr="005F17BA">
        <w:rPr>
          <w:lang w:val="es-ES_tradnl"/>
        </w:rPr>
        <w:t>6</w:t>
      </w:r>
      <w:r w:rsidRPr="005F17BA">
        <w:rPr>
          <w:lang w:val="es-ES_tradnl"/>
        </w:rPr>
        <w:t>. Además, dado que se ha seguido el procedimiento de PAAS, los proyectos de Recomendación también se considerarán aprobados.</w:t>
      </w:r>
    </w:p>
    <w:p w14:paraId="00F7C219" w14:textId="77F59D33" w:rsidR="00CA4AEE" w:rsidRPr="00D00AD1" w:rsidRDefault="00CA4AEE" w:rsidP="00603C2A">
      <w:pPr>
        <w:rPr>
          <w:lang w:val="es-ES_tradnl"/>
        </w:rPr>
      </w:pPr>
      <w:r w:rsidRPr="005F17BA">
        <w:rPr>
          <w:lang w:val="es-ES_tradnl"/>
        </w:rPr>
        <w:t>Tras la fecha límite mencionada, los resultados los procedimientos arriba citados se comunicarán mediante Circular Administrativa y se publicarán las Recomendaci</w:t>
      </w:r>
      <w:r w:rsidR="005F17BA" w:rsidRPr="005F17BA">
        <w:rPr>
          <w:lang w:val="es-ES_tradnl"/>
        </w:rPr>
        <w:t>o</w:t>
      </w:r>
      <w:r w:rsidRPr="005F17BA">
        <w:rPr>
          <w:lang w:val="es-ES_tradnl"/>
        </w:rPr>
        <w:t>nes aprobadas tan</w:t>
      </w:r>
      <w:r w:rsidRPr="00D00AD1">
        <w:rPr>
          <w:lang w:val="es-ES_tradnl"/>
        </w:rPr>
        <w:t xml:space="preserve"> pronto como sea posible (véase </w:t>
      </w:r>
      <w:hyperlink r:id="rId8" w:history="1">
        <w:r w:rsidR="00665FC6">
          <w:rPr>
            <w:color w:val="0000FF"/>
            <w:u w:val="single"/>
            <w:lang w:val="es-ES_tradnl"/>
          </w:rPr>
          <w:t>https://www.itu.int/pub/R-REC/es</w:t>
        </w:r>
      </w:hyperlink>
      <w:r w:rsidRPr="00D00AD1">
        <w:rPr>
          <w:lang w:val="es-ES_tradnl"/>
        </w:rPr>
        <w:t>).</w:t>
      </w:r>
    </w:p>
    <w:p w14:paraId="749A3284" w14:textId="77777777" w:rsidR="00F84400" w:rsidRDefault="00F844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BDDF33A" w14:textId="57D40DD0" w:rsidR="00CA4AEE" w:rsidRDefault="00CA4AEE" w:rsidP="00603C2A">
      <w:pPr>
        <w:rPr>
          <w:lang w:val="es-ES_tradnl"/>
        </w:rPr>
      </w:pPr>
      <w:r w:rsidRPr="00D00AD1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</w:t>
      </w:r>
      <w:r w:rsidRPr="005F17BA">
        <w:rPr>
          <w:lang w:val="es-ES_tradnl"/>
        </w:rPr>
        <w:t>tos de los proyectos de Recomendación mencionados en esta carta, que comunique dicha información a la Secretaría tan pronto como sea posible. La Política común en materia de patentes para UIT</w:t>
      </w:r>
      <w:r w:rsidRPr="005F17BA">
        <w:rPr>
          <w:lang w:val="es-ES_tradnl"/>
        </w:rPr>
        <w:noBreakHyphen/>
        <w:t>T</w:t>
      </w:r>
      <w:r w:rsidRPr="00D00AD1">
        <w:rPr>
          <w:lang w:val="es-ES_tradnl"/>
        </w:rPr>
        <w:t>/UIT</w:t>
      </w:r>
      <w:r>
        <w:rPr>
          <w:lang w:val="es-ES_tradnl"/>
        </w:rPr>
        <w:noBreakHyphen/>
      </w:r>
      <w:r w:rsidRPr="00D00AD1">
        <w:rPr>
          <w:lang w:val="es-ES_tradnl"/>
        </w:rPr>
        <w:t>R/ISO/CEI puede consultarse en</w:t>
      </w:r>
      <w:r>
        <w:rPr>
          <w:lang w:val="es-ES_tradnl"/>
        </w:rPr>
        <w:t xml:space="preserve"> </w:t>
      </w:r>
      <w:hyperlink r:id="rId9" w:history="1">
        <w:r w:rsidRPr="006A124F">
          <w:rPr>
            <w:rStyle w:val="Hyperlink"/>
            <w:lang w:val="es-ES_tradnl"/>
          </w:rPr>
          <w:t>http://www.itu.int/en/ITU-T/ipr/Pages/policy.aspx</w:t>
        </w:r>
      </w:hyperlink>
      <w:r>
        <w:rPr>
          <w:lang w:val="es-ES_tradnl"/>
        </w:rPr>
        <w:t>.</w:t>
      </w:r>
    </w:p>
    <w:p w14:paraId="4CC8D01D" w14:textId="3E533B3B" w:rsidR="00CA4AEE" w:rsidRPr="0062522E" w:rsidRDefault="00CA4AEE" w:rsidP="00547C9F">
      <w:pPr>
        <w:spacing w:before="1200"/>
        <w:jc w:val="left"/>
        <w:rPr>
          <w:lang w:val="es-ES_tradnl"/>
        </w:rPr>
      </w:pPr>
      <w:r>
        <w:rPr>
          <w:lang w:val="es-ES_tradnl"/>
        </w:rPr>
        <w:t>Mario Maniewicz</w:t>
      </w:r>
      <w:r w:rsidR="00603C2A">
        <w:rPr>
          <w:lang w:val="es-ES_tradnl"/>
        </w:rPr>
        <w:br/>
      </w:r>
      <w:r w:rsidRPr="0062522E">
        <w:rPr>
          <w:lang w:val="es-ES_tradnl"/>
        </w:rPr>
        <w:t>Director</w:t>
      </w:r>
    </w:p>
    <w:p w14:paraId="4EE4B7E2" w14:textId="749E828A" w:rsidR="00CA4AEE" w:rsidRPr="005F17BA" w:rsidRDefault="00CA4AEE" w:rsidP="00C80AA6">
      <w:pPr>
        <w:spacing w:before="2040"/>
        <w:ind w:left="1191" w:hanging="1191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>
        <w:rPr>
          <w:lang w:val="es-ES_tradnl"/>
        </w:rPr>
        <w:tab/>
      </w:r>
      <w:r w:rsidRPr="005F17BA">
        <w:rPr>
          <w:lang w:val="es-ES_tradnl"/>
        </w:rPr>
        <w:t>Títulos y res</w:t>
      </w:r>
      <w:r w:rsidR="005F17BA" w:rsidRPr="005F17BA">
        <w:rPr>
          <w:lang w:val="es-ES_tradnl"/>
        </w:rPr>
        <w:t>úmen</w:t>
      </w:r>
      <w:r w:rsidRPr="005F17BA">
        <w:rPr>
          <w:lang w:val="es-ES_tradnl"/>
        </w:rPr>
        <w:t>es</w:t>
      </w:r>
      <w:r w:rsidR="005F17BA" w:rsidRPr="005F17BA">
        <w:rPr>
          <w:lang w:val="es-ES_tradnl"/>
        </w:rPr>
        <w:t xml:space="preserve"> </w:t>
      </w:r>
      <w:r w:rsidRPr="005F17BA">
        <w:rPr>
          <w:lang w:val="es-ES_tradnl"/>
        </w:rPr>
        <w:t>de los proyectos de Recomendación</w:t>
      </w:r>
    </w:p>
    <w:p w14:paraId="7FE42B16" w14:textId="5071A0CE" w:rsidR="00CA4AEE" w:rsidRPr="005F17BA" w:rsidRDefault="00CA4AEE" w:rsidP="00547C9F">
      <w:pPr>
        <w:spacing w:before="840"/>
        <w:rPr>
          <w:lang w:val="es-ES_tradnl"/>
        </w:rPr>
      </w:pPr>
      <w:r w:rsidRPr="005F17BA">
        <w:rPr>
          <w:b/>
          <w:bCs/>
          <w:lang w:val="es-ES_tradnl"/>
        </w:rPr>
        <w:t>Documento(s):</w:t>
      </w:r>
      <w:r w:rsidRPr="005F17BA">
        <w:rPr>
          <w:lang w:val="es-ES_tradnl"/>
        </w:rPr>
        <w:t xml:space="preserve"> </w:t>
      </w:r>
      <w:r w:rsidRPr="005F17BA">
        <w:rPr>
          <w:lang w:val="es-ES_tradnl"/>
        </w:rPr>
        <w:tab/>
        <w:t>Documento</w:t>
      </w:r>
      <w:r w:rsidR="005F17BA" w:rsidRPr="005F17BA">
        <w:rPr>
          <w:lang w:val="es-ES_tradnl"/>
        </w:rPr>
        <w:t xml:space="preserve">s </w:t>
      </w:r>
      <w:hyperlink r:id="rId10" w:history="1">
        <w:r w:rsidR="005F17BA" w:rsidRPr="005F17BA">
          <w:rPr>
            <w:lang w:val="es-ES"/>
          </w:rPr>
          <w:t>6/62</w:t>
        </w:r>
      </w:hyperlink>
      <w:r w:rsidR="005F17BA" w:rsidRPr="005F17BA">
        <w:rPr>
          <w:lang w:val="es-ES"/>
        </w:rPr>
        <w:t xml:space="preserve">, </w:t>
      </w:r>
      <w:hyperlink r:id="rId11" w:history="1">
        <w:r w:rsidR="005F17BA" w:rsidRPr="005F17BA">
          <w:rPr>
            <w:lang w:val="es-ES"/>
          </w:rPr>
          <w:t>6/63</w:t>
        </w:r>
      </w:hyperlink>
      <w:r w:rsidR="005F17BA" w:rsidRPr="005F17BA">
        <w:rPr>
          <w:lang w:val="es-ES"/>
        </w:rPr>
        <w:t xml:space="preserve">, </w:t>
      </w:r>
      <w:hyperlink r:id="rId12" w:history="1">
        <w:r w:rsidR="005F17BA" w:rsidRPr="005F17BA">
          <w:rPr>
            <w:lang w:val="es-ES"/>
          </w:rPr>
          <w:t>6/64</w:t>
        </w:r>
      </w:hyperlink>
      <w:r w:rsidR="005F17BA" w:rsidRPr="005F17BA">
        <w:rPr>
          <w:lang w:val="es-ES"/>
        </w:rPr>
        <w:t xml:space="preserve"> and </w:t>
      </w:r>
      <w:hyperlink r:id="rId13" w:history="1">
        <w:r w:rsidR="005F17BA" w:rsidRPr="005F17BA">
          <w:rPr>
            <w:lang w:val="es-ES"/>
          </w:rPr>
          <w:t>72(Rev.1)</w:t>
        </w:r>
      </w:hyperlink>
      <w:r w:rsidR="005F17BA" w:rsidRPr="005F17BA">
        <w:rPr>
          <w:lang w:val="es-ES"/>
        </w:rPr>
        <w:t>.</w:t>
      </w:r>
    </w:p>
    <w:p w14:paraId="6F55D769" w14:textId="1552E182" w:rsidR="00CA4AEE" w:rsidRPr="00D00AD1" w:rsidRDefault="00CA4AEE" w:rsidP="00357EB8">
      <w:pPr>
        <w:jc w:val="left"/>
        <w:rPr>
          <w:lang w:val="es-ES_tradnl"/>
        </w:rPr>
      </w:pPr>
      <w:r w:rsidRPr="005F17BA">
        <w:rPr>
          <w:lang w:val="es-ES_tradnl"/>
        </w:rPr>
        <w:t>Dicho</w:t>
      </w:r>
      <w:r w:rsidR="005F17BA" w:rsidRPr="005F17BA">
        <w:rPr>
          <w:lang w:val="es-ES_tradnl"/>
        </w:rPr>
        <w:t>s</w:t>
      </w:r>
      <w:r w:rsidRPr="005F17BA">
        <w:rPr>
          <w:lang w:val="es-ES_tradnl"/>
        </w:rPr>
        <w:t xml:space="preserve"> documento</w:t>
      </w:r>
      <w:r w:rsidR="005F17BA" w:rsidRPr="005F17BA">
        <w:rPr>
          <w:lang w:val="es-ES_tradnl"/>
        </w:rPr>
        <w:t>s</w:t>
      </w:r>
      <w:r w:rsidRPr="005F17BA">
        <w:rPr>
          <w:lang w:val="es-ES_tradnl"/>
        </w:rPr>
        <w:t xml:space="preserve"> están disponibles</w:t>
      </w:r>
      <w:r w:rsidR="005F17BA" w:rsidRPr="005F17BA">
        <w:rPr>
          <w:lang w:val="es-ES_tradnl"/>
        </w:rPr>
        <w:t xml:space="preserve"> </w:t>
      </w:r>
      <w:r w:rsidRPr="005F17BA">
        <w:rPr>
          <w:lang w:val="es-ES_tradnl"/>
        </w:rPr>
        <w:t>en formato electrónico en la dirección:</w:t>
      </w:r>
      <w:r w:rsidRPr="005F17BA">
        <w:rPr>
          <w:lang w:val="es-ES"/>
        </w:rPr>
        <w:t xml:space="preserve"> </w:t>
      </w:r>
      <w:hyperlink r:id="rId14" w:history="1">
        <w:r w:rsidR="005F17BA" w:rsidRPr="005F17BA">
          <w:rPr>
            <w:rStyle w:val="Hyperlink"/>
            <w:lang w:val="es-ES_tradnl"/>
          </w:rPr>
          <w:t>https://www.itu.int/md/R23-SG06-C/en</w:t>
        </w:r>
      </w:hyperlink>
      <w:r>
        <w:rPr>
          <w:lang w:val="es-ES_tradnl"/>
        </w:rPr>
        <w:t xml:space="preserve"> </w:t>
      </w:r>
    </w:p>
    <w:p w14:paraId="4B35D10D" w14:textId="77777777" w:rsidR="00CA4AEE" w:rsidRDefault="00CA4AEE" w:rsidP="00357EB8">
      <w:pPr>
        <w:rPr>
          <w:rFonts w:ascii="Times New Roman" w:hAnsi="Times New Roman" w:cs="Times New Roman"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6AA1CDF1" w14:textId="32DE0907" w:rsidR="00CA4AEE" w:rsidRPr="00547C9F" w:rsidRDefault="00CA4AEE" w:rsidP="00357EB8">
      <w:pPr>
        <w:pStyle w:val="AnnexNoTitle"/>
        <w:rPr>
          <w:lang w:val="es-ES"/>
        </w:rPr>
      </w:pPr>
      <w:r w:rsidRPr="00547C9F">
        <w:rPr>
          <w:lang w:val="es-ES"/>
        </w:rPr>
        <w:lastRenderedPageBreak/>
        <w:t>Anexo</w:t>
      </w:r>
      <w:r w:rsidRPr="00547C9F">
        <w:rPr>
          <w:lang w:val="es-ES"/>
        </w:rPr>
        <w:br/>
      </w:r>
      <w:r w:rsidRPr="00547C9F">
        <w:rPr>
          <w:lang w:val="es-ES"/>
        </w:rPr>
        <w:br/>
      </w:r>
      <w:r w:rsidRPr="004C09AE">
        <w:rPr>
          <w:lang w:val="es-ES"/>
        </w:rPr>
        <w:t xml:space="preserve">Títulos y </w:t>
      </w:r>
      <w:r w:rsidR="005F17BA" w:rsidRPr="004C09AE">
        <w:rPr>
          <w:lang w:val="es-ES"/>
        </w:rPr>
        <w:t xml:space="preserve">resúmenes </w:t>
      </w:r>
      <w:r w:rsidRPr="004C09AE">
        <w:rPr>
          <w:lang w:val="es-ES"/>
        </w:rPr>
        <w:t>de los proyectos de Recomendación</w:t>
      </w:r>
      <w:r w:rsidRPr="00547C9F">
        <w:rPr>
          <w:lang w:val="es-ES"/>
        </w:rPr>
        <w:t xml:space="preserve"> UIT-R</w:t>
      </w:r>
    </w:p>
    <w:p w14:paraId="407F3FE2" w14:textId="77777777" w:rsidR="00602F7C" w:rsidRPr="00E60787" w:rsidRDefault="00602F7C" w:rsidP="00602F7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E60787">
        <w:rPr>
          <w:u w:val="single"/>
          <w:lang w:val="es-ES"/>
        </w:rPr>
        <w:t xml:space="preserve">Proyecto de nueva Recomendación UIT-R </w:t>
      </w:r>
      <w:proofErr w:type="gramStart"/>
      <w:r w:rsidRPr="00E60787">
        <w:rPr>
          <w:u w:val="single"/>
          <w:lang w:val="es-ES" w:eastAsia="zh-CN"/>
        </w:rPr>
        <w:t>BT.[</w:t>
      </w:r>
      <w:proofErr w:type="gramEnd"/>
      <w:r w:rsidRPr="00E60787">
        <w:rPr>
          <w:u w:val="single"/>
          <w:lang w:val="es-ES" w:eastAsia="zh-CN"/>
        </w:rPr>
        <w:t>MON]</w:t>
      </w:r>
      <w:r w:rsidRPr="00E60787">
        <w:rPr>
          <w:rFonts w:asciiTheme="minorHAnsi" w:hAnsiTheme="minorHAnsi" w:cstheme="minorHAnsi"/>
          <w:szCs w:val="24"/>
          <w:lang w:val="es-ES"/>
        </w:rPr>
        <w:tab/>
        <w:t>Doc. 6/63</w:t>
      </w:r>
    </w:p>
    <w:p w14:paraId="6CC28D3A" w14:textId="77777777" w:rsidR="00602F7C" w:rsidRPr="00E60787" w:rsidRDefault="00602F7C" w:rsidP="00602F7C">
      <w:pPr>
        <w:pStyle w:val="Rectitle"/>
        <w:rPr>
          <w:bCs/>
          <w:lang w:val="es-ES"/>
        </w:rPr>
      </w:pPr>
      <w:r w:rsidRPr="00E60787">
        <w:rPr>
          <w:bCs/>
          <w:lang w:val="es-ES"/>
        </w:rPr>
        <w:t xml:space="preserve">Condiciones de visualización en monitores muy próximos de gama dinámica </w:t>
      </w:r>
      <w:r w:rsidRPr="00E60787">
        <w:rPr>
          <w:bCs/>
          <w:lang w:val="es-ES"/>
        </w:rPr>
        <w:br/>
        <w:t xml:space="preserve">elevada y gama dinámica normal en un entorno de producción </w:t>
      </w:r>
      <w:r w:rsidRPr="00E60787">
        <w:rPr>
          <w:bCs/>
          <w:lang w:val="es-ES"/>
        </w:rPr>
        <w:br/>
        <w:t>de gama dinámica elevada de formato único</w:t>
      </w:r>
    </w:p>
    <w:p w14:paraId="617D6F2E" w14:textId="77777777" w:rsidR="00602F7C" w:rsidRPr="00E60787" w:rsidRDefault="00602F7C" w:rsidP="00602F7C">
      <w:pPr>
        <w:rPr>
          <w:bCs/>
          <w:lang w:val="es-ES"/>
        </w:rPr>
      </w:pPr>
      <w:r w:rsidRPr="00E60787">
        <w:rPr>
          <w:bCs/>
          <w:lang w:val="es-ES"/>
        </w:rPr>
        <w:t>La presente Recomendación brinda orientaciones para la visualización en un entorno de producción HDR/SDR de formato único en el que es preferible o inevitable que los monitores HDR y SDR estén muy próxim</w:t>
      </w:r>
      <w:r>
        <w:rPr>
          <w:bCs/>
          <w:lang w:val="es-ES"/>
        </w:rPr>
        <w:t>o</w:t>
      </w:r>
      <w:r w:rsidRPr="00E60787">
        <w:rPr>
          <w:bCs/>
          <w:lang w:val="es-ES"/>
        </w:rPr>
        <w:t>s. Esta configuración puede dar</w:t>
      </w:r>
      <w:r>
        <w:rPr>
          <w:bCs/>
          <w:lang w:val="es-ES"/>
        </w:rPr>
        <w:t>s</w:t>
      </w:r>
      <w:r w:rsidRPr="00E60787">
        <w:rPr>
          <w:bCs/>
          <w:lang w:val="es-ES"/>
        </w:rPr>
        <w:t xml:space="preserve">e en puestos de supervisor de sombras o imágenes, o en salas de control con monitores </w:t>
      </w:r>
      <w:proofErr w:type="spellStart"/>
      <w:r w:rsidRPr="00E60787">
        <w:rPr>
          <w:bCs/>
          <w:lang w:val="es-ES"/>
        </w:rPr>
        <w:t>m</w:t>
      </w:r>
      <w:r>
        <w:rPr>
          <w:bCs/>
          <w:lang w:val="es-ES"/>
        </w:rPr>
        <w:t>u</w:t>
      </w:r>
      <w:r w:rsidRPr="00E60787">
        <w:rPr>
          <w:bCs/>
          <w:lang w:val="es-ES"/>
        </w:rPr>
        <w:t>ltivista</w:t>
      </w:r>
      <w:proofErr w:type="spellEnd"/>
      <w:r w:rsidRPr="00E60787">
        <w:rPr>
          <w:bCs/>
          <w:lang w:val="es-ES"/>
        </w:rPr>
        <w:t xml:space="preserve"> o mon</w:t>
      </w:r>
      <w:r>
        <w:rPr>
          <w:bCs/>
          <w:lang w:val="es-ES"/>
        </w:rPr>
        <w:t>i</w:t>
      </w:r>
      <w:r w:rsidRPr="00E60787">
        <w:rPr>
          <w:bCs/>
          <w:lang w:val="es-ES"/>
        </w:rPr>
        <w:t xml:space="preserve">tores HDR y SDR adyacentes. También puede </w:t>
      </w:r>
      <w:r>
        <w:rPr>
          <w:bCs/>
          <w:lang w:val="es-ES"/>
        </w:rPr>
        <w:t xml:space="preserve">producirse </w:t>
      </w:r>
      <w:r w:rsidRPr="00E60787">
        <w:rPr>
          <w:bCs/>
          <w:lang w:val="es-ES"/>
        </w:rPr>
        <w:t>esta situación en un entorno de producción en el que los dispositivos y el software presentan múltiples ventanas adyacentes con imágenes HDR y SDR.</w:t>
      </w:r>
    </w:p>
    <w:p w14:paraId="241F1526" w14:textId="77777777" w:rsidR="00602F7C" w:rsidRPr="00E60787" w:rsidRDefault="00602F7C" w:rsidP="00602F7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E60787">
        <w:rPr>
          <w:u w:val="single"/>
          <w:lang w:val="es-ES"/>
        </w:rPr>
        <w:t>Proyecto de revisión de la Recomendación UIT-R BT.2123-0</w:t>
      </w:r>
      <w:r w:rsidRPr="00E60787">
        <w:rPr>
          <w:rFonts w:asciiTheme="minorHAnsi" w:hAnsiTheme="minorHAnsi" w:cstheme="minorHAnsi"/>
          <w:szCs w:val="24"/>
          <w:lang w:val="es-ES"/>
        </w:rPr>
        <w:tab/>
        <w:t>Doc. 6/62</w:t>
      </w:r>
    </w:p>
    <w:p w14:paraId="577B19B0" w14:textId="77777777" w:rsidR="00602F7C" w:rsidRPr="00E60787" w:rsidRDefault="00602F7C" w:rsidP="00602F7C">
      <w:pPr>
        <w:pStyle w:val="Rectitle"/>
        <w:rPr>
          <w:lang w:val="es-ES"/>
        </w:rPr>
      </w:pPr>
      <w:r w:rsidRPr="00E60787">
        <w:rPr>
          <w:lang w:val="es-ES"/>
        </w:rPr>
        <w:t xml:space="preserve">Valores de los parámetros de vídeo de los sistemas audiovisuales inmersivos avanzados para la producción y el intercambio internacional de programas </w:t>
      </w:r>
      <w:r w:rsidRPr="00E60787">
        <w:rPr>
          <w:lang w:val="es-ES"/>
        </w:rPr>
        <w:br/>
        <w:t>en el ámbito de la radiodifusión</w:t>
      </w:r>
    </w:p>
    <w:p w14:paraId="28954856" w14:textId="77777777" w:rsidR="00602F7C" w:rsidRPr="00E60787" w:rsidRDefault="00602F7C" w:rsidP="00602F7C">
      <w:pPr>
        <w:rPr>
          <w:lang w:val="es-ES" w:eastAsia="ko-KR"/>
        </w:rPr>
      </w:pPr>
      <w:r w:rsidRPr="00E60787">
        <w:rPr>
          <w:lang w:val="es-ES" w:eastAsia="ja-JP"/>
        </w:rPr>
        <w:t>Esta revisión amplía las orientaciones para la presentación de imágenes de 360</w:t>
      </w:r>
      <w:r>
        <w:rPr>
          <w:rFonts w:ascii="Times New Roman" w:hAnsi="Times New Roman" w:cs="Times New Roman"/>
          <w:lang w:val="es-ES"/>
        </w:rPr>
        <w:t>°</w:t>
      </w:r>
      <w:r w:rsidRPr="00E60787">
        <w:rPr>
          <w:lang w:val="es-ES" w:eastAsia="ja-JP"/>
        </w:rPr>
        <w:t xml:space="preserve"> en visores de realidad virtual </w:t>
      </w:r>
      <w:r w:rsidRPr="00E60787">
        <w:rPr>
          <w:lang w:val="es-ES" w:eastAsia="ko-KR"/>
        </w:rPr>
        <w:t>(HMD).</w:t>
      </w:r>
    </w:p>
    <w:p w14:paraId="0204C517" w14:textId="77777777" w:rsidR="00602F7C" w:rsidRPr="00E60787" w:rsidRDefault="00602F7C" w:rsidP="00602F7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E60787">
        <w:rPr>
          <w:u w:val="single"/>
          <w:lang w:val="es-ES"/>
        </w:rPr>
        <w:t>Proyecto de revisión de la Recomendación UIT-R BT.2100-2</w:t>
      </w:r>
      <w:r w:rsidRPr="00E60787">
        <w:rPr>
          <w:rFonts w:asciiTheme="minorHAnsi" w:hAnsiTheme="minorHAnsi" w:cstheme="minorHAnsi"/>
          <w:szCs w:val="24"/>
          <w:lang w:val="es-ES"/>
        </w:rPr>
        <w:tab/>
        <w:t>Doc. 6/64</w:t>
      </w:r>
    </w:p>
    <w:p w14:paraId="0C09BF87" w14:textId="77777777" w:rsidR="00602F7C" w:rsidRPr="00E60787" w:rsidRDefault="00602F7C" w:rsidP="00602F7C">
      <w:pPr>
        <w:pStyle w:val="Rectitle"/>
        <w:rPr>
          <w:szCs w:val="24"/>
          <w:lang w:val="es-ES"/>
        </w:rPr>
      </w:pPr>
      <w:r w:rsidRPr="00E60787">
        <w:rPr>
          <w:lang w:val="es-ES"/>
        </w:rPr>
        <w:t>Valores de los parámetros de imagen de los sistemas de televisión de elevada gama dinámica para la producción y el intercambio internacional de programas</w:t>
      </w:r>
    </w:p>
    <w:p w14:paraId="6D054C0D" w14:textId="55D5C4E1" w:rsidR="00602F7C" w:rsidRPr="00E60787" w:rsidRDefault="00602F7C" w:rsidP="00602F7C">
      <w:pPr>
        <w:rPr>
          <w:lang w:val="es-ES" w:eastAsia="zh-CN"/>
        </w:rPr>
      </w:pPr>
      <w:bookmarkStart w:id="0" w:name="_Hlk49776327"/>
      <w:r w:rsidRPr="00E60787">
        <w:rPr>
          <w:lang w:val="es-ES" w:eastAsia="zh-CN"/>
        </w:rPr>
        <w:t>La revisión consiste en actualizar y simplificar la sección que describe la representación de señales en coma flotante, incluida el Cuadro 10</w:t>
      </w:r>
      <w:r w:rsidRPr="00602F7C">
        <w:rPr>
          <w:lang w:val="es-ES" w:eastAsia="zh-CN"/>
        </w:rPr>
        <w:t>,</w:t>
      </w:r>
      <w:r w:rsidRPr="00E60787">
        <w:rPr>
          <w:lang w:val="es-ES" w:eastAsia="zh-CN"/>
        </w:rPr>
        <w:t xml:space="preserve"> </w:t>
      </w:r>
      <w:r w:rsidRPr="00E60787">
        <w:rPr>
          <w:i/>
          <w:iCs/>
          <w:lang w:val="es-ES" w:eastAsia="zh-CN"/>
        </w:rPr>
        <w:t>Representación de señales en coma flotante (FP)</w:t>
      </w:r>
      <w:r w:rsidRPr="00E60787">
        <w:rPr>
          <w:lang w:val="es-ES" w:eastAsia="zh-CN"/>
        </w:rPr>
        <w:t>.</w:t>
      </w:r>
    </w:p>
    <w:p w14:paraId="7F436D6B" w14:textId="04EECC8D" w:rsidR="00602F7C" w:rsidRPr="00E60787" w:rsidRDefault="00602F7C" w:rsidP="00602F7C">
      <w:pPr>
        <w:rPr>
          <w:lang w:val="es-ES" w:eastAsia="zh-CN"/>
        </w:rPr>
      </w:pPr>
      <w:r w:rsidRPr="00E60787">
        <w:rPr>
          <w:lang w:val="es-ES" w:eastAsia="zh-CN"/>
        </w:rPr>
        <w:t>Asimismo, se proponen revisiones para aclarar en la Recomendación la naturaleza variable de la gamma del sistema Log-Gamma híbrido (HLG) que se aplica al componente de luminancia de la señal en función de la luminancia de cresta nominal de la pantalla.</w:t>
      </w:r>
      <w:bookmarkEnd w:id="0"/>
    </w:p>
    <w:p w14:paraId="58C9A9B7" w14:textId="77777777" w:rsidR="00602F7C" w:rsidRPr="00E60787" w:rsidRDefault="00602F7C" w:rsidP="00602F7C">
      <w:pPr>
        <w:rPr>
          <w:lang w:val="es-ES"/>
        </w:rPr>
      </w:pPr>
    </w:p>
    <w:p w14:paraId="4B80B775" w14:textId="77777777" w:rsidR="00602F7C" w:rsidRPr="00E60787" w:rsidRDefault="00602F7C" w:rsidP="00602F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 w:rsidRPr="00E60787">
        <w:rPr>
          <w:lang w:val="es-ES"/>
        </w:rPr>
        <w:br w:type="page"/>
      </w:r>
    </w:p>
    <w:p w14:paraId="240AE583" w14:textId="77777777" w:rsidR="00602F7C" w:rsidRPr="00E60787" w:rsidRDefault="00602F7C" w:rsidP="00602F7C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E60787">
        <w:rPr>
          <w:u w:val="single"/>
          <w:lang w:val="es-ES"/>
        </w:rPr>
        <w:lastRenderedPageBreak/>
        <w:t xml:space="preserve">Proyecto de revisión de la Recomendación UIT-R </w:t>
      </w:r>
      <w:r w:rsidRPr="00E60787">
        <w:rPr>
          <w:u w:val="single"/>
          <w:lang w:val="es-ES" w:eastAsia="zh-CN"/>
        </w:rPr>
        <w:t>BT.2016-3</w:t>
      </w:r>
      <w:r w:rsidRPr="00E60787">
        <w:rPr>
          <w:rFonts w:asciiTheme="minorHAnsi" w:hAnsiTheme="minorHAnsi" w:cstheme="minorHAnsi"/>
          <w:szCs w:val="24"/>
          <w:lang w:val="es-ES"/>
        </w:rPr>
        <w:tab/>
        <w:t>Doc. 6/72(Rev.1)</w:t>
      </w:r>
    </w:p>
    <w:p w14:paraId="51139C8B" w14:textId="417FB6B6" w:rsidR="00602F7C" w:rsidRPr="00E60787" w:rsidRDefault="00602F7C" w:rsidP="00602F7C">
      <w:pPr>
        <w:pStyle w:val="Rectitle"/>
        <w:rPr>
          <w:lang w:val="es-ES"/>
        </w:rPr>
      </w:pPr>
      <w:r w:rsidRPr="00E60787">
        <w:rPr>
          <w:lang w:val="es-ES"/>
        </w:rPr>
        <w:t>Métodos de corrección de errores, de configuración de trama de datos, de modulación y de emisión de la radiodifusión terrenal de multimedios</w:t>
      </w:r>
      <w:r>
        <w:rPr>
          <w:lang w:val="es-ES"/>
        </w:rPr>
        <w:br/>
      </w:r>
      <w:r w:rsidRPr="00E60787">
        <w:rPr>
          <w:lang w:val="es-ES"/>
        </w:rPr>
        <w:t>para la recepción móvil mediante receptores portátiles en las</w:t>
      </w:r>
      <w:r>
        <w:rPr>
          <w:lang w:val="es-ES"/>
        </w:rPr>
        <w:br/>
      </w:r>
      <w:r w:rsidRPr="00E60787">
        <w:rPr>
          <w:lang w:val="es-ES"/>
        </w:rPr>
        <w:t>bandas</w:t>
      </w:r>
      <w:r>
        <w:rPr>
          <w:lang w:val="es-ES"/>
        </w:rPr>
        <w:t xml:space="preserve"> </w:t>
      </w:r>
      <w:r w:rsidRPr="00E60787">
        <w:rPr>
          <w:lang w:val="es-ES"/>
        </w:rPr>
        <w:t>de ondas métricas/</w:t>
      </w:r>
      <w:proofErr w:type="spellStart"/>
      <w:r w:rsidRPr="00E60787">
        <w:rPr>
          <w:lang w:val="es-ES"/>
        </w:rPr>
        <w:t>decimétricas</w:t>
      </w:r>
      <w:proofErr w:type="spellEnd"/>
    </w:p>
    <w:p w14:paraId="7869650C" w14:textId="77777777" w:rsidR="00602F7C" w:rsidRPr="00E60787" w:rsidRDefault="00602F7C" w:rsidP="00602F7C">
      <w:pPr>
        <w:rPr>
          <w:lang w:val="es-ES"/>
        </w:rPr>
      </w:pPr>
      <w:r w:rsidRPr="00E60787">
        <w:rPr>
          <w:lang w:val="es-ES"/>
        </w:rPr>
        <w:t>Este proyecto de revisión de la Recomendación UIT-R BT.2016-3 incluye los siguientes cambios:</w:t>
      </w:r>
    </w:p>
    <w:p w14:paraId="7E56746B" w14:textId="5B912E12" w:rsidR="00602F7C" w:rsidRPr="00E60787" w:rsidRDefault="00602F7C" w:rsidP="00602F7C">
      <w:pPr>
        <w:pStyle w:val="enumlev1"/>
        <w:rPr>
          <w:lang w:val="es-ES"/>
        </w:rPr>
      </w:pPr>
      <w:r w:rsidRPr="00E60787">
        <w:rPr>
          <w:lang w:val="es-ES"/>
        </w:rPr>
        <w:t>–</w:t>
      </w:r>
      <w:r w:rsidRPr="00E60787">
        <w:rPr>
          <w:lang w:val="es-ES"/>
        </w:rPr>
        <w:tab/>
        <w:t>Modificaciones de los Cuadros 1B y 2B del Anexo 1:</w:t>
      </w:r>
    </w:p>
    <w:p w14:paraId="55BD1ED6" w14:textId="77777777" w:rsidR="00602F7C" w:rsidRPr="00E60787" w:rsidRDefault="00602F7C" w:rsidP="00602F7C">
      <w:pPr>
        <w:pStyle w:val="enumlev2"/>
        <w:rPr>
          <w:lang w:val="es-ES"/>
        </w:rPr>
      </w:pPr>
      <w:r w:rsidRPr="00E60787">
        <w:rPr>
          <w:lang w:val="es-ES"/>
        </w:rPr>
        <w:t>•</w:t>
      </w:r>
      <w:r w:rsidRPr="00E60787">
        <w:rPr>
          <w:lang w:val="es-ES"/>
        </w:rPr>
        <w:tab/>
        <w:t>Para el sistema L «Sistema de radiodifusión 5G para servicios lineales de televisión y radio; sistema de radiodifusión terrenal 5G basado en LTE»: se han añadido los parámetros relacionados con tres anchos de banda de canal adicionales en el Cuadro</w:t>
      </w:r>
      <w:r>
        <w:rPr>
          <w:lang w:val="es-ES"/>
        </w:rPr>
        <w:t> </w:t>
      </w:r>
      <w:r w:rsidRPr="00E60787">
        <w:rPr>
          <w:lang w:val="es-ES"/>
        </w:rPr>
        <w:t>1B.</w:t>
      </w:r>
    </w:p>
    <w:p w14:paraId="5354DC38" w14:textId="77777777" w:rsidR="00602F7C" w:rsidRPr="00E60787" w:rsidRDefault="00602F7C" w:rsidP="00602F7C">
      <w:pPr>
        <w:pStyle w:val="enumlev2"/>
        <w:rPr>
          <w:lang w:val="es-ES"/>
        </w:rPr>
      </w:pPr>
      <w:r w:rsidRPr="00E60787">
        <w:rPr>
          <w:lang w:val="es-ES"/>
        </w:rPr>
        <w:t>•</w:t>
      </w:r>
      <w:r w:rsidRPr="00E60787">
        <w:rPr>
          <w:lang w:val="es-ES"/>
        </w:rPr>
        <w:tab/>
        <w:t>Nuevo sistema M «DTMB-A»: Adición de parámetros de sistema en los Cuadros</w:t>
      </w:r>
      <w:r>
        <w:rPr>
          <w:lang w:val="es-ES"/>
        </w:rPr>
        <w:t> </w:t>
      </w:r>
      <w:r w:rsidRPr="00E60787">
        <w:rPr>
          <w:lang w:val="es-ES"/>
        </w:rPr>
        <w:t>1B y 2B. Estos parámetros permiten la utilización del sistema DTMB</w:t>
      </w:r>
      <w:r>
        <w:rPr>
          <w:lang w:val="es-ES"/>
        </w:rPr>
        <w:noBreakHyphen/>
      </w:r>
      <w:r w:rsidRPr="00E60787">
        <w:rPr>
          <w:lang w:val="es-ES"/>
        </w:rPr>
        <w:t>A como sistema de radiodifusión móvil terrenal de multimedios.</w:t>
      </w:r>
    </w:p>
    <w:p w14:paraId="7991406F" w14:textId="77777777" w:rsidR="00602F7C" w:rsidRPr="00E60787" w:rsidRDefault="00602F7C" w:rsidP="00602F7C">
      <w:pPr>
        <w:pStyle w:val="enumlev1"/>
        <w:rPr>
          <w:lang w:val="es-ES"/>
        </w:rPr>
      </w:pPr>
      <w:r w:rsidRPr="00E60787">
        <w:rPr>
          <w:lang w:val="es-ES"/>
        </w:rPr>
        <w:t>–</w:t>
      </w:r>
      <w:r w:rsidRPr="00E60787">
        <w:rPr>
          <w:lang w:val="es-ES"/>
        </w:rPr>
        <w:tab/>
        <w:t>Actualización del número de la última versión 3GPP en el Adjunto</w:t>
      </w:r>
      <w:r>
        <w:rPr>
          <w:lang w:val="es-ES"/>
        </w:rPr>
        <w:t> </w:t>
      </w:r>
      <w:r w:rsidRPr="00E60787">
        <w:rPr>
          <w:lang w:val="es-ES"/>
        </w:rPr>
        <w:t>8 del Anexo</w:t>
      </w:r>
      <w:r>
        <w:rPr>
          <w:lang w:val="es-ES"/>
        </w:rPr>
        <w:t> </w:t>
      </w:r>
      <w:r w:rsidRPr="00E60787">
        <w:rPr>
          <w:lang w:val="es-ES"/>
        </w:rPr>
        <w:t>1.</w:t>
      </w:r>
    </w:p>
    <w:p w14:paraId="5461D856" w14:textId="77777777" w:rsidR="00602F7C" w:rsidRPr="00E60787" w:rsidRDefault="00602F7C" w:rsidP="00602F7C">
      <w:pPr>
        <w:pStyle w:val="enumlev1"/>
        <w:rPr>
          <w:lang w:val="es-ES"/>
        </w:rPr>
      </w:pPr>
      <w:r w:rsidRPr="00E60787">
        <w:rPr>
          <w:lang w:val="es-ES"/>
        </w:rPr>
        <w:t>–</w:t>
      </w:r>
      <w:r w:rsidRPr="00E60787">
        <w:rPr>
          <w:lang w:val="es-ES"/>
        </w:rPr>
        <w:tab/>
        <w:t>Adición del Anexo 10 para incluir detalles del sistema M «DTMB</w:t>
      </w:r>
      <w:r>
        <w:rPr>
          <w:lang w:val="es-ES"/>
        </w:rPr>
        <w:noBreakHyphen/>
      </w:r>
      <w:r w:rsidRPr="00E60787">
        <w:rPr>
          <w:lang w:val="es-ES"/>
        </w:rPr>
        <w:t>A».</w:t>
      </w:r>
    </w:p>
    <w:p w14:paraId="43560D5A" w14:textId="77777777" w:rsidR="00357EB8" w:rsidRPr="00602F7C" w:rsidRDefault="00357EB8" w:rsidP="00357EB8">
      <w:pPr>
        <w:rPr>
          <w:lang w:val="es-ES"/>
        </w:rPr>
      </w:pPr>
    </w:p>
    <w:p w14:paraId="574B0365" w14:textId="77777777" w:rsidR="00357EB8" w:rsidRDefault="00357EB8">
      <w:pPr>
        <w:jc w:val="center"/>
      </w:pPr>
      <w:r>
        <w:t>______________</w:t>
      </w:r>
    </w:p>
    <w:sectPr w:rsidR="00357EB8" w:rsidSect="00547C9F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0B9C89CE" w:rsidR="005370F0" w:rsidRPr="00C30B75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353E34">
      <w:fldChar w:fldCharType="begin"/>
    </w:r>
    <w:r w:rsidR="00353E34" w:rsidRPr="00C80AA6">
      <w:rPr>
        <w:lang w:val="es-ES"/>
      </w:rPr>
      <w:instrText>HYPERLINK "mailto:brmail@itu.int"</w:instrText>
    </w:r>
    <w:r w:rsidR="00353E34">
      <w:fldChar w:fldCharType="separate"/>
    </w:r>
    <w:r w:rsidR="00353E34" w:rsidRPr="000B33D5">
      <w:rPr>
        <w:rStyle w:val="Hyperlink"/>
        <w:sz w:val="19"/>
        <w:szCs w:val="19"/>
        <w:lang w:val="es-ES"/>
      </w:rPr>
      <w:t>brmail@itu.int</w:t>
    </w:r>
    <w:r w:rsidR="00353E34">
      <w:rPr>
        <w:rStyle w:val="Hyperlink"/>
        <w:sz w:val="19"/>
        <w:szCs w:val="19"/>
        <w:lang w:val="es-ES"/>
      </w:rPr>
      <w:fldChar w:fldCharType="end"/>
    </w:r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21716E5A" w:rsidR="00E915AF" w:rsidRPr="00D239B4" w:rsidRDefault="00D97EF5" w:rsidP="00357EB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DC5" w14:textId="51320B7E" w:rsidR="00E915AF" w:rsidRPr="00357EB8" w:rsidRDefault="00357EB8" w:rsidP="00357EB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256A" w14:textId="47084310" w:rsidR="00547C9F" w:rsidRPr="001B3D4D" w:rsidRDefault="00547C9F" w:rsidP="00547C9F">
    <w:pPr>
      <w:pStyle w:val="Header"/>
      <w:spacing w:before="840"/>
      <w:jc w:val="center"/>
    </w:pPr>
    <w:r>
      <w:rPr>
        <w:noProof/>
      </w:rPr>
      <w:drawing>
        <wp:inline distT="0" distB="0" distL="0" distR="0" wp14:anchorId="16979F1C" wp14:editId="065D5EBE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C4D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82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28B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787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A46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63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E2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EA3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500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EB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014610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04803">
    <w:abstractNumId w:val="15"/>
  </w:num>
  <w:num w:numId="3" w16cid:durableId="1372147769">
    <w:abstractNumId w:val="9"/>
  </w:num>
  <w:num w:numId="4" w16cid:durableId="1872067121">
    <w:abstractNumId w:val="7"/>
  </w:num>
  <w:num w:numId="5" w16cid:durableId="713846086">
    <w:abstractNumId w:val="6"/>
  </w:num>
  <w:num w:numId="6" w16cid:durableId="252707406">
    <w:abstractNumId w:val="5"/>
  </w:num>
  <w:num w:numId="7" w16cid:durableId="396560593">
    <w:abstractNumId w:val="4"/>
  </w:num>
  <w:num w:numId="8" w16cid:durableId="1510679194">
    <w:abstractNumId w:val="8"/>
  </w:num>
  <w:num w:numId="9" w16cid:durableId="132456077">
    <w:abstractNumId w:val="3"/>
  </w:num>
  <w:num w:numId="10" w16cid:durableId="1834102326">
    <w:abstractNumId w:val="2"/>
  </w:num>
  <w:num w:numId="11" w16cid:durableId="913053854">
    <w:abstractNumId w:val="1"/>
  </w:num>
  <w:num w:numId="12" w16cid:durableId="5866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072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91F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A28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96F36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17EB1"/>
    <w:rsid w:val="003266ED"/>
    <w:rsid w:val="00326C68"/>
    <w:rsid w:val="0033029C"/>
    <w:rsid w:val="003370B8"/>
    <w:rsid w:val="00345D38"/>
    <w:rsid w:val="00352097"/>
    <w:rsid w:val="00353E34"/>
    <w:rsid w:val="00357EB8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1F0E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09AE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47C9F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E6CDC"/>
    <w:rsid w:val="005F17BA"/>
    <w:rsid w:val="005F3CB6"/>
    <w:rsid w:val="005F657C"/>
    <w:rsid w:val="00602D53"/>
    <w:rsid w:val="00602F7C"/>
    <w:rsid w:val="00603C2A"/>
    <w:rsid w:val="006047E5"/>
    <w:rsid w:val="0064371D"/>
    <w:rsid w:val="00650543"/>
    <w:rsid w:val="00650B2A"/>
    <w:rsid w:val="00651777"/>
    <w:rsid w:val="006550F8"/>
    <w:rsid w:val="00663677"/>
    <w:rsid w:val="00665FC6"/>
    <w:rsid w:val="006829F3"/>
    <w:rsid w:val="006A518B"/>
    <w:rsid w:val="006B0590"/>
    <w:rsid w:val="006B49DA"/>
    <w:rsid w:val="006C4779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3AA1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44C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3D52"/>
    <w:rsid w:val="00A20FBC"/>
    <w:rsid w:val="00A31370"/>
    <w:rsid w:val="00A34538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C710A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478"/>
    <w:rsid w:val="00BE63DB"/>
    <w:rsid w:val="00BE6574"/>
    <w:rsid w:val="00BF577D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76D7F"/>
    <w:rsid w:val="00C80AA6"/>
    <w:rsid w:val="00C813AA"/>
    <w:rsid w:val="00C9291E"/>
    <w:rsid w:val="00CA3F44"/>
    <w:rsid w:val="00CA4AEE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57D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10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84400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57EB8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CA4A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A4A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CA4AE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A4AE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03C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7EB8"/>
    <w:rPr>
      <w:color w:val="808080"/>
    </w:rPr>
  </w:style>
  <w:style w:type="paragraph" w:customStyle="1" w:styleId="Summary">
    <w:name w:val="Summary"/>
    <w:basedOn w:val="Normal"/>
    <w:next w:val="Normal"/>
    <w:autoRedefine/>
    <w:rsid w:val="00357EB8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57EB8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7BA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602F7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es" TargetMode="External"/><Relationship Id="rId13" Type="http://schemas.openxmlformats.org/officeDocument/2006/relationships/hyperlink" Target="https://www.itu.int/md/R23-SG06-C-007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064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-006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23-SG06-C-006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23-SG06-C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866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10</cp:revision>
  <cp:lastPrinted>2013-03-08T10:15:00Z</cp:lastPrinted>
  <dcterms:created xsi:type="dcterms:W3CDTF">2024-02-08T15:00:00Z</dcterms:created>
  <dcterms:modified xsi:type="dcterms:W3CDTF">2024-12-04T14:16:00Z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