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507D88" w14:paraId="4E3AAEF3" w14:textId="77777777" w:rsidTr="004228FA">
        <w:trPr>
          <w:jc w:val="center"/>
        </w:trPr>
        <w:tc>
          <w:tcPr>
            <w:tcW w:w="9889" w:type="dxa"/>
            <w:gridSpan w:val="3"/>
            <w:shd w:val="clear" w:color="auto" w:fill="auto"/>
          </w:tcPr>
          <w:p w14:paraId="4A95DBCB" w14:textId="77777777" w:rsidR="00E53DCE" w:rsidRPr="00507D88" w:rsidRDefault="00E53DCE" w:rsidP="00504D9E">
            <w:pPr>
              <w:spacing w:before="0" w:line="240" w:lineRule="auto"/>
              <w:jc w:val="left"/>
              <w:rPr>
                <w:rFonts w:cstheme="minorHAnsi"/>
                <w:b/>
                <w:bCs/>
                <w:noProof/>
                <w:color w:val="808080"/>
                <w:sz w:val="28"/>
                <w:szCs w:val="28"/>
                <w:lang w:val="fr-FR"/>
              </w:rPr>
            </w:pPr>
            <w:r w:rsidRPr="00507D88">
              <w:rPr>
                <w:rFonts w:cstheme="minorHAnsi"/>
                <w:b/>
                <w:bCs/>
                <w:noProof/>
                <w:color w:val="808080"/>
                <w:sz w:val="28"/>
                <w:szCs w:val="28"/>
                <w:lang w:val="fr-FR"/>
              </w:rPr>
              <w:t>Bureau des radiocommunications (BR)</w:t>
            </w:r>
          </w:p>
          <w:p w14:paraId="721DC6B8" w14:textId="77777777" w:rsidR="00E53DCE" w:rsidRPr="00507D88" w:rsidRDefault="00E53DCE" w:rsidP="00504D9E">
            <w:pPr>
              <w:spacing w:before="0" w:line="240" w:lineRule="auto"/>
              <w:jc w:val="left"/>
              <w:rPr>
                <w:rFonts w:cstheme="minorHAnsi"/>
                <w:b/>
                <w:bCs/>
                <w:noProof/>
                <w:color w:val="808080"/>
                <w:sz w:val="28"/>
                <w:szCs w:val="28"/>
                <w:lang w:val="fr-FR"/>
              </w:rPr>
            </w:pPr>
          </w:p>
          <w:p w14:paraId="7B5D8816" w14:textId="77777777" w:rsidR="00E53DCE" w:rsidRPr="00507D88" w:rsidRDefault="00E53DCE" w:rsidP="00504D9E">
            <w:pPr>
              <w:spacing w:before="0" w:line="240" w:lineRule="auto"/>
              <w:jc w:val="left"/>
              <w:rPr>
                <w:rFonts w:cs="Times New Roman Bold"/>
                <w:b/>
                <w:bCs/>
                <w:noProof/>
                <w:color w:val="808080"/>
                <w:sz w:val="28"/>
                <w:szCs w:val="28"/>
                <w:lang w:val="fr-FR"/>
              </w:rPr>
            </w:pPr>
          </w:p>
        </w:tc>
      </w:tr>
      <w:tr w:rsidR="00E53DCE" w:rsidRPr="00507D88" w14:paraId="1F52F5E5" w14:textId="77777777" w:rsidTr="004228FA">
        <w:trPr>
          <w:jc w:val="center"/>
        </w:trPr>
        <w:tc>
          <w:tcPr>
            <w:tcW w:w="7054" w:type="dxa"/>
            <w:gridSpan w:val="2"/>
            <w:shd w:val="clear" w:color="auto" w:fill="auto"/>
          </w:tcPr>
          <w:p w14:paraId="3C567CF7" w14:textId="77777777" w:rsidR="00E53DCE" w:rsidRPr="00507D88" w:rsidRDefault="00E53DCE" w:rsidP="00504D9E">
            <w:pPr>
              <w:spacing w:before="0" w:line="240" w:lineRule="auto"/>
              <w:jc w:val="left"/>
              <w:rPr>
                <w:noProof/>
                <w:sz w:val="28"/>
                <w:szCs w:val="28"/>
                <w:lang w:val="fr-FR"/>
              </w:rPr>
            </w:pPr>
            <w:r w:rsidRPr="00507D88">
              <w:rPr>
                <w:noProof/>
                <w:szCs w:val="24"/>
                <w:lang w:val="fr-FR"/>
              </w:rPr>
              <w:t>Circulaire administrative</w:t>
            </w:r>
          </w:p>
          <w:p w14:paraId="5D04DDA8" w14:textId="7CE7326D" w:rsidR="00E53DCE" w:rsidRPr="00507D88" w:rsidRDefault="00A40690" w:rsidP="00504D9E">
            <w:pPr>
              <w:spacing w:before="0" w:line="240" w:lineRule="auto"/>
              <w:jc w:val="left"/>
              <w:rPr>
                <w:b/>
                <w:bCs/>
                <w:noProof/>
                <w:sz w:val="28"/>
                <w:szCs w:val="28"/>
                <w:lang w:val="fr-FR"/>
              </w:rPr>
            </w:pPr>
            <w:r w:rsidRPr="00507D88">
              <w:rPr>
                <w:b/>
                <w:bCs/>
                <w:noProof/>
                <w:lang w:val="fr-FR"/>
              </w:rPr>
              <w:t>CACE/</w:t>
            </w:r>
            <w:r w:rsidR="00602B57">
              <w:rPr>
                <w:b/>
                <w:bCs/>
                <w:noProof/>
                <w:lang w:val="fr-FR"/>
              </w:rPr>
              <w:t>1122</w:t>
            </w:r>
          </w:p>
        </w:tc>
        <w:tc>
          <w:tcPr>
            <w:tcW w:w="2835" w:type="dxa"/>
            <w:shd w:val="clear" w:color="auto" w:fill="auto"/>
          </w:tcPr>
          <w:p w14:paraId="1EB84C47" w14:textId="4D6174E1" w:rsidR="00E53DCE" w:rsidRPr="00557CCF" w:rsidRDefault="00602B57" w:rsidP="00504D9E">
            <w:pPr>
              <w:spacing w:before="0" w:line="240" w:lineRule="auto"/>
              <w:jc w:val="right"/>
              <w:rPr>
                <w:noProof/>
                <w:sz w:val="28"/>
                <w:szCs w:val="28"/>
                <w:lang w:val="fr-FR"/>
              </w:rPr>
            </w:pPr>
            <w:r w:rsidRPr="00557CCF">
              <w:rPr>
                <w:rFonts w:cs="Arial"/>
                <w:szCs w:val="24"/>
                <w:lang w:val="fr-FR"/>
              </w:rPr>
              <w:t>5 décembre 2024</w:t>
            </w:r>
          </w:p>
        </w:tc>
      </w:tr>
      <w:tr w:rsidR="00E53DCE" w:rsidRPr="00507D88" w14:paraId="7E0B1EF1" w14:textId="77777777" w:rsidTr="004228FA">
        <w:trPr>
          <w:jc w:val="center"/>
        </w:trPr>
        <w:tc>
          <w:tcPr>
            <w:tcW w:w="9889" w:type="dxa"/>
            <w:gridSpan w:val="3"/>
            <w:shd w:val="clear" w:color="auto" w:fill="auto"/>
          </w:tcPr>
          <w:p w14:paraId="7227DB0B" w14:textId="77777777" w:rsidR="00E53DCE" w:rsidRPr="00507D88" w:rsidRDefault="00E53DCE" w:rsidP="00504D9E">
            <w:pPr>
              <w:spacing w:before="0" w:line="240" w:lineRule="auto"/>
              <w:jc w:val="left"/>
              <w:rPr>
                <w:noProof/>
                <w:szCs w:val="24"/>
                <w:lang w:val="fr-FR"/>
              </w:rPr>
            </w:pPr>
          </w:p>
        </w:tc>
      </w:tr>
      <w:tr w:rsidR="00E53DCE" w:rsidRPr="005014DE" w14:paraId="5404C507" w14:textId="77777777" w:rsidTr="004228FA">
        <w:trPr>
          <w:jc w:val="center"/>
        </w:trPr>
        <w:tc>
          <w:tcPr>
            <w:tcW w:w="9889" w:type="dxa"/>
            <w:gridSpan w:val="3"/>
            <w:shd w:val="clear" w:color="auto" w:fill="auto"/>
          </w:tcPr>
          <w:p w14:paraId="5349DF35" w14:textId="24FDDD77" w:rsidR="00E53DCE" w:rsidRPr="00507D88" w:rsidRDefault="00EE1A57" w:rsidP="00504D9E">
            <w:pPr>
              <w:spacing w:before="0" w:line="240" w:lineRule="auto"/>
              <w:jc w:val="left"/>
              <w:rPr>
                <w:b/>
                <w:bCs/>
                <w:noProof/>
                <w:szCs w:val="24"/>
                <w:lang w:val="fr-FR"/>
              </w:rPr>
            </w:pPr>
            <w:r w:rsidRPr="00A479B8">
              <w:rPr>
                <w:b/>
                <w:bCs/>
                <w:noProof/>
                <w:spacing w:val="-6"/>
                <w:szCs w:val="24"/>
                <w:lang w:val="fr-FR"/>
              </w:rPr>
              <w:t xml:space="preserve">Aux Administrations des </w:t>
            </w:r>
            <w:r w:rsidR="005F6E76" w:rsidRPr="00A479B8">
              <w:rPr>
                <w:b/>
                <w:bCs/>
                <w:noProof/>
                <w:spacing w:val="-6"/>
                <w:szCs w:val="24"/>
                <w:lang w:val="fr-FR"/>
              </w:rPr>
              <w:t>États</w:t>
            </w:r>
            <w:r w:rsidRPr="00A479B8">
              <w:rPr>
                <w:b/>
                <w:bCs/>
                <w:noProof/>
                <w:spacing w:val="-6"/>
                <w:szCs w:val="24"/>
                <w:lang w:val="fr-FR"/>
              </w:rPr>
              <w:t xml:space="preserve"> Membres de l'UIT</w:t>
            </w:r>
            <w:r w:rsidR="00A40690" w:rsidRPr="00A479B8">
              <w:rPr>
                <w:b/>
                <w:bCs/>
                <w:noProof/>
                <w:spacing w:val="-6"/>
                <w:szCs w:val="24"/>
                <w:lang w:val="fr-FR"/>
              </w:rPr>
              <w:t>, aux Membres du Secteur des radiocommunications</w:t>
            </w:r>
            <w:r w:rsidR="00A40690" w:rsidRPr="00507D88">
              <w:rPr>
                <w:b/>
                <w:bCs/>
                <w:noProof/>
                <w:szCs w:val="24"/>
                <w:lang w:val="fr-FR"/>
              </w:rPr>
              <w:t xml:space="preserve">, aux Associés de l'UIT-R </w:t>
            </w:r>
            <w:r w:rsidR="00224157" w:rsidRPr="00507D88">
              <w:rPr>
                <w:b/>
                <w:bCs/>
                <w:noProof/>
                <w:szCs w:val="24"/>
                <w:lang w:val="fr-FR"/>
              </w:rPr>
              <w:t xml:space="preserve">et aux établissements universitaires participant aux travaux de l'UIT qui prennent part </w:t>
            </w:r>
            <w:r w:rsidR="00A40690" w:rsidRPr="00507D88">
              <w:rPr>
                <w:b/>
                <w:bCs/>
                <w:noProof/>
                <w:szCs w:val="24"/>
                <w:lang w:val="fr-FR"/>
              </w:rPr>
              <w:t>aux travaux de la Commission d'études </w:t>
            </w:r>
            <w:r w:rsidR="00602B57">
              <w:rPr>
                <w:b/>
                <w:bCs/>
                <w:noProof/>
                <w:szCs w:val="24"/>
                <w:lang w:val="fr-FR"/>
              </w:rPr>
              <w:t>6</w:t>
            </w:r>
            <w:r w:rsidR="00A40690" w:rsidRPr="00507D88">
              <w:rPr>
                <w:b/>
                <w:bCs/>
                <w:noProof/>
                <w:szCs w:val="24"/>
                <w:lang w:val="fr-FR"/>
              </w:rPr>
              <w:t xml:space="preserve"> des radiocommunications</w:t>
            </w:r>
          </w:p>
        </w:tc>
      </w:tr>
      <w:tr w:rsidR="00E53DCE" w:rsidRPr="005014DE" w14:paraId="766208F2" w14:textId="77777777" w:rsidTr="004228FA">
        <w:trPr>
          <w:jc w:val="center"/>
        </w:trPr>
        <w:tc>
          <w:tcPr>
            <w:tcW w:w="9889" w:type="dxa"/>
            <w:gridSpan w:val="3"/>
            <w:shd w:val="clear" w:color="auto" w:fill="auto"/>
          </w:tcPr>
          <w:p w14:paraId="5607700A" w14:textId="77777777" w:rsidR="00E53DCE" w:rsidRPr="00507D88" w:rsidRDefault="00E53DCE" w:rsidP="00504D9E">
            <w:pPr>
              <w:spacing w:before="0" w:line="240" w:lineRule="auto"/>
              <w:jc w:val="left"/>
              <w:rPr>
                <w:noProof/>
                <w:szCs w:val="24"/>
                <w:lang w:val="fr-FR"/>
              </w:rPr>
            </w:pPr>
          </w:p>
        </w:tc>
      </w:tr>
      <w:tr w:rsidR="00E53DCE" w:rsidRPr="005014DE" w14:paraId="14266CB9" w14:textId="77777777" w:rsidTr="004228FA">
        <w:trPr>
          <w:jc w:val="center"/>
        </w:trPr>
        <w:tc>
          <w:tcPr>
            <w:tcW w:w="9889" w:type="dxa"/>
            <w:gridSpan w:val="3"/>
            <w:shd w:val="clear" w:color="auto" w:fill="auto"/>
          </w:tcPr>
          <w:p w14:paraId="29FE1989" w14:textId="77777777" w:rsidR="00E53DCE" w:rsidRPr="00507D88" w:rsidRDefault="00E53DCE" w:rsidP="00504D9E">
            <w:pPr>
              <w:spacing w:before="0" w:line="240" w:lineRule="auto"/>
              <w:jc w:val="left"/>
              <w:rPr>
                <w:noProof/>
                <w:szCs w:val="24"/>
                <w:lang w:val="fr-FR"/>
              </w:rPr>
            </w:pPr>
          </w:p>
        </w:tc>
      </w:tr>
      <w:tr w:rsidR="00E53DCE" w:rsidRPr="005014DE" w14:paraId="295FD3C7" w14:textId="77777777" w:rsidTr="004228FA">
        <w:trPr>
          <w:jc w:val="center"/>
        </w:trPr>
        <w:tc>
          <w:tcPr>
            <w:tcW w:w="1526" w:type="dxa"/>
            <w:shd w:val="clear" w:color="auto" w:fill="auto"/>
          </w:tcPr>
          <w:p w14:paraId="2125A16B" w14:textId="77777777" w:rsidR="00E53DCE" w:rsidRPr="00507D88" w:rsidRDefault="003471C9" w:rsidP="00504D9E">
            <w:pPr>
              <w:tabs>
                <w:tab w:val="clear" w:pos="1588"/>
                <w:tab w:val="left" w:pos="1560"/>
              </w:tabs>
              <w:spacing w:before="0" w:line="240" w:lineRule="auto"/>
              <w:jc w:val="left"/>
              <w:rPr>
                <w:noProof/>
                <w:szCs w:val="24"/>
                <w:lang w:val="fr-FR"/>
              </w:rPr>
            </w:pPr>
            <w:r w:rsidRPr="00507D88">
              <w:rPr>
                <w:noProof/>
                <w:lang w:val="fr-FR"/>
              </w:rPr>
              <w:t>Objet</w:t>
            </w:r>
            <w:r w:rsidR="00E53DCE" w:rsidRPr="00507D88">
              <w:rPr>
                <w:noProof/>
                <w:szCs w:val="24"/>
                <w:lang w:val="fr-FR"/>
              </w:rPr>
              <w:t>:</w:t>
            </w:r>
          </w:p>
        </w:tc>
        <w:tc>
          <w:tcPr>
            <w:tcW w:w="8363" w:type="dxa"/>
            <w:gridSpan w:val="2"/>
            <w:vMerge w:val="restart"/>
            <w:shd w:val="clear" w:color="auto" w:fill="auto"/>
          </w:tcPr>
          <w:p w14:paraId="3BAE3FCB" w14:textId="557B3CE0" w:rsidR="00E53DCE" w:rsidRPr="00602B57" w:rsidRDefault="00A40690" w:rsidP="00504D9E">
            <w:pPr>
              <w:tabs>
                <w:tab w:val="clear" w:pos="1588"/>
                <w:tab w:val="left" w:pos="1560"/>
              </w:tabs>
              <w:spacing w:before="0" w:line="240" w:lineRule="auto"/>
              <w:rPr>
                <w:b/>
                <w:bCs/>
                <w:noProof/>
                <w:lang w:val="fr-FR"/>
              </w:rPr>
            </w:pPr>
            <w:r w:rsidRPr="00602B57">
              <w:rPr>
                <w:b/>
                <w:bCs/>
                <w:noProof/>
                <w:lang w:val="fr-FR"/>
              </w:rPr>
              <w:t>Commission d'étude</w:t>
            </w:r>
            <w:r w:rsidR="00E16250" w:rsidRPr="00602B57">
              <w:rPr>
                <w:b/>
                <w:bCs/>
                <w:noProof/>
                <w:lang w:val="fr-FR"/>
              </w:rPr>
              <w:t>s</w:t>
            </w:r>
            <w:r w:rsidR="00EC025B" w:rsidRPr="00602B57">
              <w:rPr>
                <w:b/>
                <w:bCs/>
                <w:noProof/>
                <w:lang w:val="fr-FR"/>
              </w:rPr>
              <w:t xml:space="preserve"> </w:t>
            </w:r>
            <w:r w:rsidR="00602B57" w:rsidRPr="00602B57">
              <w:rPr>
                <w:rStyle w:val="Style1"/>
                <w:noProof/>
                <w:szCs w:val="24"/>
                <w:lang w:val="fr-FR"/>
              </w:rPr>
              <w:t>6</w:t>
            </w:r>
            <w:r w:rsidR="00EC025B" w:rsidRPr="00602B57">
              <w:rPr>
                <w:b/>
                <w:bCs/>
                <w:noProof/>
                <w:szCs w:val="24"/>
                <w:lang w:val="fr-FR"/>
              </w:rPr>
              <w:t xml:space="preserve"> </w:t>
            </w:r>
            <w:r w:rsidRPr="00602B57">
              <w:rPr>
                <w:b/>
                <w:bCs/>
                <w:noProof/>
                <w:lang w:val="fr-FR"/>
              </w:rPr>
              <w:t>des radiocommunications</w:t>
            </w:r>
            <w:r w:rsidR="00EC025B" w:rsidRPr="00602B57">
              <w:rPr>
                <w:b/>
                <w:bCs/>
                <w:noProof/>
                <w:lang w:val="fr-FR"/>
              </w:rPr>
              <w:t xml:space="preserve"> </w:t>
            </w:r>
            <w:r w:rsidR="00602B57" w:rsidRPr="00602B57">
              <w:rPr>
                <w:b/>
                <w:bCs/>
                <w:noProof/>
                <w:spacing w:val="-2"/>
                <w:lang w:val="fr-FR"/>
              </w:rPr>
              <w:t>(Service de radiodiffusion)</w:t>
            </w:r>
          </w:p>
          <w:p w14:paraId="6404DB59" w14:textId="1FD993BD" w:rsidR="00A40690" w:rsidRPr="00507D88" w:rsidRDefault="00A40690" w:rsidP="00602B57">
            <w:pPr>
              <w:pStyle w:val="enumlev1"/>
              <w:jc w:val="left"/>
              <w:rPr>
                <w:noProof/>
                <w:szCs w:val="24"/>
                <w:lang w:val="fr-FR"/>
              </w:rPr>
            </w:pPr>
            <w:r w:rsidRPr="00602B57">
              <w:rPr>
                <w:b/>
                <w:bCs/>
                <w:noProof/>
                <w:lang w:val="fr-FR"/>
              </w:rPr>
              <w:t>–</w:t>
            </w:r>
            <w:r w:rsidRPr="00602B57">
              <w:rPr>
                <w:b/>
                <w:bCs/>
                <w:noProof/>
                <w:lang w:val="fr-FR"/>
              </w:rPr>
              <w:tab/>
            </w:r>
            <w:r w:rsidR="001B2948" w:rsidRPr="00602B57">
              <w:rPr>
                <w:b/>
                <w:bCs/>
                <w:noProof/>
                <w:lang w:val="fr-FR"/>
              </w:rPr>
              <w:t>Proposition d'adoption d</w:t>
            </w:r>
            <w:r w:rsidR="00602B57" w:rsidRPr="00602B57">
              <w:rPr>
                <w:b/>
                <w:bCs/>
                <w:noProof/>
                <w:lang w:val="fr-FR"/>
              </w:rPr>
              <w:t xml:space="preserve">’une </w:t>
            </w:r>
            <w:r w:rsidR="001B2948" w:rsidRPr="00602B57">
              <w:rPr>
                <w:b/>
                <w:bCs/>
                <w:noProof/>
                <w:lang w:val="fr-FR"/>
              </w:rPr>
              <w:t xml:space="preserve">nouvelle </w:t>
            </w:r>
            <w:r w:rsidR="00D21CA5" w:rsidRPr="00602B57">
              <w:rPr>
                <w:b/>
                <w:bCs/>
                <w:noProof/>
                <w:lang w:val="fr-FR"/>
              </w:rPr>
              <w:t xml:space="preserve">Recommandation </w:t>
            </w:r>
            <w:r w:rsidR="001B2948" w:rsidRPr="00602B57">
              <w:rPr>
                <w:b/>
                <w:bCs/>
                <w:noProof/>
                <w:lang w:val="fr-FR"/>
              </w:rPr>
              <w:t>UIT</w:t>
            </w:r>
            <w:r w:rsidR="00D11D32" w:rsidRPr="00602B57">
              <w:rPr>
                <w:b/>
                <w:bCs/>
                <w:noProof/>
                <w:lang w:val="fr-FR"/>
              </w:rPr>
              <w:noBreakHyphen/>
            </w:r>
            <w:r w:rsidR="001B2948" w:rsidRPr="00602B57">
              <w:rPr>
                <w:b/>
                <w:bCs/>
                <w:noProof/>
                <w:lang w:val="fr-FR"/>
              </w:rPr>
              <w:t>R et de </w:t>
            </w:r>
            <w:r w:rsidR="00DB7859">
              <w:rPr>
                <w:b/>
                <w:bCs/>
                <w:noProof/>
                <w:lang w:val="fr-FR"/>
              </w:rPr>
              <w:t>trois</w:t>
            </w:r>
            <w:r w:rsidR="00602B57" w:rsidRPr="00602B57">
              <w:rPr>
                <w:b/>
                <w:bCs/>
                <w:noProof/>
                <w:lang w:val="fr-FR"/>
              </w:rPr>
              <w:t> </w:t>
            </w:r>
            <w:r w:rsidR="001B2948" w:rsidRPr="00602B57">
              <w:rPr>
                <w:b/>
                <w:bCs/>
                <w:noProof/>
                <w:lang w:val="fr-FR"/>
              </w:rPr>
              <w:t xml:space="preserve">projets de </w:t>
            </w:r>
            <w:r w:rsidR="00D21CA5" w:rsidRPr="00602B57">
              <w:rPr>
                <w:b/>
                <w:bCs/>
                <w:noProof/>
                <w:lang w:val="fr-FR"/>
              </w:rPr>
              <w:t xml:space="preserve">Recommandation </w:t>
            </w:r>
            <w:r w:rsidR="001B2948" w:rsidRPr="00602B57">
              <w:rPr>
                <w:b/>
                <w:bCs/>
                <w:noProof/>
                <w:lang w:val="fr-FR"/>
              </w:rPr>
              <w:t>UIT-R révisée et approbation</w:t>
            </w:r>
            <w:r w:rsidR="00507D88" w:rsidRPr="00602B57">
              <w:rPr>
                <w:b/>
                <w:bCs/>
                <w:noProof/>
                <w:lang w:val="fr-FR"/>
              </w:rPr>
              <w:t xml:space="preserve"> </w:t>
            </w:r>
            <w:r w:rsidR="001B2948" w:rsidRPr="00602B57">
              <w:rPr>
                <w:b/>
                <w:bCs/>
                <w:noProof/>
                <w:lang w:val="fr-FR"/>
              </w:rPr>
              <w:t>simultanée par correspondance de ces projets, conformément</w:t>
            </w:r>
            <w:r w:rsidR="00507D88" w:rsidRPr="00602B57">
              <w:rPr>
                <w:b/>
                <w:bCs/>
                <w:noProof/>
                <w:lang w:val="fr-FR"/>
              </w:rPr>
              <w:t xml:space="preserve"> </w:t>
            </w:r>
            <w:r w:rsidR="001B2948" w:rsidRPr="00602B57">
              <w:rPr>
                <w:b/>
                <w:bCs/>
                <w:noProof/>
                <w:lang w:val="fr-FR"/>
              </w:rPr>
              <w:t>au</w:t>
            </w:r>
            <w:r w:rsidR="00504D9E" w:rsidRPr="00602B57">
              <w:rPr>
                <w:b/>
                <w:bCs/>
                <w:noProof/>
                <w:lang w:val="fr-FR"/>
              </w:rPr>
              <w:t> </w:t>
            </w:r>
            <w:r w:rsidR="001B2948" w:rsidRPr="00602B57">
              <w:rPr>
                <w:b/>
                <w:bCs/>
                <w:noProof/>
                <w:lang w:val="fr-FR"/>
              </w:rPr>
              <w:t>§</w:t>
            </w:r>
            <w:r w:rsidR="00504D9E" w:rsidRPr="00602B57">
              <w:rPr>
                <w:b/>
                <w:bCs/>
                <w:noProof/>
                <w:lang w:val="fr-FR"/>
              </w:rPr>
              <w:t> </w:t>
            </w:r>
            <w:r w:rsidR="001B2948" w:rsidRPr="00602B57">
              <w:rPr>
                <w:rFonts w:cstheme="minorHAnsi"/>
                <w:b/>
                <w:bCs/>
                <w:noProof/>
                <w:szCs w:val="24"/>
                <w:lang w:val="fr-FR"/>
              </w:rPr>
              <w:t xml:space="preserve">A2.6.2.4 </w:t>
            </w:r>
            <w:r w:rsidR="001B2948" w:rsidRPr="00602B57">
              <w:rPr>
                <w:b/>
                <w:bCs/>
                <w:noProof/>
                <w:lang w:val="fr-FR"/>
              </w:rPr>
              <w:t>de la Résolution UIT-R 1-</w:t>
            </w:r>
            <w:r w:rsidR="00666378" w:rsidRPr="00602B57">
              <w:rPr>
                <w:b/>
                <w:bCs/>
                <w:noProof/>
                <w:lang w:val="fr-FR"/>
              </w:rPr>
              <w:t xml:space="preserve">9 </w:t>
            </w:r>
            <w:r w:rsidR="001B2948" w:rsidRPr="00602B57">
              <w:rPr>
                <w:b/>
                <w:bCs/>
                <w:noProof/>
                <w:lang w:val="fr-FR"/>
              </w:rPr>
              <w:t>(Procédure d'adoption et d'approbation simultanées par correspondance)</w:t>
            </w:r>
          </w:p>
        </w:tc>
      </w:tr>
      <w:tr w:rsidR="00E53DCE" w:rsidRPr="005014DE" w14:paraId="1EA47F39" w14:textId="77777777" w:rsidTr="004228FA">
        <w:trPr>
          <w:jc w:val="center"/>
        </w:trPr>
        <w:tc>
          <w:tcPr>
            <w:tcW w:w="1526" w:type="dxa"/>
            <w:shd w:val="clear" w:color="auto" w:fill="auto"/>
          </w:tcPr>
          <w:p w14:paraId="5C4C4917" w14:textId="77777777" w:rsidR="00E53DCE" w:rsidRPr="00507D88" w:rsidRDefault="00E53DCE" w:rsidP="00504D9E">
            <w:pPr>
              <w:tabs>
                <w:tab w:val="clear" w:pos="1588"/>
                <w:tab w:val="left" w:pos="1560"/>
              </w:tabs>
              <w:spacing w:before="0" w:line="240" w:lineRule="auto"/>
              <w:jc w:val="left"/>
              <w:rPr>
                <w:b/>
                <w:bCs/>
                <w:noProof/>
                <w:szCs w:val="24"/>
                <w:lang w:val="fr-FR"/>
              </w:rPr>
            </w:pPr>
          </w:p>
        </w:tc>
        <w:tc>
          <w:tcPr>
            <w:tcW w:w="8363" w:type="dxa"/>
            <w:gridSpan w:val="2"/>
            <w:vMerge/>
            <w:shd w:val="clear" w:color="auto" w:fill="auto"/>
          </w:tcPr>
          <w:p w14:paraId="759CE25A" w14:textId="77777777" w:rsidR="00E53DCE" w:rsidRPr="00507D88" w:rsidRDefault="00E53DCE" w:rsidP="00504D9E">
            <w:pPr>
              <w:tabs>
                <w:tab w:val="clear" w:pos="1588"/>
                <w:tab w:val="left" w:pos="1560"/>
              </w:tabs>
              <w:spacing w:before="0" w:line="240" w:lineRule="auto"/>
              <w:rPr>
                <w:b/>
                <w:bCs/>
                <w:noProof/>
                <w:szCs w:val="24"/>
                <w:lang w:val="fr-FR"/>
              </w:rPr>
            </w:pPr>
          </w:p>
        </w:tc>
      </w:tr>
      <w:tr w:rsidR="00E53DCE" w:rsidRPr="005014DE" w14:paraId="08ED47EA" w14:textId="77777777" w:rsidTr="004228FA">
        <w:trPr>
          <w:jc w:val="center"/>
        </w:trPr>
        <w:tc>
          <w:tcPr>
            <w:tcW w:w="1526" w:type="dxa"/>
            <w:shd w:val="clear" w:color="auto" w:fill="auto"/>
          </w:tcPr>
          <w:p w14:paraId="27B1702C" w14:textId="77777777" w:rsidR="00E53DCE" w:rsidRPr="00507D88" w:rsidRDefault="00E53DCE" w:rsidP="00504D9E">
            <w:pPr>
              <w:tabs>
                <w:tab w:val="clear" w:pos="1588"/>
                <w:tab w:val="left" w:pos="1560"/>
              </w:tabs>
              <w:spacing w:before="0" w:line="240" w:lineRule="auto"/>
              <w:jc w:val="left"/>
              <w:rPr>
                <w:b/>
                <w:bCs/>
                <w:noProof/>
                <w:szCs w:val="24"/>
                <w:lang w:val="fr-FR"/>
              </w:rPr>
            </w:pPr>
          </w:p>
        </w:tc>
        <w:tc>
          <w:tcPr>
            <w:tcW w:w="8363" w:type="dxa"/>
            <w:gridSpan w:val="2"/>
            <w:vMerge/>
            <w:shd w:val="clear" w:color="auto" w:fill="auto"/>
          </w:tcPr>
          <w:p w14:paraId="5D28FFE1" w14:textId="77777777" w:rsidR="00E53DCE" w:rsidRPr="00507D88" w:rsidRDefault="00E53DCE" w:rsidP="00504D9E">
            <w:pPr>
              <w:tabs>
                <w:tab w:val="clear" w:pos="1588"/>
                <w:tab w:val="left" w:pos="1560"/>
              </w:tabs>
              <w:spacing w:before="0" w:line="240" w:lineRule="auto"/>
              <w:rPr>
                <w:b/>
                <w:bCs/>
                <w:noProof/>
                <w:szCs w:val="24"/>
                <w:lang w:val="fr-FR"/>
              </w:rPr>
            </w:pPr>
          </w:p>
        </w:tc>
      </w:tr>
      <w:tr w:rsidR="00E53DCE" w:rsidRPr="005014DE" w14:paraId="44BCD4BA" w14:textId="77777777" w:rsidTr="004228FA">
        <w:trPr>
          <w:jc w:val="center"/>
        </w:trPr>
        <w:tc>
          <w:tcPr>
            <w:tcW w:w="9889" w:type="dxa"/>
            <w:gridSpan w:val="3"/>
            <w:shd w:val="clear" w:color="auto" w:fill="auto"/>
          </w:tcPr>
          <w:p w14:paraId="6CC7B6CD" w14:textId="77777777" w:rsidR="00E53DCE" w:rsidRPr="00507D88" w:rsidRDefault="00E53DCE" w:rsidP="00504D9E">
            <w:pPr>
              <w:spacing w:before="0" w:line="240" w:lineRule="auto"/>
              <w:jc w:val="left"/>
              <w:rPr>
                <w:b/>
                <w:bCs/>
                <w:noProof/>
                <w:szCs w:val="24"/>
                <w:lang w:val="fr-FR"/>
              </w:rPr>
            </w:pPr>
          </w:p>
        </w:tc>
      </w:tr>
    </w:tbl>
    <w:p w14:paraId="1B39BFF6" w14:textId="06792061" w:rsidR="00EB4520" w:rsidRPr="00507D88" w:rsidRDefault="005F6E76" w:rsidP="00602B57">
      <w:pPr>
        <w:pStyle w:val="Normalaftertitle"/>
        <w:spacing w:before="600"/>
        <w:rPr>
          <w:noProof/>
          <w:lang w:val="fr-FR"/>
        </w:rPr>
      </w:pPr>
      <w:r w:rsidRPr="00507D88">
        <w:rPr>
          <w:noProof/>
          <w:lang w:val="fr-FR"/>
        </w:rPr>
        <w:t>À</w:t>
      </w:r>
      <w:r w:rsidR="001B2948" w:rsidRPr="00507D88">
        <w:rPr>
          <w:noProof/>
          <w:lang w:val="fr-FR"/>
        </w:rPr>
        <w:t xml:space="preserve"> sa réunion tenue </w:t>
      </w:r>
      <w:r w:rsidR="00602B57">
        <w:rPr>
          <w:noProof/>
          <w:lang w:val="fr-FR"/>
        </w:rPr>
        <w:t>le 15 novembre 2024</w:t>
      </w:r>
      <w:r w:rsidR="001B2948" w:rsidRPr="00507D88">
        <w:rPr>
          <w:noProof/>
          <w:lang w:val="fr-FR"/>
        </w:rPr>
        <w:t xml:space="preserve">, la Commission d'études </w:t>
      </w:r>
      <w:r w:rsidR="00602B57">
        <w:rPr>
          <w:noProof/>
          <w:lang w:val="fr-FR"/>
        </w:rPr>
        <w:t>6</w:t>
      </w:r>
      <w:r w:rsidR="001B2948" w:rsidRPr="00507D88">
        <w:rPr>
          <w:noProof/>
          <w:lang w:val="fr-FR"/>
        </w:rPr>
        <w:t xml:space="preserve"> des radiocommunications a décidé de demander l'adoption par correspondance d</w:t>
      </w:r>
      <w:r w:rsidR="00602B57">
        <w:rPr>
          <w:noProof/>
          <w:lang w:val="fr-FR"/>
        </w:rPr>
        <w:t>’un</w:t>
      </w:r>
      <w:r w:rsidR="001B2948" w:rsidRPr="00507D88">
        <w:rPr>
          <w:noProof/>
          <w:lang w:val="fr-FR"/>
        </w:rPr>
        <w:t xml:space="preserve"> projet de nouvelle </w:t>
      </w:r>
      <w:r w:rsidR="00D21CA5" w:rsidRPr="00507D88">
        <w:rPr>
          <w:noProof/>
          <w:lang w:val="fr-FR"/>
        </w:rPr>
        <w:t xml:space="preserve">Recommandation </w:t>
      </w:r>
      <w:r w:rsidR="001B2948" w:rsidRPr="00507D88">
        <w:rPr>
          <w:noProof/>
          <w:lang w:val="fr-FR"/>
        </w:rPr>
        <w:t>UIT</w:t>
      </w:r>
      <w:r w:rsidR="00602B57">
        <w:rPr>
          <w:noProof/>
          <w:lang w:val="fr-FR"/>
        </w:rPr>
        <w:noBreakHyphen/>
      </w:r>
      <w:r w:rsidR="001B2948" w:rsidRPr="00507D88">
        <w:rPr>
          <w:noProof/>
          <w:lang w:val="fr-FR"/>
        </w:rPr>
        <w:t xml:space="preserve">R </w:t>
      </w:r>
      <w:r w:rsidR="001B2948" w:rsidRPr="00602B57">
        <w:rPr>
          <w:noProof/>
          <w:lang w:val="fr-FR"/>
        </w:rPr>
        <w:t xml:space="preserve">et de </w:t>
      </w:r>
      <w:r w:rsidR="00602B57" w:rsidRPr="00602B57">
        <w:rPr>
          <w:noProof/>
          <w:lang w:val="fr-FR"/>
        </w:rPr>
        <w:t>trois</w:t>
      </w:r>
      <w:r w:rsidR="001B2948" w:rsidRPr="00602B57">
        <w:rPr>
          <w:noProof/>
          <w:lang w:val="fr-FR"/>
        </w:rPr>
        <w:t xml:space="preserve"> projets de </w:t>
      </w:r>
      <w:r w:rsidR="00D21CA5" w:rsidRPr="00602B57">
        <w:rPr>
          <w:noProof/>
          <w:lang w:val="fr-FR"/>
        </w:rPr>
        <w:t xml:space="preserve">Recommandation </w:t>
      </w:r>
      <w:r w:rsidR="001B2948" w:rsidRPr="00602B57">
        <w:rPr>
          <w:noProof/>
          <w:lang w:val="fr-FR"/>
        </w:rPr>
        <w:t>UIT-R révisée (§ </w:t>
      </w:r>
      <w:r w:rsidR="001B2948" w:rsidRPr="00602B57">
        <w:rPr>
          <w:noProof/>
          <w:szCs w:val="24"/>
          <w:lang w:val="fr-FR"/>
        </w:rPr>
        <w:t>A2.6.2 </w:t>
      </w:r>
      <w:r w:rsidR="001B2948" w:rsidRPr="00602B57">
        <w:rPr>
          <w:noProof/>
          <w:lang w:val="fr-FR"/>
        </w:rPr>
        <w:t>de la Résolution UIT-R 1-</w:t>
      </w:r>
      <w:r w:rsidR="00666378" w:rsidRPr="00602B57">
        <w:rPr>
          <w:noProof/>
          <w:lang w:val="fr-FR"/>
        </w:rPr>
        <w:t>9</w:t>
      </w:r>
      <w:r w:rsidR="001B2948" w:rsidRPr="00602B57">
        <w:rPr>
          <w:noProof/>
          <w:lang w:val="fr-FR"/>
        </w:rPr>
        <w:t>) et a décidé en outre d'appliquer la procédure d'adoption et d'approbation simultanées par correspondance (PAAS), conformément au § </w:t>
      </w:r>
      <w:r w:rsidR="001B2948" w:rsidRPr="00602B57">
        <w:rPr>
          <w:noProof/>
          <w:szCs w:val="24"/>
          <w:lang w:val="fr-FR"/>
        </w:rPr>
        <w:t>A2.6.2.4 </w:t>
      </w:r>
      <w:r w:rsidR="001B2948" w:rsidRPr="00602B57">
        <w:rPr>
          <w:noProof/>
          <w:lang w:val="fr-FR"/>
        </w:rPr>
        <w:t>de la Résolution UIT-R 1</w:t>
      </w:r>
      <w:r w:rsidR="0010270E" w:rsidRPr="00602B57">
        <w:rPr>
          <w:noProof/>
          <w:lang w:val="fr-FR"/>
        </w:rPr>
        <w:t>-9</w:t>
      </w:r>
      <w:r w:rsidR="001B2948" w:rsidRPr="00602B57">
        <w:rPr>
          <w:noProof/>
          <w:lang w:val="fr-FR"/>
        </w:rPr>
        <w:t>. Le</w:t>
      </w:r>
      <w:r w:rsidR="00CB2E3B" w:rsidRPr="00602B57">
        <w:rPr>
          <w:noProof/>
          <w:lang w:val="fr-FR"/>
        </w:rPr>
        <w:t>s</w:t>
      </w:r>
      <w:r w:rsidR="001B2948" w:rsidRPr="00602B57">
        <w:rPr>
          <w:noProof/>
          <w:lang w:val="fr-FR"/>
        </w:rPr>
        <w:t xml:space="preserve"> titres et résumés des projets de </w:t>
      </w:r>
      <w:r w:rsidR="00D21CA5" w:rsidRPr="00602B57">
        <w:rPr>
          <w:noProof/>
          <w:lang w:val="fr-FR"/>
        </w:rPr>
        <w:t xml:space="preserve">Recommandation </w:t>
      </w:r>
      <w:r w:rsidR="001B2948" w:rsidRPr="00602B57">
        <w:rPr>
          <w:noProof/>
          <w:lang w:val="fr-FR"/>
        </w:rPr>
        <w:t>figurent dans l'An</w:t>
      </w:r>
      <w:r w:rsidR="009101B0" w:rsidRPr="00602B57">
        <w:rPr>
          <w:noProof/>
          <w:lang w:val="fr-FR"/>
        </w:rPr>
        <w:t xml:space="preserve">nexe </w:t>
      </w:r>
      <w:r w:rsidR="00CB2E3B" w:rsidRPr="00602B57">
        <w:rPr>
          <w:noProof/>
          <w:lang w:val="fr-FR"/>
        </w:rPr>
        <w:t>de la présente lettre</w:t>
      </w:r>
      <w:r w:rsidR="00EB4520" w:rsidRPr="00602B57">
        <w:rPr>
          <w:noProof/>
          <w:lang w:val="fr-FR"/>
        </w:rPr>
        <w:t xml:space="preserve">. Un </w:t>
      </w:r>
      <w:r w:rsidR="00267D0C" w:rsidRPr="00602B57">
        <w:rPr>
          <w:noProof/>
          <w:lang w:val="fr-FR"/>
        </w:rPr>
        <w:t>É</w:t>
      </w:r>
      <w:r w:rsidR="00EB4520" w:rsidRPr="00602B57">
        <w:rPr>
          <w:noProof/>
          <w:lang w:val="fr-FR"/>
        </w:rPr>
        <w:t xml:space="preserve">tat Membre qui soulève une objection au sujet de l'adoption d'un projet de </w:t>
      </w:r>
      <w:r w:rsidR="00D21CA5" w:rsidRPr="00602B57">
        <w:rPr>
          <w:noProof/>
          <w:lang w:val="fr-FR"/>
        </w:rPr>
        <w:t xml:space="preserve">Recommandation </w:t>
      </w:r>
      <w:r w:rsidR="00EB4520" w:rsidRPr="00602B57">
        <w:rPr>
          <w:noProof/>
          <w:lang w:val="fr-FR"/>
        </w:rPr>
        <w:t xml:space="preserve">est prié d'informer le Directeur et le Président de la </w:t>
      </w:r>
      <w:r w:rsidR="00666378" w:rsidRPr="00602B57">
        <w:rPr>
          <w:noProof/>
          <w:lang w:val="fr-FR"/>
        </w:rPr>
        <w:t xml:space="preserve">commission </w:t>
      </w:r>
      <w:r w:rsidR="00EB4520" w:rsidRPr="00602B57">
        <w:rPr>
          <w:noProof/>
          <w:lang w:val="fr-FR"/>
        </w:rPr>
        <w:t>d'études des raisons de cette objection.</w:t>
      </w:r>
    </w:p>
    <w:p w14:paraId="1185F26C" w14:textId="4F784459" w:rsidR="00EB4520" w:rsidRPr="00602B57" w:rsidRDefault="00EB4520" w:rsidP="00A479B8">
      <w:pPr>
        <w:spacing w:line="240" w:lineRule="auto"/>
        <w:rPr>
          <w:noProof/>
          <w:lang w:val="fr-FR"/>
        </w:rPr>
      </w:pPr>
      <w:r w:rsidRPr="00602B57">
        <w:rPr>
          <w:noProof/>
          <w:lang w:val="fr-FR"/>
        </w:rPr>
        <w:t xml:space="preserve">La période d'examen durera deux mois, jusqu'au </w:t>
      </w:r>
      <w:r w:rsidR="00602B57" w:rsidRPr="00602B57">
        <w:rPr>
          <w:noProof/>
          <w:u w:val="single"/>
          <w:lang w:val="fr-FR"/>
        </w:rPr>
        <w:t>5 février 2025</w:t>
      </w:r>
      <w:r w:rsidRPr="00602B57">
        <w:rPr>
          <w:noProof/>
          <w:lang w:val="fr-FR"/>
        </w:rPr>
        <w:t xml:space="preserve">. Si, au cours de cette période, aucun </w:t>
      </w:r>
      <w:r w:rsidR="009805E9" w:rsidRPr="00602B57">
        <w:rPr>
          <w:noProof/>
          <w:lang w:val="fr-FR"/>
        </w:rPr>
        <w:t>É</w:t>
      </w:r>
      <w:r w:rsidRPr="00602B57">
        <w:rPr>
          <w:noProof/>
          <w:lang w:val="fr-FR"/>
        </w:rPr>
        <w:t>tat Membre ne soulève d'objection, les</w:t>
      </w:r>
      <w:r w:rsidR="00602B57" w:rsidRPr="00602B57">
        <w:rPr>
          <w:noProof/>
          <w:lang w:val="fr-FR"/>
        </w:rPr>
        <w:t xml:space="preserve"> </w:t>
      </w:r>
      <w:r w:rsidRPr="00602B57">
        <w:rPr>
          <w:noProof/>
          <w:lang w:val="fr-FR"/>
        </w:rPr>
        <w:t xml:space="preserve">projets de </w:t>
      </w:r>
      <w:r w:rsidR="00D21CA5" w:rsidRPr="00602B57">
        <w:rPr>
          <w:noProof/>
          <w:lang w:val="fr-FR"/>
        </w:rPr>
        <w:t xml:space="preserve">Recommandation </w:t>
      </w:r>
      <w:r w:rsidRPr="00602B57">
        <w:rPr>
          <w:noProof/>
          <w:lang w:val="fr-FR"/>
        </w:rPr>
        <w:t xml:space="preserve">seront considérés comme adoptés par la Commission d'études </w:t>
      </w:r>
      <w:r w:rsidR="00602B57" w:rsidRPr="00602B57">
        <w:rPr>
          <w:noProof/>
          <w:lang w:val="fr-FR"/>
        </w:rPr>
        <w:t>6</w:t>
      </w:r>
      <w:r w:rsidRPr="00602B57">
        <w:rPr>
          <w:noProof/>
          <w:lang w:val="fr-FR"/>
        </w:rPr>
        <w:t>. En outre, puisque la procédure PAAS est appliquée, l</w:t>
      </w:r>
      <w:r w:rsidR="00D9101C" w:rsidRPr="00602B57">
        <w:rPr>
          <w:noProof/>
          <w:lang w:val="fr-FR"/>
        </w:rPr>
        <w:t>'adoption d</w:t>
      </w:r>
      <w:r w:rsidRPr="00602B57">
        <w:rPr>
          <w:noProof/>
          <w:lang w:val="fr-FR"/>
        </w:rPr>
        <w:t xml:space="preserve">es projets de </w:t>
      </w:r>
      <w:r w:rsidR="00D21CA5" w:rsidRPr="00602B57">
        <w:rPr>
          <w:noProof/>
          <w:lang w:val="fr-FR"/>
        </w:rPr>
        <w:t>Recommandation</w:t>
      </w:r>
      <w:r w:rsidR="00D21CA5" w:rsidRPr="00602B57">
        <w:rPr>
          <w:noProof/>
          <w:szCs w:val="24"/>
          <w:lang w:val="fr-FR"/>
        </w:rPr>
        <w:t xml:space="preserve"> </w:t>
      </w:r>
      <w:r w:rsidR="00D9101C" w:rsidRPr="00602B57">
        <w:rPr>
          <w:noProof/>
          <w:lang w:val="fr-FR"/>
        </w:rPr>
        <w:t>est</w:t>
      </w:r>
      <w:r w:rsidRPr="00602B57">
        <w:rPr>
          <w:noProof/>
          <w:color w:val="000000"/>
          <w:lang w:val="fr-FR"/>
        </w:rPr>
        <w:t xml:space="preserve"> considéré</w:t>
      </w:r>
      <w:r w:rsidR="00D9101C" w:rsidRPr="00602B57">
        <w:rPr>
          <w:noProof/>
          <w:color w:val="000000"/>
          <w:lang w:val="fr-FR"/>
        </w:rPr>
        <w:t>e</w:t>
      </w:r>
      <w:r w:rsidRPr="00602B57">
        <w:rPr>
          <w:noProof/>
          <w:color w:val="000000"/>
          <w:lang w:val="fr-FR"/>
        </w:rPr>
        <w:t xml:space="preserve"> comme </w:t>
      </w:r>
      <w:r w:rsidR="00D9101C" w:rsidRPr="00602B57">
        <w:rPr>
          <w:noProof/>
          <w:color w:val="000000"/>
          <w:lang w:val="fr-FR"/>
        </w:rPr>
        <w:t xml:space="preserve">valant </w:t>
      </w:r>
      <w:r w:rsidRPr="00602B57">
        <w:rPr>
          <w:noProof/>
          <w:color w:val="000000"/>
          <w:lang w:val="fr-FR"/>
        </w:rPr>
        <w:t>appro</w:t>
      </w:r>
      <w:r w:rsidR="00D9101C" w:rsidRPr="00602B57">
        <w:rPr>
          <w:noProof/>
          <w:color w:val="000000"/>
          <w:lang w:val="fr-FR"/>
        </w:rPr>
        <w:t>bation</w:t>
      </w:r>
      <w:r w:rsidRPr="00602B57">
        <w:rPr>
          <w:noProof/>
          <w:color w:val="000000"/>
          <w:lang w:val="fr-FR"/>
        </w:rPr>
        <w:t>.</w:t>
      </w:r>
    </w:p>
    <w:p w14:paraId="30A9CAF8" w14:textId="10E294C3" w:rsidR="001B2948" w:rsidRPr="00602B57" w:rsidRDefault="001B2948" w:rsidP="00A479B8">
      <w:pPr>
        <w:spacing w:line="240" w:lineRule="auto"/>
        <w:rPr>
          <w:noProof/>
          <w:lang w:val="fr-FR"/>
        </w:rPr>
      </w:pPr>
      <w:r w:rsidRPr="00602B57">
        <w:rPr>
          <w:noProof/>
          <w:lang w:val="fr-FR"/>
        </w:rPr>
        <w:t>Après la date limite mentionnée ci-dessus, les résultats de</w:t>
      </w:r>
      <w:r w:rsidR="000E2B65" w:rsidRPr="00602B57">
        <w:rPr>
          <w:noProof/>
          <w:lang w:val="fr-FR"/>
        </w:rPr>
        <w:t>s</w:t>
      </w:r>
      <w:r w:rsidRPr="00602B57">
        <w:rPr>
          <w:noProof/>
          <w:lang w:val="fr-FR"/>
        </w:rPr>
        <w:t xml:space="preserve"> procédure</w:t>
      </w:r>
      <w:r w:rsidR="000E2B65" w:rsidRPr="00602B57">
        <w:rPr>
          <w:noProof/>
          <w:lang w:val="fr-FR"/>
        </w:rPr>
        <w:t>s</w:t>
      </w:r>
      <w:r w:rsidRPr="00602B57">
        <w:rPr>
          <w:noProof/>
          <w:lang w:val="fr-FR"/>
        </w:rPr>
        <w:t xml:space="preserve"> </w:t>
      </w:r>
      <w:r w:rsidR="000E2B65" w:rsidRPr="00602B57">
        <w:rPr>
          <w:noProof/>
          <w:lang w:val="fr-FR"/>
        </w:rPr>
        <w:t>susmentionnées</w:t>
      </w:r>
      <w:r w:rsidRPr="00602B57">
        <w:rPr>
          <w:noProof/>
          <w:lang w:val="fr-FR"/>
        </w:rPr>
        <w:t xml:space="preserve"> seront communiqués dans une Circulaire administrative et les </w:t>
      </w:r>
      <w:r w:rsidR="00D21CA5" w:rsidRPr="00602B57">
        <w:rPr>
          <w:noProof/>
          <w:lang w:val="fr-FR"/>
        </w:rPr>
        <w:t>Recommandation</w:t>
      </w:r>
      <w:r w:rsidRPr="00602B57">
        <w:rPr>
          <w:noProof/>
          <w:lang w:val="fr-FR"/>
        </w:rPr>
        <w:t xml:space="preserve">s approuvées seront publiées dans les meilleurs délais (voir </w:t>
      </w:r>
      <w:hyperlink r:id="rId8" w:history="1">
        <w:r w:rsidRPr="00602B57">
          <w:rPr>
            <w:rStyle w:val="Hyperlink"/>
            <w:noProof/>
            <w:lang w:val="fr-FR"/>
          </w:rPr>
          <w:t>http://www.itu.int/pub/R-REC</w:t>
        </w:r>
      </w:hyperlink>
      <w:r w:rsidRPr="00602B57">
        <w:rPr>
          <w:noProof/>
          <w:lang w:val="fr-FR"/>
        </w:rPr>
        <w:t>).</w:t>
      </w:r>
    </w:p>
    <w:p w14:paraId="7CDC4E1A" w14:textId="669CB135" w:rsidR="001B2948" w:rsidRPr="00602B57" w:rsidRDefault="001B2948" w:rsidP="00602B57">
      <w:pPr>
        <w:keepNext/>
        <w:keepLines/>
        <w:spacing w:line="240" w:lineRule="auto"/>
        <w:rPr>
          <w:noProof/>
          <w:lang w:val="fr-FR"/>
        </w:rPr>
      </w:pPr>
      <w:r w:rsidRPr="00602B57">
        <w:rPr>
          <w:noProof/>
          <w:spacing w:val="-2"/>
          <w:lang w:val="fr-FR"/>
        </w:rPr>
        <w:lastRenderedPageBreak/>
        <w:t>Toute organisation membre de l'UIT ayant connaissance d'un brevet détenu en son sein ou</w:t>
      </w:r>
      <w:r w:rsidR="00507D88" w:rsidRPr="00602B57">
        <w:rPr>
          <w:noProof/>
          <w:spacing w:val="-2"/>
          <w:lang w:val="fr-FR"/>
        </w:rPr>
        <w:t xml:space="preserve"> </w:t>
      </w:r>
      <w:r w:rsidRPr="00602B57">
        <w:rPr>
          <w:noProof/>
          <w:spacing w:val="-2"/>
          <w:lang w:val="fr-FR"/>
        </w:rPr>
        <w:t>par</w:t>
      </w:r>
      <w:r w:rsidR="00507D88" w:rsidRPr="00602B57">
        <w:rPr>
          <w:noProof/>
          <w:spacing w:val="-2"/>
          <w:lang w:val="fr-FR"/>
        </w:rPr>
        <w:t xml:space="preserve"> </w:t>
      </w:r>
      <w:r w:rsidRPr="00602B57">
        <w:rPr>
          <w:noProof/>
          <w:spacing w:val="-2"/>
          <w:lang w:val="fr-FR"/>
        </w:rPr>
        <w:t>d'autres organismes, et susceptible de se rapporter complètement ou en partie à des</w:t>
      </w:r>
      <w:r w:rsidR="00507D88" w:rsidRPr="00602B57">
        <w:rPr>
          <w:noProof/>
          <w:spacing w:val="-2"/>
          <w:lang w:val="fr-FR"/>
        </w:rPr>
        <w:t xml:space="preserve"> </w:t>
      </w:r>
      <w:r w:rsidRPr="00602B57">
        <w:rPr>
          <w:noProof/>
          <w:spacing w:val="-2"/>
          <w:lang w:val="fr-FR"/>
        </w:rPr>
        <w:t xml:space="preserve">éléments des projets de </w:t>
      </w:r>
      <w:r w:rsidR="00D21CA5" w:rsidRPr="00602B57">
        <w:rPr>
          <w:noProof/>
          <w:spacing w:val="-2"/>
          <w:lang w:val="fr-FR"/>
        </w:rPr>
        <w:t xml:space="preserve">Recommandation </w:t>
      </w:r>
      <w:r w:rsidRPr="00602B57">
        <w:rPr>
          <w:noProof/>
          <w:spacing w:val="-2"/>
          <w:lang w:val="fr-FR"/>
        </w:rPr>
        <w:t>mentionnés dans la présente lettre, est priée de</w:t>
      </w:r>
      <w:r w:rsidR="00507D88" w:rsidRPr="00602B57">
        <w:rPr>
          <w:noProof/>
          <w:spacing w:val="-2"/>
          <w:lang w:val="fr-FR"/>
        </w:rPr>
        <w:t xml:space="preserve"> </w:t>
      </w:r>
      <w:r w:rsidRPr="00602B57">
        <w:rPr>
          <w:noProof/>
          <w:spacing w:val="-2"/>
          <w:lang w:val="fr-FR"/>
        </w:rPr>
        <w:t xml:space="preserve">transmettre lesdites informations au Secrétariat dans les meilleurs délais. La politique commune en matière de brevets de </w:t>
      </w:r>
      <w:r w:rsidRPr="00602B57">
        <w:rPr>
          <w:noProof/>
          <w:lang w:val="fr-FR"/>
        </w:rPr>
        <w:t>l'UIT</w:t>
      </w:r>
      <w:r w:rsidRPr="00602B57">
        <w:rPr>
          <w:noProof/>
          <w:lang w:val="fr-FR"/>
        </w:rPr>
        <w:noBreakHyphen/>
        <w:t>T/UIT</w:t>
      </w:r>
      <w:r w:rsidRPr="00602B57">
        <w:rPr>
          <w:noProof/>
          <w:lang w:val="fr-FR"/>
        </w:rPr>
        <w:noBreakHyphen/>
        <w:t>R/ISO/CEI est disponible à l'adresse</w:t>
      </w:r>
      <w:r w:rsidR="00732163" w:rsidRPr="00602B57">
        <w:rPr>
          <w:noProof/>
          <w:lang w:val="fr-FR"/>
        </w:rPr>
        <w:t xml:space="preserve"> </w:t>
      </w:r>
      <w:r w:rsidR="00507D88" w:rsidRPr="00602B57">
        <w:rPr>
          <w:noProof/>
          <w:lang w:val="fr-FR"/>
        </w:rPr>
        <w:fldChar w:fldCharType="begin"/>
      </w:r>
      <w:r w:rsidR="00507D88" w:rsidRPr="00602B57">
        <w:rPr>
          <w:noProof/>
          <w:lang w:val="fr-FR"/>
          <w:rPrChange w:id="0" w:author="French" w:date="2024-01-26T14:55:00Z">
            <w:rPr/>
          </w:rPrChange>
        </w:rPr>
        <w:instrText xml:space="preserve"> HYPERLINK "http://www.itu.int/ITU-T/dbase/patent/patent-policy.html" </w:instrText>
      </w:r>
      <w:r w:rsidR="00507D88" w:rsidRPr="00602B57">
        <w:rPr>
          <w:noProof/>
          <w:lang w:val="fr-FR"/>
        </w:rPr>
      </w:r>
      <w:r w:rsidR="00507D88" w:rsidRPr="00602B57">
        <w:rPr>
          <w:noProof/>
          <w:lang w:val="fr-FR"/>
        </w:rPr>
        <w:fldChar w:fldCharType="separate"/>
      </w:r>
      <w:r w:rsidR="00507D88" w:rsidRPr="00602B57">
        <w:rPr>
          <w:noProof/>
          <w:lang w:val="fr-FR"/>
        </w:rPr>
        <w:fldChar w:fldCharType="end"/>
      </w:r>
      <w:hyperlink r:id="rId9" w:history="1">
        <w:r w:rsidRPr="00602B57">
          <w:rPr>
            <w:rStyle w:val="Hyperlink"/>
            <w:noProof/>
            <w:szCs w:val="24"/>
            <w:lang w:val="fr-FR"/>
          </w:rPr>
          <w:t>http://www.itu.int/en/ITU-T/ipr/Pages/policy.aspx</w:t>
        </w:r>
      </w:hyperlink>
      <w:r w:rsidRPr="00602B57">
        <w:rPr>
          <w:noProof/>
          <w:szCs w:val="24"/>
          <w:lang w:val="fr-FR"/>
        </w:rPr>
        <w:t>.</w:t>
      </w:r>
    </w:p>
    <w:p w14:paraId="3DCE3169" w14:textId="77777777" w:rsidR="00042453" w:rsidRPr="00507D88" w:rsidRDefault="00042453" w:rsidP="00557CCF">
      <w:pPr>
        <w:keepNext/>
        <w:spacing w:before="1200" w:line="240" w:lineRule="auto"/>
        <w:jc w:val="left"/>
        <w:rPr>
          <w:rFonts w:asciiTheme="minorHAnsi" w:hAnsiTheme="minorHAnsi" w:cstheme="minorHAnsi"/>
          <w:noProof/>
          <w:szCs w:val="24"/>
          <w:lang w:val="fr-FR"/>
        </w:rPr>
      </w:pPr>
      <w:r w:rsidRPr="00602B57">
        <w:rPr>
          <w:noProof/>
          <w:szCs w:val="24"/>
          <w:lang w:val="fr-FR"/>
        </w:rPr>
        <w:t>Mario Maniewicz</w:t>
      </w:r>
      <w:r w:rsidRPr="00507D88">
        <w:rPr>
          <w:noProof/>
          <w:szCs w:val="24"/>
          <w:lang w:val="fr-FR"/>
        </w:rPr>
        <w:br/>
        <w:t>Directeur</w:t>
      </w:r>
    </w:p>
    <w:p w14:paraId="52FB7F4B" w14:textId="7D46A154" w:rsidR="001B2948" w:rsidRPr="00DB7859" w:rsidRDefault="001B2948" w:rsidP="00A479B8">
      <w:pPr>
        <w:tabs>
          <w:tab w:val="clear" w:pos="794"/>
          <w:tab w:val="clear" w:pos="1191"/>
          <w:tab w:val="clear" w:pos="1588"/>
          <w:tab w:val="left" w:pos="1418"/>
        </w:tabs>
        <w:spacing w:before="2000" w:line="240" w:lineRule="auto"/>
        <w:rPr>
          <w:bCs/>
          <w:noProof/>
          <w:lang w:val="fr-FR"/>
        </w:rPr>
      </w:pPr>
      <w:r w:rsidRPr="00DB7859">
        <w:rPr>
          <w:b/>
          <w:bCs/>
          <w:noProof/>
          <w:lang w:val="fr-FR"/>
        </w:rPr>
        <w:t xml:space="preserve">Annexe </w:t>
      </w:r>
      <w:r w:rsidRPr="00DB7859">
        <w:rPr>
          <w:noProof/>
          <w:lang w:val="fr-FR"/>
        </w:rPr>
        <w:t>:</w:t>
      </w:r>
      <w:r w:rsidRPr="00DB7859">
        <w:rPr>
          <w:b/>
          <w:bCs/>
          <w:noProof/>
          <w:lang w:val="fr-FR"/>
        </w:rPr>
        <w:tab/>
      </w:r>
      <w:r w:rsidR="00CE22BA" w:rsidRPr="00DB7859">
        <w:rPr>
          <w:bCs/>
          <w:noProof/>
          <w:lang w:val="fr-FR"/>
        </w:rPr>
        <w:t xml:space="preserve">Titres et résumés </w:t>
      </w:r>
      <w:r w:rsidRPr="00DB7859">
        <w:rPr>
          <w:bCs/>
          <w:noProof/>
          <w:lang w:val="fr-FR"/>
        </w:rPr>
        <w:t xml:space="preserve">des projets de </w:t>
      </w:r>
      <w:r w:rsidR="00D21CA5" w:rsidRPr="00DB7859">
        <w:rPr>
          <w:bCs/>
          <w:noProof/>
          <w:lang w:val="fr-FR"/>
        </w:rPr>
        <w:t>Recommandation</w:t>
      </w:r>
    </w:p>
    <w:p w14:paraId="0746B2AD" w14:textId="3E414D05" w:rsidR="00DB7859" w:rsidRPr="00DB7859" w:rsidRDefault="001B2948" w:rsidP="005014DE">
      <w:pPr>
        <w:spacing w:before="840"/>
        <w:rPr>
          <w:lang w:val="fr-FR"/>
        </w:rPr>
      </w:pPr>
      <w:r w:rsidRPr="00DB7859">
        <w:rPr>
          <w:b/>
          <w:bCs/>
          <w:noProof/>
          <w:lang w:val="fr-FR"/>
        </w:rPr>
        <w:t>Documents</w:t>
      </w:r>
      <w:r w:rsidRPr="00DB7859">
        <w:rPr>
          <w:noProof/>
          <w:lang w:val="fr-FR"/>
        </w:rPr>
        <w:t>:</w:t>
      </w:r>
      <w:r w:rsidRPr="00DB7859">
        <w:rPr>
          <w:b/>
          <w:bCs/>
          <w:noProof/>
          <w:lang w:val="fr-FR"/>
        </w:rPr>
        <w:tab/>
      </w:r>
      <w:r w:rsidR="00DB7859" w:rsidRPr="00DB7859">
        <w:rPr>
          <w:lang w:val="fr-FR"/>
        </w:rPr>
        <w:t xml:space="preserve">Documents </w:t>
      </w:r>
      <w:hyperlink r:id="rId10" w:history="1">
        <w:r w:rsidR="00DB7859" w:rsidRPr="00DB7859">
          <w:rPr>
            <w:lang w:val="fr-FR"/>
          </w:rPr>
          <w:t>6/62</w:t>
        </w:r>
      </w:hyperlink>
      <w:r w:rsidR="00DB7859" w:rsidRPr="00DB7859">
        <w:rPr>
          <w:lang w:val="fr-FR"/>
        </w:rPr>
        <w:t xml:space="preserve">, </w:t>
      </w:r>
      <w:hyperlink r:id="rId11" w:history="1">
        <w:r w:rsidR="00DB7859" w:rsidRPr="00DB7859">
          <w:rPr>
            <w:lang w:val="fr-FR"/>
          </w:rPr>
          <w:t>6/63</w:t>
        </w:r>
      </w:hyperlink>
      <w:r w:rsidR="00DB7859" w:rsidRPr="00DB7859">
        <w:rPr>
          <w:lang w:val="fr-FR"/>
        </w:rPr>
        <w:t xml:space="preserve">, </w:t>
      </w:r>
      <w:hyperlink r:id="rId12" w:history="1">
        <w:r w:rsidR="00DB7859" w:rsidRPr="00DB7859">
          <w:rPr>
            <w:lang w:val="fr-FR"/>
          </w:rPr>
          <w:t>6/64</w:t>
        </w:r>
      </w:hyperlink>
      <w:r w:rsidR="00DB7859" w:rsidRPr="00DB7859">
        <w:rPr>
          <w:lang w:val="fr-FR"/>
        </w:rPr>
        <w:t xml:space="preserve"> and </w:t>
      </w:r>
      <w:hyperlink r:id="rId13" w:history="1">
        <w:r w:rsidR="00DB7859" w:rsidRPr="00DB7859">
          <w:rPr>
            <w:lang w:val="fr-FR"/>
          </w:rPr>
          <w:t>72(Rev.1)</w:t>
        </w:r>
      </w:hyperlink>
      <w:r w:rsidR="00DB7859" w:rsidRPr="00DB7859">
        <w:rPr>
          <w:lang w:val="fr-FR"/>
        </w:rPr>
        <w:t>.</w:t>
      </w:r>
    </w:p>
    <w:p w14:paraId="58ACBB04" w14:textId="4D9FFEB9" w:rsidR="001B2948" w:rsidRPr="00507D88" w:rsidRDefault="000E2B65" w:rsidP="00504D9E">
      <w:pPr>
        <w:spacing w:line="240" w:lineRule="auto"/>
        <w:jc w:val="left"/>
        <w:rPr>
          <w:noProof/>
          <w:lang w:val="fr-FR"/>
        </w:rPr>
      </w:pPr>
      <w:r w:rsidRPr="00DB7859">
        <w:rPr>
          <w:noProof/>
          <w:lang w:val="fr-FR"/>
        </w:rPr>
        <w:t>C</w:t>
      </w:r>
      <w:r w:rsidR="001B2948" w:rsidRPr="00DB7859">
        <w:rPr>
          <w:noProof/>
          <w:lang w:val="fr-FR"/>
        </w:rPr>
        <w:t>es documents sont disponibles en format électronique à l'adresse</w:t>
      </w:r>
      <w:r w:rsidR="00DB7859">
        <w:rPr>
          <w:noProof/>
          <w:lang w:val="fr-FR"/>
        </w:rPr>
        <w:t>:</w:t>
      </w:r>
      <w:r w:rsidR="00DB7859">
        <w:rPr>
          <w:noProof/>
          <w:lang w:val="fr-FR"/>
        </w:rPr>
        <w:br/>
      </w:r>
      <w:hyperlink r:id="rId14" w:history="1">
        <w:r w:rsidR="00DB7859" w:rsidRPr="00DB7859">
          <w:rPr>
            <w:rStyle w:val="Hyperlink"/>
            <w:noProof/>
            <w:szCs w:val="24"/>
            <w:lang w:val="fr-FR"/>
          </w:rPr>
          <w:t>https://www.itu.int/md/R23-SG06-C/en</w:t>
        </w:r>
      </w:hyperlink>
    </w:p>
    <w:p w14:paraId="72FD1119" w14:textId="77777777" w:rsidR="00A40690" w:rsidRPr="00507D88" w:rsidRDefault="00A40690" w:rsidP="00504D9E">
      <w:pPr>
        <w:spacing w:before="0" w:line="240" w:lineRule="auto"/>
        <w:jc w:val="left"/>
        <w:rPr>
          <w:noProof/>
          <w:szCs w:val="24"/>
          <w:lang w:val="fr-FR"/>
        </w:rPr>
      </w:pPr>
      <w:r w:rsidRPr="00507D88">
        <w:rPr>
          <w:noProof/>
          <w:szCs w:val="24"/>
          <w:lang w:val="fr-FR"/>
        </w:rPr>
        <w:br w:type="page"/>
      </w:r>
    </w:p>
    <w:p w14:paraId="7185F1E7" w14:textId="7B3CF49C" w:rsidR="00A40690" w:rsidRPr="00507D88" w:rsidRDefault="00A40690" w:rsidP="00504D9E">
      <w:pPr>
        <w:pStyle w:val="AnnexNotitle0"/>
        <w:tabs>
          <w:tab w:val="left" w:pos="2511"/>
          <w:tab w:val="center" w:pos="4819"/>
        </w:tabs>
        <w:rPr>
          <w:rFonts w:asciiTheme="minorHAnsi" w:hAnsiTheme="minorHAnsi"/>
          <w:noProof/>
          <w:lang w:val="fr-FR"/>
        </w:rPr>
      </w:pPr>
      <w:r w:rsidRPr="00507D88">
        <w:rPr>
          <w:rFonts w:asciiTheme="minorHAnsi" w:hAnsiTheme="minorHAnsi"/>
          <w:noProof/>
          <w:lang w:val="fr-FR"/>
        </w:rPr>
        <w:lastRenderedPageBreak/>
        <w:t xml:space="preserve">Annexe </w:t>
      </w:r>
      <w:r w:rsidRPr="00507D88">
        <w:rPr>
          <w:rFonts w:asciiTheme="minorHAnsi" w:hAnsiTheme="minorHAnsi"/>
          <w:noProof/>
          <w:lang w:val="fr-FR"/>
        </w:rPr>
        <w:br/>
      </w:r>
      <w:r w:rsidRPr="00507D88">
        <w:rPr>
          <w:rFonts w:asciiTheme="minorHAnsi" w:hAnsiTheme="minorHAnsi"/>
          <w:noProof/>
          <w:lang w:val="fr-FR"/>
        </w:rPr>
        <w:br/>
      </w:r>
      <w:r w:rsidRPr="00DB7859">
        <w:rPr>
          <w:rFonts w:asciiTheme="minorHAnsi" w:hAnsiTheme="minorHAnsi"/>
          <w:noProof/>
          <w:lang w:val="fr-FR"/>
        </w:rPr>
        <w:t xml:space="preserve">Titres </w:t>
      </w:r>
      <w:r w:rsidR="001B2948" w:rsidRPr="00DB7859">
        <w:rPr>
          <w:rFonts w:asciiTheme="minorHAnsi" w:hAnsiTheme="minorHAnsi"/>
          <w:noProof/>
          <w:lang w:val="fr-FR"/>
        </w:rPr>
        <w:t>et résumés des projets</w:t>
      </w:r>
      <w:r w:rsidR="00DB7859" w:rsidRPr="00DB7859">
        <w:rPr>
          <w:rFonts w:asciiTheme="minorHAnsi" w:hAnsiTheme="minorHAnsi"/>
          <w:noProof/>
          <w:lang w:val="fr-FR"/>
        </w:rPr>
        <w:t xml:space="preserve"> </w:t>
      </w:r>
      <w:r w:rsidR="001B2948" w:rsidRPr="00DB7859">
        <w:rPr>
          <w:rFonts w:asciiTheme="minorHAnsi" w:hAnsiTheme="minorHAnsi"/>
          <w:noProof/>
          <w:lang w:val="fr-FR"/>
        </w:rPr>
        <w:t xml:space="preserve">de </w:t>
      </w:r>
      <w:r w:rsidR="00D21CA5" w:rsidRPr="00DB7859">
        <w:rPr>
          <w:rFonts w:asciiTheme="minorHAnsi" w:hAnsiTheme="minorHAnsi"/>
          <w:noProof/>
          <w:lang w:val="fr-FR"/>
        </w:rPr>
        <w:t xml:space="preserve">Recommandation </w:t>
      </w:r>
      <w:r w:rsidR="002358D6" w:rsidRPr="00DB7859">
        <w:rPr>
          <w:rFonts w:asciiTheme="minorHAnsi" w:hAnsiTheme="minorHAnsi"/>
          <w:noProof/>
          <w:lang w:val="fr-FR"/>
        </w:rPr>
        <w:t>UIT-R</w:t>
      </w:r>
    </w:p>
    <w:p w14:paraId="3A9E14A4" w14:textId="61BFD1AD" w:rsidR="001B2948" w:rsidRDefault="001B2948" w:rsidP="00DB7859">
      <w:pPr>
        <w:pStyle w:val="Normalaftertitle0"/>
        <w:tabs>
          <w:tab w:val="left" w:pos="8505"/>
        </w:tabs>
        <w:spacing w:before="600"/>
        <w:rPr>
          <w:rFonts w:asciiTheme="minorHAnsi" w:hAnsiTheme="minorHAnsi" w:cstheme="minorHAnsi"/>
          <w:noProof/>
          <w:szCs w:val="24"/>
          <w:lang w:val="fr-FR"/>
        </w:rPr>
      </w:pPr>
      <w:r w:rsidRPr="00DB7859">
        <w:rPr>
          <w:rFonts w:asciiTheme="minorHAnsi" w:hAnsiTheme="minorHAnsi"/>
          <w:noProof/>
          <w:u w:val="single"/>
          <w:lang w:val="fr-FR"/>
        </w:rPr>
        <w:t xml:space="preserve">Projet de nouvelle </w:t>
      </w:r>
      <w:r w:rsidR="00504D9E" w:rsidRPr="00DB7859">
        <w:rPr>
          <w:rFonts w:asciiTheme="minorHAnsi" w:hAnsiTheme="minorHAnsi" w:cstheme="minorHAnsi"/>
          <w:noProof/>
          <w:szCs w:val="24"/>
          <w:u w:val="single"/>
          <w:lang w:val="fr-FR"/>
        </w:rPr>
        <w:t>R</w:t>
      </w:r>
      <w:r w:rsidRPr="00DB7859">
        <w:rPr>
          <w:rFonts w:asciiTheme="minorHAnsi" w:hAnsiTheme="minorHAnsi" w:cstheme="minorHAnsi"/>
          <w:noProof/>
          <w:szCs w:val="24"/>
          <w:u w:val="single"/>
          <w:lang w:val="fr-FR"/>
        </w:rPr>
        <w:t>ecommandation</w:t>
      </w:r>
      <w:r w:rsidR="009C0AE6" w:rsidRPr="00DB7859">
        <w:rPr>
          <w:rFonts w:asciiTheme="minorHAnsi" w:hAnsiTheme="minorHAnsi"/>
          <w:noProof/>
          <w:u w:val="single"/>
          <w:lang w:val="fr-FR"/>
        </w:rPr>
        <w:t xml:space="preserve"> UIT-R</w:t>
      </w:r>
      <w:r w:rsidR="00DB7859" w:rsidRPr="00DB7859">
        <w:rPr>
          <w:rFonts w:ascii="Calibri" w:eastAsiaTheme="minorEastAsia" w:hAnsi="Calibri" w:cs="Calibri"/>
          <w:szCs w:val="22"/>
          <w:u w:val="single"/>
          <w:lang w:val="fr-FR" w:eastAsia="zh-CN"/>
        </w:rPr>
        <w:t xml:space="preserve"> </w:t>
      </w:r>
      <w:r w:rsidR="00DB7859" w:rsidRPr="00DB7859">
        <w:rPr>
          <w:rFonts w:asciiTheme="minorHAnsi" w:hAnsiTheme="minorHAnsi"/>
          <w:noProof/>
          <w:u w:val="single"/>
          <w:lang w:val="fr-FR"/>
        </w:rPr>
        <w:t>BT.[MON]</w:t>
      </w:r>
      <w:r w:rsidR="000E2B65" w:rsidRPr="00DB7859">
        <w:rPr>
          <w:rFonts w:asciiTheme="minorHAnsi" w:hAnsiTheme="minorHAnsi"/>
          <w:noProof/>
          <w:lang w:val="fr-FR"/>
        </w:rPr>
        <w:tab/>
      </w:r>
      <w:r w:rsidRPr="00DB7859">
        <w:rPr>
          <w:rFonts w:asciiTheme="minorHAnsi" w:hAnsiTheme="minorHAnsi" w:cstheme="minorHAnsi"/>
          <w:noProof/>
          <w:szCs w:val="24"/>
          <w:lang w:val="fr-FR"/>
        </w:rPr>
        <w:t xml:space="preserve">Doc. </w:t>
      </w:r>
      <w:r w:rsidR="00DB7859" w:rsidRPr="00DB7859">
        <w:rPr>
          <w:rFonts w:asciiTheme="minorHAnsi" w:hAnsiTheme="minorHAnsi" w:cstheme="minorHAnsi"/>
          <w:noProof/>
          <w:szCs w:val="24"/>
          <w:lang w:val="fr-FR"/>
        </w:rPr>
        <w:t>6</w:t>
      </w:r>
      <w:r w:rsidRPr="00DB7859">
        <w:rPr>
          <w:rFonts w:asciiTheme="minorHAnsi" w:hAnsiTheme="minorHAnsi" w:cstheme="minorHAnsi"/>
          <w:noProof/>
          <w:szCs w:val="24"/>
          <w:lang w:val="fr-FR"/>
        </w:rPr>
        <w:t>/</w:t>
      </w:r>
      <w:r w:rsidR="00DB7859" w:rsidRPr="00DB7859">
        <w:rPr>
          <w:rFonts w:asciiTheme="minorHAnsi" w:hAnsiTheme="minorHAnsi" w:cstheme="minorHAnsi"/>
          <w:noProof/>
          <w:szCs w:val="24"/>
          <w:lang w:val="fr-FR"/>
        </w:rPr>
        <w:t>63</w:t>
      </w:r>
    </w:p>
    <w:p w14:paraId="2CE63F7C" w14:textId="77777777" w:rsidR="00557CCF" w:rsidRPr="00CE5D32" w:rsidRDefault="00557CCF" w:rsidP="00557CCF">
      <w:pPr>
        <w:pStyle w:val="Rectitle"/>
        <w:rPr>
          <w:lang w:val="fr-FR"/>
        </w:rPr>
      </w:pPr>
      <w:r w:rsidRPr="00CE5D32">
        <w:rPr>
          <w:lang w:val="fr-FR"/>
        </w:rPr>
        <w:t>Conditions de visionnage pour la vérification d'images à grande plage dynamique et à plage dynamique standard affichées à proximité immédiate</w:t>
      </w:r>
      <w:r w:rsidRPr="00CE5D32">
        <w:rPr>
          <w:lang w:val="fr-FR"/>
        </w:rPr>
        <w:br/>
        <w:t>dans un environnement de production reposant sur</w:t>
      </w:r>
      <w:r w:rsidRPr="00CE5D32">
        <w:rPr>
          <w:lang w:val="fr-FR"/>
        </w:rPr>
        <w:br/>
        <w:t>un original à grande plage dynamique</w:t>
      </w:r>
    </w:p>
    <w:p w14:paraId="5A80CDF1" w14:textId="77777777" w:rsidR="00557CCF" w:rsidRPr="00CE5D32" w:rsidRDefault="00557CCF" w:rsidP="00557CCF">
      <w:pPr>
        <w:rPr>
          <w:lang w:val="fr-FR"/>
        </w:rPr>
      </w:pPr>
      <w:r w:rsidRPr="00CE5D32">
        <w:rPr>
          <w:lang w:val="fr-FR"/>
        </w:rPr>
        <w:t xml:space="preserve">Cette Recommandation donne des indications concernant les procédures de vérification menées dans un environnement de production d'images originales à grande plage dynamique (HDR, </w:t>
      </w:r>
      <w:r w:rsidRPr="00CE5D32">
        <w:rPr>
          <w:i/>
          <w:iCs/>
          <w:lang w:val="fr-FR"/>
        </w:rPr>
        <w:t xml:space="preserve">high </w:t>
      </w:r>
      <w:proofErr w:type="spellStart"/>
      <w:r w:rsidRPr="00CE5D32">
        <w:rPr>
          <w:i/>
          <w:iCs/>
          <w:lang w:val="fr-FR"/>
        </w:rPr>
        <w:t>dynamic</w:t>
      </w:r>
      <w:proofErr w:type="spellEnd"/>
      <w:r w:rsidRPr="00CE5D32">
        <w:rPr>
          <w:i/>
          <w:iCs/>
          <w:lang w:val="fr-FR"/>
        </w:rPr>
        <w:t xml:space="preserve"> range</w:t>
      </w:r>
      <w:r w:rsidRPr="00CE5D32">
        <w:rPr>
          <w:lang w:val="fr-FR"/>
        </w:rPr>
        <w:t xml:space="preserve">) et à plage dynamique standard (SDR, </w:t>
      </w:r>
      <w:r w:rsidRPr="00CE5D32">
        <w:rPr>
          <w:i/>
          <w:iCs/>
          <w:lang w:val="fr-FR"/>
        </w:rPr>
        <w:t xml:space="preserve">standard </w:t>
      </w:r>
      <w:proofErr w:type="spellStart"/>
      <w:r w:rsidRPr="00CE5D32">
        <w:rPr>
          <w:i/>
          <w:iCs/>
          <w:lang w:val="fr-FR"/>
        </w:rPr>
        <w:t>dynamic</w:t>
      </w:r>
      <w:proofErr w:type="spellEnd"/>
      <w:r w:rsidRPr="00CE5D32">
        <w:rPr>
          <w:i/>
          <w:iCs/>
          <w:lang w:val="fr-FR"/>
        </w:rPr>
        <w:t xml:space="preserve"> range</w:t>
      </w:r>
      <w:r w:rsidRPr="00CE5D32">
        <w:rPr>
          <w:lang w:val="fr-FR"/>
        </w:rPr>
        <w:t xml:space="preserve">) où il est préférable ou inévitable d'afficher des images HDR et SDR à proximité immédiate. Cela peut se produire lors du réglage de l'ombrage ou de la vérification des images par un superviseur, ou encore dans les salles de contrôle où la vérification des images peut s'effectuer à l'aide d'affichages </w:t>
      </w:r>
      <w:proofErr w:type="spellStart"/>
      <w:r w:rsidRPr="00CE5D32">
        <w:rPr>
          <w:lang w:val="fr-FR"/>
        </w:rPr>
        <w:t>multivues</w:t>
      </w:r>
      <w:proofErr w:type="spellEnd"/>
      <w:r w:rsidRPr="00CE5D32">
        <w:rPr>
          <w:lang w:val="fr-FR"/>
        </w:rPr>
        <w:t xml:space="preserve"> ou en plaçant des images HDR et SDR côte-à-côte. Cela peut également se produire dans un environnement de production où les appareils et les logiciels présentent plusieurs fenêtres adjacentes affichant des images HDR et SDR.</w:t>
      </w:r>
    </w:p>
    <w:p w14:paraId="1A69854C" w14:textId="77777777" w:rsidR="00557CCF" w:rsidRPr="00CE5D32" w:rsidRDefault="00557CCF" w:rsidP="00557CCF">
      <w:pPr>
        <w:pStyle w:val="Normalaftertitle0"/>
        <w:tabs>
          <w:tab w:val="left" w:pos="8647"/>
        </w:tabs>
        <w:spacing w:before="480"/>
        <w:rPr>
          <w:rFonts w:asciiTheme="minorHAnsi" w:hAnsiTheme="minorHAnsi" w:cstheme="minorHAnsi"/>
          <w:szCs w:val="24"/>
          <w:lang w:val="fr-FR"/>
        </w:rPr>
      </w:pPr>
      <w:r w:rsidRPr="00CE5D32">
        <w:rPr>
          <w:rFonts w:asciiTheme="minorHAnsi" w:hAnsiTheme="minorHAnsi"/>
          <w:u w:val="single"/>
          <w:lang w:val="fr-FR"/>
        </w:rPr>
        <w:t xml:space="preserve">Projet de révision de la </w:t>
      </w:r>
      <w:r w:rsidRPr="00CE5D32">
        <w:rPr>
          <w:rFonts w:asciiTheme="minorHAnsi" w:hAnsiTheme="minorHAnsi" w:cstheme="minorHAnsi"/>
          <w:szCs w:val="24"/>
          <w:u w:val="single"/>
          <w:lang w:val="fr-FR"/>
        </w:rPr>
        <w:t>Recommandation</w:t>
      </w:r>
      <w:r w:rsidRPr="00CE5D32">
        <w:rPr>
          <w:rFonts w:asciiTheme="minorHAnsi" w:hAnsiTheme="minorHAnsi"/>
          <w:u w:val="single"/>
          <w:lang w:val="fr-FR"/>
        </w:rPr>
        <w:t xml:space="preserve"> UIT-R </w:t>
      </w:r>
      <w:r w:rsidRPr="00CE5D32">
        <w:rPr>
          <w:rFonts w:asciiTheme="minorHAnsi" w:hAnsiTheme="minorHAnsi" w:cstheme="minorHAnsi"/>
          <w:szCs w:val="24"/>
          <w:u w:val="single"/>
          <w:lang w:val="fr-FR"/>
        </w:rPr>
        <w:t>BT.2123-0</w:t>
      </w:r>
      <w:r w:rsidRPr="00CE5D32">
        <w:rPr>
          <w:rFonts w:asciiTheme="minorHAnsi" w:hAnsiTheme="minorHAnsi"/>
          <w:lang w:val="fr-FR"/>
        </w:rPr>
        <w:tab/>
      </w:r>
      <w:r w:rsidRPr="00CE5D32">
        <w:rPr>
          <w:rFonts w:asciiTheme="minorHAnsi" w:hAnsiTheme="minorHAnsi" w:cstheme="minorHAnsi"/>
          <w:szCs w:val="24"/>
          <w:lang w:val="fr-FR"/>
        </w:rPr>
        <w:t>Doc. 6/62</w:t>
      </w:r>
    </w:p>
    <w:p w14:paraId="5D2B79EB" w14:textId="77777777" w:rsidR="00557CCF" w:rsidRPr="00CE5D32" w:rsidRDefault="00557CCF" w:rsidP="00557CCF">
      <w:pPr>
        <w:pStyle w:val="Rectitle"/>
        <w:rPr>
          <w:lang w:val="fr-FR"/>
        </w:rPr>
      </w:pPr>
      <w:r w:rsidRPr="00CE5D32">
        <w:rPr>
          <w:lang w:val="fr-FR"/>
        </w:rPr>
        <w:t>Valeurs de paramètres vidéo des systèmes audiovisuels en immersion</w:t>
      </w:r>
      <w:r w:rsidRPr="00CE5D32">
        <w:rPr>
          <w:lang w:val="fr-FR"/>
        </w:rPr>
        <w:br/>
        <w:t>évolués pour la production et l'échange international</w:t>
      </w:r>
      <w:r w:rsidRPr="00CE5D32">
        <w:rPr>
          <w:lang w:val="fr-FR"/>
        </w:rPr>
        <w:br/>
        <w:t>de programmes de radiodiffusion</w:t>
      </w:r>
    </w:p>
    <w:p w14:paraId="67F106E2" w14:textId="77777777" w:rsidR="00557CCF" w:rsidRPr="00CE5D32" w:rsidRDefault="00557CCF" w:rsidP="00557CCF">
      <w:pPr>
        <w:rPr>
          <w:lang w:val="fr-FR"/>
        </w:rPr>
      </w:pPr>
      <w:r w:rsidRPr="00CE5D32">
        <w:rPr>
          <w:lang w:val="fr-FR"/>
        </w:rPr>
        <w:t>Cette révision complète les directives relatives à la présentation d'images à 360° sur un visiocasque (HMD).</w:t>
      </w:r>
    </w:p>
    <w:p w14:paraId="24A1F621" w14:textId="77777777" w:rsidR="00557CCF" w:rsidRPr="00CE5D32" w:rsidRDefault="00557CCF" w:rsidP="00557CCF">
      <w:pPr>
        <w:pStyle w:val="Normalaftertitle0"/>
        <w:tabs>
          <w:tab w:val="left" w:pos="8647"/>
        </w:tabs>
        <w:spacing w:before="480"/>
        <w:rPr>
          <w:rFonts w:asciiTheme="minorHAnsi" w:hAnsiTheme="minorHAnsi" w:cstheme="minorHAnsi"/>
          <w:szCs w:val="24"/>
          <w:lang w:val="fr-FR"/>
        </w:rPr>
      </w:pPr>
      <w:r w:rsidRPr="00CE5D32">
        <w:rPr>
          <w:rFonts w:asciiTheme="minorHAnsi" w:hAnsiTheme="minorHAnsi"/>
          <w:u w:val="single"/>
          <w:lang w:val="fr-FR"/>
        </w:rPr>
        <w:t xml:space="preserve">Projet de révision de la </w:t>
      </w:r>
      <w:r w:rsidRPr="00CE5D32">
        <w:rPr>
          <w:rFonts w:asciiTheme="minorHAnsi" w:hAnsiTheme="minorHAnsi" w:cstheme="minorHAnsi"/>
          <w:szCs w:val="24"/>
          <w:u w:val="single"/>
          <w:lang w:val="fr-FR"/>
        </w:rPr>
        <w:t>Recommandation</w:t>
      </w:r>
      <w:r w:rsidRPr="00CE5D32">
        <w:rPr>
          <w:rFonts w:asciiTheme="minorHAnsi" w:hAnsiTheme="minorHAnsi"/>
          <w:u w:val="single"/>
          <w:lang w:val="fr-FR"/>
        </w:rPr>
        <w:t xml:space="preserve"> UIT-R </w:t>
      </w:r>
      <w:r w:rsidRPr="00CE5D32">
        <w:rPr>
          <w:rFonts w:asciiTheme="minorHAnsi" w:hAnsiTheme="minorHAnsi" w:cstheme="minorHAnsi"/>
          <w:szCs w:val="24"/>
          <w:u w:val="single"/>
          <w:lang w:val="fr-FR"/>
        </w:rPr>
        <w:t>BT.2100-2</w:t>
      </w:r>
      <w:r w:rsidRPr="00CE5D32">
        <w:rPr>
          <w:rFonts w:asciiTheme="minorHAnsi" w:hAnsiTheme="minorHAnsi"/>
          <w:lang w:val="fr-FR"/>
        </w:rPr>
        <w:tab/>
      </w:r>
      <w:r w:rsidRPr="00CE5D32">
        <w:rPr>
          <w:rFonts w:asciiTheme="minorHAnsi" w:hAnsiTheme="minorHAnsi" w:cstheme="minorHAnsi"/>
          <w:szCs w:val="24"/>
          <w:lang w:val="fr-FR"/>
        </w:rPr>
        <w:t>Doc. 6/64</w:t>
      </w:r>
    </w:p>
    <w:p w14:paraId="746C0449" w14:textId="77777777" w:rsidR="00557CCF" w:rsidRPr="00CE5D32" w:rsidRDefault="00557CCF" w:rsidP="00557CCF">
      <w:pPr>
        <w:pStyle w:val="Rectitle"/>
        <w:rPr>
          <w:lang w:val="fr-FR"/>
        </w:rPr>
      </w:pPr>
      <w:r w:rsidRPr="00CE5D32">
        <w:rPr>
          <w:lang w:val="fr-FR"/>
        </w:rPr>
        <w:t>Valeurs des paramètres de l'image dans le cas de systèmes de télévision</w:t>
      </w:r>
      <w:r w:rsidRPr="00CE5D32">
        <w:rPr>
          <w:lang w:val="fr-FR"/>
        </w:rPr>
        <w:br/>
        <w:t>à grande plage dynamique à utiliser pour la production</w:t>
      </w:r>
      <w:r w:rsidRPr="00CE5D32">
        <w:rPr>
          <w:lang w:val="fr-FR"/>
        </w:rPr>
        <w:br/>
        <w:t>et l'échange international de programmes</w:t>
      </w:r>
    </w:p>
    <w:p w14:paraId="6EED5C7A" w14:textId="77777777" w:rsidR="00557CCF" w:rsidRPr="00CE5D32" w:rsidRDefault="00557CCF" w:rsidP="00557CCF">
      <w:pPr>
        <w:rPr>
          <w:lang w:val="fr-FR"/>
        </w:rPr>
      </w:pPr>
      <w:r w:rsidRPr="00CE5D32">
        <w:rPr>
          <w:lang w:val="fr-FR"/>
        </w:rPr>
        <w:t xml:space="preserve">Cette révision vise à mettre à jour et à simplifier la section décrivant la représentation des signaux en virgule flottante, y compris le Tableau 10, intitulé </w:t>
      </w:r>
      <w:r w:rsidRPr="00CE5D32">
        <w:rPr>
          <w:i/>
          <w:iCs/>
          <w:lang w:val="fr-FR"/>
        </w:rPr>
        <w:t xml:space="preserve">Représentation des signaux en virgule flottante (FP, </w:t>
      </w:r>
      <w:proofErr w:type="spellStart"/>
      <w:r w:rsidRPr="00CE5D32">
        <w:rPr>
          <w:i/>
          <w:iCs/>
          <w:lang w:val="fr-FR"/>
        </w:rPr>
        <w:t>Floating</w:t>
      </w:r>
      <w:proofErr w:type="spellEnd"/>
      <w:r w:rsidRPr="00CE5D32">
        <w:rPr>
          <w:i/>
          <w:iCs/>
          <w:lang w:val="fr-FR"/>
        </w:rPr>
        <w:t xml:space="preserve"> Point)</w:t>
      </w:r>
      <w:r w:rsidRPr="00CE5D32">
        <w:rPr>
          <w:lang w:val="fr-FR"/>
        </w:rPr>
        <w:t>.</w:t>
      </w:r>
    </w:p>
    <w:p w14:paraId="2301AD2F" w14:textId="77777777" w:rsidR="00557CCF" w:rsidRPr="00CE5D32" w:rsidRDefault="00557CCF" w:rsidP="00557CCF">
      <w:pPr>
        <w:jc w:val="left"/>
        <w:rPr>
          <w:lang w:val="fr-FR"/>
        </w:rPr>
      </w:pPr>
      <w:r w:rsidRPr="00CE5D32">
        <w:rPr>
          <w:lang w:val="fr-FR"/>
        </w:rPr>
        <w:t>En outre, des révisions sont proposées pour expliciter, dans la Recommandation, le caractère variable du gamma du système hybride log-gamma (HLG) qui est appliqué à la composante de luminance du signal en fonction de la luminance de crête nominale de l'écran.</w:t>
      </w:r>
    </w:p>
    <w:p w14:paraId="125D971A" w14:textId="77777777" w:rsidR="00557CCF" w:rsidRPr="00CE5D32" w:rsidRDefault="00557CCF" w:rsidP="00557CCF">
      <w:pPr>
        <w:pStyle w:val="Normalaftertitle0"/>
        <w:keepNext/>
        <w:tabs>
          <w:tab w:val="left" w:pos="7938"/>
        </w:tabs>
        <w:spacing w:before="720"/>
        <w:rPr>
          <w:rFonts w:asciiTheme="minorHAnsi" w:hAnsiTheme="minorHAnsi" w:cstheme="minorHAnsi"/>
          <w:szCs w:val="24"/>
          <w:lang w:val="fr-FR"/>
        </w:rPr>
      </w:pPr>
      <w:r w:rsidRPr="00CE5D32">
        <w:rPr>
          <w:rFonts w:asciiTheme="minorHAnsi" w:hAnsiTheme="minorHAnsi"/>
          <w:u w:val="single"/>
          <w:lang w:val="fr-FR"/>
        </w:rPr>
        <w:lastRenderedPageBreak/>
        <w:t xml:space="preserve">Projet de révision de la </w:t>
      </w:r>
      <w:r w:rsidRPr="00CE5D32">
        <w:rPr>
          <w:rFonts w:asciiTheme="minorHAnsi" w:hAnsiTheme="minorHAnsi" w:cstheme="minorHAnsi"/>
          <w:szCs w:val="24"/>
          <w:u w:val="single"/>
          <w:lang w:val="fr-FR"/>
        </w:rPr>
        <w:t>Recommandation</w:t>
      </w:r>
      <w:r w:rsidRPr="00CE5D32">
        <w:rPr>
          <w:rFonts w:asciiTheme="minorHAnsi" w:hAnsiTheme="minorHAnsi"/>
          <w:u w:val="single"/>
          <w:lang w:val="fr-FR"/>
        </w:rPr>
        <w:t xml:space="preserve"> UIT-R </w:t>
      </w:r>
      <w:r w:rsidRPr="00CE5D32">
        <w:rPr>
          <w:rFonts w:asciiTheme="minorHAnsi" w:hAnsiTheme="minorHAnsi" w:cstheme="minorHAnsi"/>
          <w:szCs w:val="24"/>
          <w:u w:val="single"/>
          <w:lang w:val="fr-FR"/>
        </w:rPr>
        <w:t>BT.2016-3</w:t>
      </w:r>
      <w:r w:rsidRPr="00CE5D32">
        <w:rPr>
          <w:rFonts w:asciiTheme="minorHAnsi" w:hAnsiTheme="minorHAnsi"/>
          <w:lang w:val="fr-FR"/>
        </w:rPr>
        <w:tab/>
      </w:r>
      <w:r w:rsidRPr="00CE5D32">
        <w:rPr>
          <w:rFonts w:asciiTheme="minorHAnsi" w:hAnsiTheme="minorHAnsi" w:cstheme="minorHAnsi"/>
          <w:szCs w:val="24"/>
          <w:lang w:val="fr-FR"/>
        </w:rPr>
        <w:t>Doc. 6/72(Rév.1)</w:t>
      </w:r>
    </w:p>
    <w:p w14:paraId="2B7A8EAC" w14:textId="77777777" w:rsidR="00557CCF" w:rsidRPr="00CE5D32" w:rsidRDefault="00557CCF" w:rsidP="00557CCF">
      <w:pPr>
        <w:pStyle w:val="Rectitle"/>
        <w:rPr>
          <w:lang w:val="fr-FR"/>
        </w:rPr>
      </w:pPr>
      <w:r w:rsidRPr="00CE5D32">
        <w:rPr>
          <w:lang w:val="fr-FR"/>
        </w:rPr>
        <w:t>Méthodes de correction d'erreur, de mise en trame des données, de modulation</w:t>
      </w:r>
      <w:r w:rsidRPr="00CE5D32">
        <w:rPr>
          <w:lang w:val="fr-FR"/>
        </w:rPr>
        <w:br/>
        <w:t>et d'émission pour la radiodiffusion multimédia de Terre, pour la réception</w:t>
      </w:r>
      <w:r w:rsidRPr="00CE5D32">
        <w:rPr>
          <w:lang w:val="fr-FR"/>
        </w:rPr>
        <w:br/>
        <w:t>mobile au moyen de récepteurs portatifs dans les bandes</w:t>
      </w:r>
      <w:r w:rsidRPr="00CE5D32">
        <w:rPr>
          <w:lang w:val="fr-FR"/>
        </w:rPr>
        <w:br/>
        <w:t>d'ondes métriques/décimétriques</w:t>
      </w:r>
    </w:p>
    <w:p w14:paraId="17C0283D" w14:textId="77777777" w:rsidR="00557CCF" w:rsidRPr="00CE5D32" w:rsidRDefault="00557CCF" w:rsidP="00557CCF">
      <w:pPr>
        <w:rPr>
          <w:lang w:val="fr-FR"/>
        </w:rPr>
      </w:pPr>
      <w:r w:rsidRPr="00CE5D32">
        <w:rPr>
          <w:lang w:val="fr-FR"/>
        </w:rPr>
        <w:t xml:space="preserve">Ce projet de révision de la Recommandation UIT-R BT.2016-3 comporte les modifications </w:t>
      </w:r>
      <w:proofErr w:type="gramStart"/>
      <w:r w:rsidRPr="00CE5D32">
        <w:rPr>
          <w:lang w:val="fr-FR"/>
        </w:rPr>
        <w:t>suivantes:</w:t>
      </w:r>
      <w:proofErr w:type="gramEnd"/>
    </w:p>
    <w:p w14:paraId="41D47823" w14:textId="77777777" w:rsidR="00557CCF" w:rsidRPr="00CE5D32" w:rsidRDefault="00557CCF" w:rsidP="00557CCF">
      <w:pPr>
        <w:pStyle w:val="enumlev1"/>
        <w:rPr>
          <w:lang w:val="fr-FR"/>
        </w:rPr>
      </w:pPr>
      <w:r w:rsidRPr="00CE5D32">
        <w:rPr>
          <w:lang w:val="fr-FR"/>
        </w:rPr>
        <w:t>–</w:t>
      </w:r>
      <w:r w:rsidRPr="00CE5D32">
        <w:rPr>
          <w:lang w:val="fr-FR"/>
        </w:rPr>
        <w:tab/>
        <w:t>Modifications des Tableaux 1B et 2B de l'Annexe </w:t>
      </w:r>
      <w:proofErr w:type="gramStart"/>
      <w:r w:rsidRPr="00CE5D32">
        <w:rPr>
          <w:lang w:val="fr-FR"/>
        </w:rPr>
        <w:t>1:</w:t>
      </w:r>
      <w:proofErr w:type="gramEnd"/>
    </w:p>
    <w:p w14:paraId="0F11B79A" w14:textId="77777777" w:rsidR="00557CCF" w:rsidRPr="00CE5D32" w:rsidRDefault="00557CCF" w:rsidP="00557CCF">
      <w:pPr>
        <w:pStyle w:val="enumlev2"/>
        <w:rPr>
          <w:lang w:val="fr-FR"/>
        </w:rPr>
      </w:pPr>
      <w:r w:rsidRPr="00CE5D32">
        <w:rPr>
          <w:lang w:val="fr-FR"/>
        </w:rPr>
        <w:t>•</w:t>
      </w:r>
      <w:r w:rsidRPr="00CE5D32">
        <w:rPr>
          <w:lang w:val="fr-FR"/>
        </w:rPr>
        <w:tab/>
        <w:t>Système L</w:t>
      </w:r>
      <w:proofErr w:type="gramStart"/>
      <w:r w:rsidRPr="00CE5D32">
        <w:rPr>
          <w:lang w:val="fr-FR"/>
        </w:rPr>
        <w:t xml:space="preserve"> «Système</w:t>
      </w:r>
      <w:proofErr w:type="gramEnd"/>
      <w:r w:rsidRPr="00CE5D32">
        <w:rPr>
          <w:lang w:val="fr-FR"/>
        </w:rPr>
        <w:t xml:space="preserve"> de radiodiffusion 5G pour les services télévisuels et radiophoniques linéaires – Système de radiodiffusion 5G de Terre fondé sur la LTE»: adjonction de paramètres relatifs à trois largeurs de bande de canal additionnelles dans le Tableau 1B.</w:t>
      </w:r>
    </w:p>
    <w:p w14:paraId="35BD3D1A" w14:textId="77777777" w:rsidR="00557CCF" w:rsidRPr="00CE5D32" w:rsidRDefault="00557CCF" w:rsidP="00557CCF">
      <w:pPr>
        <w:pStyle w:val="enumlev2"/>
        <w:rPr>
          <w:lang w:val="fr-FR"/>
        </w:rPr>
      </w:pPr>
      <w:r w:rsidRPr="00CE5D32">
        <w:rPr>
          <w:lang w:val="fr-FR"/>
        </w:rPr>
        <w:t>•</w:t>
      </w:r>
      <w:r w:rsidRPr="00CE5D32">
        <w:rPr>
          <w:lang w:val="fr-FR"/>
        </w:rPr>
        <w:tab/>
        <w:t>Nouveau système M</w:t>
      </w:r>
      <w:proofErr w:type="gramStart"/>
      <w:r w:rsidRPr="00CE5D32">
        <w:rPr>
          <w:lang w:val="fr-FR"/>
        </w:rPr>
        <w:t xml:space="preserve"> «DTMB</w:t>
      </w:r>
      <w:proofErr w:type="gramEnd"/>
      <w:r w:rsidRPr="00CE5D32">
        <w:rPr>
          <w:lang w:val="fr-FR"/>
        </w:rPr>
        <w:t>-A»: adjonction de paramètres de système dans les Tableaux 1B et 2B. Ces paramètres permettent d'utiliser le système DTMB-A comme système de radiodiffusion mobile multimédia de Terre.</w:t>
      </w:r>
    </w:p>
    <w:p w14:paraId="37DDE417" w14:textId="77777777" w:rsidR="00557CCF" w:rsidRPr="00CE5D32" w:rsidRDefault="00557CCF" w:rsidP="00557CCF">
      <w:pPr>
        <w:pStyle w:val="enumlev1"/>
        <w:rPr>
          <w:lang w:val="fr-FR"/>
        </w:rPr>
      </w:pPr>
      <w:r w:rsidRPr="00CE5D32">
        <w:rPr>
          <w:lang w:val="fr-FR"/>
        </w:rPr>
        <w:t>–</w:t>
      </w:r>
      <w:r w:rsidRPr="00CE5D32">
        <w:rPr>
          <w:lang w:val="fr-FR"/>
        </w:rPr>
        <w:tab/>
        <w:t>Mise à jour de la dernière version du projet 3GPP dans la Pièce jointe 8 de l'Annexe 1.</w:t>
      </w:r>
    </w:p>
    <w:p w14:paraId="5684116F" w14:textId="77777777" w:rsidR="00557CCF" w:rsidRPr="00CE5D32" w:rsidRDefault="00557CCF" w:rsidP="00557CCF">
      <w:pPr>
        <w:pStyle w:val="enumlev1"/>
        <w:rPr>
          <w:lang w:val="fr-FR"/>
        </w:rPr>
      </w:pPr>
      <w:r w:rsidRPr="00CE5D32">
        <w:rPr>
          <w:lang w:val="fr-FR"/>
        </w:rPr>
        <w:t>–</w:t>
      </w:r>
      <w:r w:rsidRPr="00CE5D32">
        <w:rPr>
          <w:lang w:val="fr-FR"/>
        </w:rPr>
        <w:tab/>
        <w:t xml:space="preserve">Adjonction de la </w:t>
      </w:r>
      <w:r w:rsidRPr="00CE5D32">
        <w:rPr>
          <w:rFonts w:eastAsiaTheme="minorEastAsia"/>
          <w:lang w:val="fr-FR"/>
        </w:rPr>
        <w:t>Pièce</w:t>
      </w:r>
      <w:r w:rsidRPr="00CE5D32">
        <w:rPr>
          <w:lang w:val="fr-FR"/>
        </w:rPr>
        <w:t xml:space="preserve"> jointe 10 afin de donner des précisions sur le Système M</w:t>
      </w:r>
      <w:proofErr w:type="gramStart"/>
      <w:r w:rsidRPr="00CE5D32">
        <w:rPr>
          <w:lang w:val="fr-FR"/>
        </w:rPr>
        <w:t> «DTMB</w:t>
      </w:r>
      <w:proofErr w:type="gramEnd"/>
      <w:r w:rsidRPr="00CE5D32">
        <w:rPr>
          <w:lang w:val="fr-FR"/>
        </w:rPr>
        <w:noBreakHyphen/>
        <w:t>A».</w:t>
      </w:r>
    </w:p>
    <w:p w14:paraId="68441C51" w14:textId="01A8FA61" w:rsidR="00C3556B" w:rsidRPr="00507D88" w:rsidRDefault="00A40690" w:rsidP="00557CCF">
      <w:pPr>
        <w:spacing w:before="360" w:line="240" w:lineRule="auto"/>
        <w:jc w:val="center"/>
        <w:rPr>
          <w:noProof/>
          <w:szCs w:val="24"/>
          <w:lang w:val="fr-FR"/>
        </w:rPr>
      </w:pPr>
      <w:r w:rsidRPr="00507D88">
        <w:rPr>
          <w:noProof/>
          <w:lang w:val="fr-FR"/>
        </w:rPr>
        <w:t>______________</w:t>
      </w:r>
    </w:p>
    <w:sectPr w:rsidR="00C3556B" w:rsidRPr="00507D88" w:rsidSect="001C6A22">
      <w:headerReference w:type="even" r:id="rId15"/>
      <w:headerReference w:type="default" r:id="rId16"/>
      <w:headerReference w:type="first" r:id="rId17"/>
      <w:footerReference w:type="first" r:id="rId18"/>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9CCCF" w14:textId="77777777" w:rsidR="001B2948" w:rsidRDefault="001B2948">
      <w:r>
        <w:separator/>
      </w:r>
    </w:p>
  </w:endnote>
  <w:endnote w:type="continuationSeparator" w:id="0">
    <w:p w14:paraId="777B9710" w14:textId="77777777"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619B" w14:textId="52E9AFB3" w:rsidR="00606E1F" w:rsidRPr="00934090" w:rsidRDefault="00606E1F" w:rsidP="007A2CBD">
    <w:pPr>
      <w:pStyle w:val="FirstFooter"/>
      <w:spacing w:line="240" w:lineRule="auto"/>
      <w:ind w:left="-397" w:right="-397"/>
      <w:jc w:val="center"/>
      <w:rPr>
        <w:color w:val="4F81BD"/>
        <w:sz w:val="19"/>
        <w:szCs w:val="19"/>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 xml:space="preserve">1211 Genève 20, Suisse </w:t>
    </w:r>
    <w:r w:rsidR="00934090" w:rsidRPr="00934090">
      <w:rPr>
        <w:rFonts w:asciiTheme="minorHAnsi" w:hAnsiTheme="minorHAnsi"/>
        <w:color w:val="4F81BD"/>
        <w:sz w:val="19"/>
        <w:szCs w:val="19"/>
        <w:lang w:val="fr-CH"/>
      </w:rPr>
      <w:t>•</w:t>
    </w:r>
    <w:r w:rsidRPr="00934090">
      <w:rPr>
        <w:rFonts w:asciiTheme="minorHAnsi" w:hAnsiTheme="minorHAnsi"/>
        <w:color w:val="4F81BD"/>
        <w:sz w:val="19"/>
        <w:szCs w:val="19"/>
        <w:lang w:val="fr-CH"/>
      </w:rPr>
      <w:br/>
    </w:r>
    <w:proofErr w:type="gramStart"/>
    <w:r w:rsidRPr="00934090">
      <w:rPr>
        <w:rFonts w:asciiTheme="minorHAnsi" w:hAnsiTheme="minorHAnsi"/>
        <w:color w:val="4F81BD"/>
        <w:sz w:val="19"/>
        <w:szCs w:val="19"/>
        <w:lang w:val="fr-CH"/>
      </w:rPr>
      <w:t>Tél.:</w:t>
    </w:r>
    <w:proofErr w:type="gramEnd"/>
    <w:r w:rsidRPr="00934090">
      <w:rPr>
        <w:rFonts w:asciiTheme="minorHAnsi" w:hAnsiTheme="minorHAnsi"/>
        <w:color w:val="4F81BD"/>
        <w:sz w:val="19"/>
        <w:szCs w:val="19"/>
        <w:lang w:val="fr-CH"/>
      </w:rPr>
      <w:t xml:space="preserve"> +41 22 730 5111 • </w:t>
    </w:r>
    <w:r w:rsidR="00934090" w:rsidRPr="00934090">
      <w:rPr>
        <w:rFonts w:asciiTheme="minorHAnsi" w:hAnsiTheme="minorHAnsi"/>
        <w:color w:val="4F81BD"/>
        <w:sz w:val="19"/>
        <w:szCs w:val="19"/>
        <w:lang w:val="fr-CH"/>
      </w:rPr>
      <w:t>Courriel</w:t>
    </w:r>
    <w:r w:rsidRPr="00934090">
      <w:rPr>
        <w:rFonts w:asciiTheme="minorHAnsi" w:hAnsiTheme="minorHAnsi"/>
        <w:color w:val="4F81BD"/>
        <w:sz w:val="19"/>
        <w:szCs w:val="19"/>
        <w:lang w:val="fr-CH"/>
      </w:rPr>
      <w:t xml:space="preserve">: </w:t>
    </w:r>
    <w:r w:rsidR="00507D88">
      <w:fldChar w:fldCharType="begin"/>
    </w:r>
    <w:r w:rsidR="00507D88" w:rsidRPr="008C594C">
      <w:rPr>
        <w:lang w:val="fr-FR"/>
        <w:rPrChange w:id="1" w:author="French" w:date="2024-01-26T14:55:00Z">
          <w:rPr/>
        </w:rPrChange>
      </w:rPr>
      <w:instrText xml:space="preserve"> HYPERLINK "mailto:itumail@itu.int" </w:instrText>
    </w:r>
    <w:r w:rsidR="00507D88">
      <w:fldChar w:fldCharType="separate"/>
    </w:r>
    <w:r w:rsidRPr="00934090">
      <w:rPr>
        <w:rStyle w:val="Hyperlink"/>
        <w:rFonts w:asciiTheme="minorHAnsi" w:hAnsiTheme="minorHAnsi"/>
        <w:sz w:val="19"/>
        <w:szCs w:val="19"/>
        <w:lang w:val="fr-FR"/>
      </w:rPr>
      <w:t>itumail@itu.int</w:t>
    </w:r>
    <w:r w:rsidR="00507D88">
      <w:rPr>
        <w:rStyle w:val="Hyperlink"/>
        <w:rFonts w:asciiTheme="minorHAnsi" w:hAnsiTheme="minorHAnsi"/>
        <w:sz w:val="19"/>
        <w:szCs w:val="19"/>
        <w:lang w:val="fr-FR"/>
      </w:rPr>
      <w:fldChar w:fldCharType="end"/>
    </w:r>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w:t>
    </w:r>
    <w:r w:rsidR="00507D88">
      <w:rPr>
        <w:rFonts w:asciiTheme="minorHAnsi" w:hAnsiTheme="minorHAnsi"/>
        <w:color w:val="4F81BD"/>
        <w:sz w:val="19"/>
        <w:szCs w:val="19"/>
        <w:lang w:val="fr-CH"/>
      </w:rPr>
      <w:t>Télécopie</w:t>
    </w:r>
    <w:r w:rsidRPr="00934090">
      <w:rPr>
        <w:rFonts w:asciiTheme="minorHAnsi" w:hAnsiTheme="minorHAnsi"/>
        <w:color w:val="4F81BD"/>
        <w:sz w:val="19"/>
        <w:szCs w:val="19"/>
        <w:lang w:val="fr-CH"/>
      </w:rPr>
      <w:t xml:space="preserve">: +41 22 733 7256 • </w:t>
    </w:r>
    <w:r w:rsidR="00507D88">
      <w:fldChar w:fldCharType="begin"/>
    </w:r>
    <w:r w:rsidR="00507D88" w:rsidRPr="008C594C">
      <w:rPr>
        <w:lang w:val="fr-FR"/>
        <w:rPrChange w:id="2" w:author="French" w:date="2024-01-26T14:55:00Z">
          <w:rPr/>
        </w:rPrChange>
      </w:rPr>
      <w:instrText xml:space="preserve"> HYPERLINK "http://www.itu.int" </w:instrText>
    </w:r>
    <w:r w:rsidR="00507D88">
      <w:fldChar w:fldCharType="separate"/>
    </w:r>
    <w:r w:rsidRPr="00934090">
      <w:rPr>
        <w:rStyle w:val="Hyperlink"/>
        <w:rFonts w:asciiTheme="minorHAnsi" w:hAnsiTheme="minorHAnsi"/>
        <w:sz w:val="19"/>
        <w:szCs w:val="19"/>
        <w:lang w:val="fr-FR"/>
      </w:rPr>
      <w:t>www.itu.int</w:t>
    </w:r>
    <w:r w:rsidR="00507D88">
      <w:rPr>
        <w:rStyle w:val="Hyperlink"/>
        <w:rFonts w:asciiTheme="minorHAnsi" w:hAnsiTheme="minorHAnsi"/>
        <w:sz w:val="19"/>
        <w:szCs w:val="19"/>
        <w:lang w:val="fr-FR"/>
      </w:rPr>
      <w:fldChar w:fldCharType="end"/>
    </w:r>
    <w:r w:rsidRPr="0093409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C8E49" w14:textId="77777777" w:rsidR="001B2948" w:rsidRDefault="001B2948">
      <w:r>
        <w:t>____________________</w:t>
      </w:r>
    </w:p>
  </w:footnote>
  <w:footnote w:type="continuationSeparator" w:id="0">
    <w:p w14:paraId="5946F144" w14:textId="77777777" w:rsidR="001B2948" w:rsidRDefault="001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2CF2E" w14:textId="1F33B9A4" w:rsidR="001B2948" w:rsidRPr="002569F7" w:rsidRDefault="001B2948" w:rsidP="00700E27">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A0FB5">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E1F9F" w14:textId="1B67C3D2" w:rsidR="001B2948" w:rsidRPr="001C6A22" w:rsidRDefault="001B2948" w:rsidP="00834960">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1A0FB5">
      <w:rPr>
        <w:noProof/>
        <w:sz w:val="18"/>
        <w:szCs w:val="16"/>
      </w:rPr>
      <w:t>- 3 -</w:t>
    </w:r>
    <w:r w:rsidRPr="001C6A22">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DB41E" w14:textId="77777777" w:rsidR="00CB2E3B" w:rsidRPr="00A52F57" w:rsidRDefault="00CB2E3B" w:rsidP="00D21CA5">
    <w:pPr>
      <w:pStyle w:val="Header"/>
      <w:spacing w:line="360" w:lineRule="auto"/>
      <w:jc w:val="center"/>
    </w:pPr>
    <w:r>
      <w:rPr>
        <w:noProof/>
        <w:lang w:val="en-GB" w:eastAsia="zh-CN"/>
      </w:rPr>
      <w:drawing>
        <wp:inline distT="0" distB="0" distL="0" distR="0" wp14:anchorId="1463AFA1" wp14:editId="4F5566F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750612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353491">
    <w:abstractNumId w:val="5"/>
  </w:num>
  <w:num w:numId="3" w16cid:durableId="21174800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2453"/>
    <w:rsid w:val="00045A8D"/>
    <w:rsid w:val="0005167A"/>
    <w:rsid w:val="00054E5D"/>
    <w:rsid w:val="000700E4"/>
    <w:rsid w:val="00070258"/>
    <w:rsid w:val="0007323C"/>
    <w:rsid w:val="00086D03"/>
    <w:rsid w:val="000A096A"/>
    <w:rsid w:val="000A375E"/>
    <w:rsid w:val="000A7051"/>
    <w:rsid w:val="000B0AF6"/>
    <w:rsid w:val="000B0E9B"/>
    <w:rsid w:val="000B2CAE"/>
    <w:rsid w:val="000B43DD"/>
    <w:rsid w:val="000C03C7"/>
    <w:rsid w:val="000C2AD0"/>
    <w:rsid w:val="000E2B65"/>
    <w:rsid w:val="000E3DEE"/>
    <w:rsid w:val="00100B72"/>
    <w:rsid w:val="00101F7D"/>
    <w:rsid w:val="0010270E"/>
    <w:rsid w:val="00103C76"/>
    <w:rsid w:val="0011265F"/>
    <w:rsid w:val="00117282"/>
    <w:rsid w:val="00117389"/>
    <w:rsid w:val="00121C2D"/>
    <w:rsid w:val="00134404"/>
    <w:rsid w:val="00144DFB"/>
    <w:rsid w:val="00187CA3"/>
    <w:rsid w:val="00196710"/>
    <w:rsid w:val="00196770"/>
    <w:rsid w:val="00197324"/>
    <w:rsid w:val="001A0FB5"/>
    <w:rsid w:val="001B2948"/>
    <w:rsid w:val="001B351B"/>
    <w:rsid w:val="001B42C9"/>
    <w:rsid w:val="001C06DB"/>
    <w:rsid w:val="001C6971"/>
    <w:rsid w:val="001C6A22"/>
    <w:rsid w:val="001D2785"/>
    <w:rsid w:val="001D7070"/>
    <w:rsid w:val="001F2170"/>
    <w:rsid w:val="001F3948"/>
    <w:rsid w:val="001F5A49"/>
    <w:rsid w:val="00201097"/>
    <w:rsid w:val="00201B6E"/>
    <w:rsid w:val="00224157"/>
    <w:rsid w:val="002302B3"/>
    <w:rsid w:val="00230C66"/>
    <w:rsid w:val="002358D6"/>
    <w:rsid w:val="00235A29"/>
    <w:rsid w:val="00241526"/>
    <w:rsid w:val="002443A2"/>
    <w:rsid w:val="002569F7"/>
    <w:rsid w:val="00266E74"/>
    <w:rsid w:val="00267D0C"/>
    <w:rsid w:val="00283C3B"/>
    <w:rsid w:val="002861E6"/>
    <w:rsid w:val="00287D18"/>
    <w:rsid w:val="002A2618"/>
    <w:rsid w:val="002A5DD7"/>
    <w:rsid w:val="002B0CAC"/>
    <w:rsid w:val="002D16B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05A1"/>
    <w:rsid w:val="003C2EA7"/>
    <w:rsid w:val="003C4471"/>
    <w:rsid w:val="003C7D41"/>
    <w:rsid w:val="003D4418"/>
    <w:rsid w:val="003D4A69"/>
    <w:rsid w:val="003D7108"/>
    <w:rsid w:val="003E504F"/>
    <w:rsid w:val="003E78D6"/>
    <w:rsid w:val="00400573"/>
    <w:rsid w:val="004007A3"/>
    <w:rsid w:val="00406D71"/>
    <w:rsid w:val="00411CB3"/>
    <w:rsid w:val="004224E7"/>
    <w:rsid w:val="004228FA"/>
    <w:rsid w:val="004326DB"/>
    <w:rsid w:val="0043682E"/>
    <w:rsid w:val="00447ECB"/>
    <w:rsid w:val="00451CAA"/>
    <w:rsid w:val="004623F7"/>
    <w:rsid w:val="00480F51"/>
    <w:rsid w:val="00481124"/>
    <w:rsid w:val="004815EB"/>
    <w:rsid w:val="0048701E"/>
    <w:rsid w:val="00487569"/>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14DE"/>
    <w:rsid w:val="00504939"/>
    <w:rsid w:val="00504D9E"/>
    <w:rsid w:val="00505309"/>
    <w:rsid w:val="0050789B"/>
    <w:rsid w:val="00507D88"/>
    <w:rsid w:val="005224A1"/>
    <w:rsid w:val="00534372"/>
    <w:rsid w:val="00543DF8"/>
    <w:rsid w:val="00546101"/>
    <w:rsid w:val="00553DD7"/>
    <w:rsid w:val="00557CCF"/>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E6CDC"/>
    <w:rsid w:val="005F3CB6"/>
    <w:rsid w:val="005F657C"/>
    <w:rsid w:val="005F6E76"/>
    <w:rsid w:val="00602B57"/>
    <w:rsid w:val="00602D53"/>
    <w:rsid w:val="006047E5"/>
    <w:rsid w:val="00606E1F"/>
    <w:rsid w:val="00610D6C"/>
    <w:rsid w:val="00642050"/>
    <w:rsid w:val="0064371D"/>
    <w:rsid w:val="00650543"/>
    <w:rsid w:val="00650B2A"/>
    <w:rsid w:val="00651777"/>
    <w:rsid w:val="006550F8"/>
    <w:rsid w:val="00666378"/>
    <w:rsid w:val="006829F3"/>
    <w:rsid w:val="00684454"/>
    <w:rsid w:val="006A518B"/>
    <w:rsid w:val="006A55AA"/>
    <w:rsid w:val="006B0590"/>
    <w:rsid w:val="006B49DA"/>
    <w:rsid w:val="006C53F8"/>
    <w:rsid w:val="006C7849"/>
    <w:rsid w:val="006C7CDE"/>
    <w:rsid w:val="00700E27"/>
    <w:rsid w:val="00703C30"/>
    <w:rsid w:val="007234B1"/>
    <w:rsid w:val="00723D08"/>
    <w:rsid w:val="00725FDA"/>
    <w:rsid w:val="00727816"/>
    <w:rsid w:val="00730B9A"/>
    <w:rsid w:val="00732163"/>
    <w:rsid w:val="00750CFA"/>
    <w:rsid w:val="007553DA"/>
    <w:rsid w:val="00773F7E"/>
    <w:rsid w:val="00775DB8"/>
    <w:rsid w:val="00782328"/>
    <w:rsid w:val="00782354"/>
    <w:rsid w:val="007921A7"/>
    <w:rsid w:val="007A2CBD"/>
    <w:rsid w:val="007B3DB1"/>
    <w:rsid w:val="007B634A"/>
    <w:rsid w:val="007C2E1E"/>
    <w:rsid w:val="007D183E"/>
    <w:rsid w:val="007D43D0"/>
    <w:rsid w:val="007E1833"/>
    <w:rsid w:val="007E3F13"/>
    <w:rsid w:val="007F1656"/>
    <w:rsid w:val="007F751A"/>
    <w:rsid w:val="007F7F13"/>
    <w:rsid w:val="00800012"/>
    <w:rsid w:val="0080261F"/>
    <w:rsid w:val="00806160"/>
    <w:rsid w:val="008143A4"/>
    <w:rsid w:val="0081513E"/>
    <w:rsid w:val="00834960"/>
    <w:rsid w:val="00854131"/>
    <w:rsid w:val="0085652D"/>
    <w:rsid w:val="0087694B"/>
    <w:rsid w:val="00880F4D"/>
    <w:rsid w:val="008829C4"/>
    <w:rsid w:val="0088443B"/>
    <w:rsid w:val="008B35A3"/>
    <w:rsid w:val="008B37E1"/>
    <w:rsid w:val="008B45F8"/>
    <w:rsid w:val="008C2E74"/>
    <w:rsid w:val="008C594C"/>
    <w:rsid w:val="008D5409"/>
    <w:rsid w:val="008E006D"/>
    <w:rsid w:val="008E38B4"/>
    <w:rsid w:val="008F4F21"/>
    <w:rsid w:val="00904D4A"/>
    <w:rsid w:val="009076D7"/>
    <w:rsid w:val="009101B0"/>
    <w:rsid w:val="009151BA"/>
    <w:rsid w:val="00925023"/>
    <w:rsid w:val="009277BC"/>
    <w:rsid w:val="00927D57"/>
    <w:rsid w:val="00931A51"/>
    <w:rsid w:val="00934090"/>
    <w:rsid w:val="00942E40"/>
    <w:rsid w:val="00947185"/>
    <w:rsid w:val="009518B3"/>
    <w:rsid w:val="009548CE"/>
    <w:rsid w:val="0095631B"/>
    <w:rsid w:val="00963D9D"/>
    <w:rsid w:val="0098013E"/>
    <w:rsid w:val="009805E9"/>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479B8"/>
    <w:rsid w:val="00A63355"/>
    <w:rsid w:val="00A7596D"/>
    <w:rsid w:val="00A963DF"/>
    <w:rsid w:val="00AA211B"/>
    <w:rsid w:val="00AC0C22"/>
    <w:rsid w:val="00AC3896"/>
    <w:rsid w:val="00AD2CF2"/>
    <w:rsid w:val="00AE2D88"/>
    <w:rsid w:val="00AE6F6F"/>
    <w:rsid w:val="00AF3325"/>
    <w:rsid w:val="00AF34D9"/>
    <w:rsid w:val="00AF70DA"/>
    <w:rsid w:val="00B019D3"/>
    <w:rsid w:val="00B259D4"/>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E3B"/>
    <w:rsid w:val="00CB3771"/>
    <w:rsid w:val="00CB44BF"/>
    <w:rsid w:val="00CB5153"/>
    <w:rsid w:val="00CE076A"/>
    <w:rsid w:val="00CE22BA"/>
    <w:rsid w:val="00CE463D"/>
    <w:rsid w:val="00D10BA0"/>
    <w:rsid w:val="00D11D32"/>
    <w:rsid w:val="00D21694"/>
    <w:rsid w:val="00D21CA5"/>
    <w:rsid w:val="00D24EB5"/>
    <w:rsid w:val="00D32285"/>
    <w:rsid w:val="00D35AB9"/>
    <w:rsid w:val="00D41571"/>
    <w:rsid w:val="00D416A0"/>
    <w:rsid w:val="00D438C5"/>
    <w:rsid w:val="00D47672"/>
    <w:rsid w:val="00D5123C"/>
    <w:rsid w:val="00D55560"/>
    <w:rsid w:val="00D61C5A"/>
    <w:rsid w:val="00D6790C"/>
    <w:rsid w:val="00D73277"/>
    <w:rsid w:val="00D76586"/>
    <w:rsid w:val="00D82657"/>
    <w:rsid w:val="00D87E20"/>
    <w:rsid w:val="00D9101C"/>
    <w:rsid w:val="00DA4037"/>
    <w:rsid w:val="00DB7859"/>
    <w:rsid w:val="00DE66A5"/>
    <w:rsid w:val="00DF2B50"/>
    <w:rsid w:val="00E01059"/>
    <w:rsid w:val="00E04C86"/>
    <w:rsid w:val="00E16250"/>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46E5"/>
    <w:rsid w:val="00E915AF"/>
    <w:rsid w:val="00E96415"/>
    <w:rsid w:val="00EA15B3"/>
    <w:rsid w:val="00EA2C83"/>
    <w:rsid w:val="00EB2358"/>
    <w:rsid w:val="00EB3EB8"/>
    <w:rsid w:val="00EB4520"/>
    <w:rsid w:val="00EC00EF"/>
    <w:rsid w:val="00EC025B"/>
    <w:rsid w:val="00EC02FE"/>
    <w:rsid w:val="00EC3EAC"/>
    <w:rsid w:val="00EC4A96"/>
    <w:rsid w:val="00EE03A0"/>
    <w:rsid w:val="00EE1A57"/>
    <w:rsid w:val="00F15342"/>
    <w:rsid w:val="00F27057"/>
    <w:rsid w:val="00F424BF"/>
    <w:rsid w:val="00F44FC3"/>
    <w:rsid w:val="00F46107"/>
    <w:rsid w:val="00F468C5"/>
    <w:rsid w:val="00F52F39"/>
    <w:rsid w:val="00F6184F"/>
    <w:rsid w:val="00F73DBD"/>
    <w:rsid w:val="00F77060"/>
    <w:rsid w:val="00F8310E"/>
    <w:rsid w:val="00F914DD"/>
    <w:rsid w:val="00FA2358"/>
    <w:rsid w:val="00FB2592"/>
    <w:rsid w:val="00FB2810"/>
    <w:rsid w:val="00FB7A2C"/>
    <w:rsid w:val="00FC2947"/>
    <w:rsid w:val="00FD2E9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CB16846"/>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CB2E3B"/>
    <w:rPr>
      <w:sz w:val="24"/>
      <w:szCs w:val="22"/>
      <w:lang w:val="en-US" w:eastAsia="en-US"/>
    </w:rPr>
  </w:style>
  <w:style w:type="character" w:styleId="PlaceholderText">
    <w:name w:val="Placeholder Text"/>
    <w:basedOn w:val="DefaultParagraphFont"/>
    <w:uiPriority w:val="99"/>
    <w:semiHidden/>
    <w:rsid w:val="00D11D32"/>
    <w:rPr>
      <w:color w:val="808080"/>
    </w:rPr>
  </w:style>
  <w:style w:type="character" w:styleId="FollowedHyperlink">
    <w:name w:val="FollowedHyperlink"/>
    <w:basedOn w:val="DefaultParagraphFont"/>
    <w:semiHidden/>
    <w:unhideWhenUsed/>
    <w:rsid w:val="00700E27"/>
    <w:rPr>
      <w:color w:val="800080" w:themeColor="followedHyperlink"/>
      <w:u w:val="single"/>
    </w:rPr>
  </w:style>
  <w:style w:type="character" w:customStyle="1" w:styleId="Style1">
    <w:name w:val="Style1"/>
    <w:basedOn w:val="DefaultParagraphFont"/>
    <w:uiPriority w:val="1"/>
    <w:rsid w:val="00EC025B"/>
    <w:rPr>
      <w:rFonts w:asciiTheme="minorHAnsi" w:hAnsiTheme="minorHAnsi"/>
      <w:b/>
      <w:sz w:val="24"/>
    </w:rPr>
  </w:style>
  <w:style w:type="paragraph" w:styleId="Revision">
    <w:name w:val="Revision"/>
    <w:hidden/>
    <w:uiPriority w:val="99"/>
    <w:semiHidden/>
    <w:rsid w:val="000700E4"/>
    <w:rPr>
      <w:sz w:val="24"/>
      <w:szCs w:val="22"/>
      <w:lang w:val="en-US" w:eastAsia="en-US"/>
    </w:rPr>
  </w:style>
  <w:style w:type="character" w:styleId="UnresolvedMention">
    <w:name w:val="Unresolved Mention"/>
    <w:basedOn w:val="DefaultParagraphFont"/>
    <w:uiPriority w:val="99"/>
    <w:semiHidden/>
    <w:unhideWhenUsed/>
    <w:rsid w:val="0066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yperlink" Target="https://www.itu.int/md/R23-SG06-C-0072/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23-SG06-C-0064/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SG06-C-0063/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23-SG06-C-0062/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fr/ITU-T/ipr/Pages/policy.aspx" TargetMode="External"/><Relationship Id="rId14" Type="http://schemas.openxmlformats.org/officeDocument/2006/relationships/hyperlink" Target="https://www.itu.int/md/R23-SG06-C/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F8E0-7C70-4CC8-8F82-674C4B16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36</TotalTime>
  <Pages>4</Pages>
  <Words>882</Words>
  <Characters>5761</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6630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Author</cp:lastModifiedBy>
  <cp:revision>12</cp:revision>
  <cp:lastPrinted>2020-01-31T16:24:00Z</cp:lastPrinted>
  <dcterms:created xsi:type="dcterms:W3CDTF">2024-01-26T13:57:00Z</dcterms:created>
  <dcterms:modified xsi:type="dcterms:W3CDTF">2024-12-04T14:16:00Z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