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60BEDABA" w14:textId="77777777" w:rsidTr="00153E23">
        <w:tc>
          <w:tcPr>
            <w:tcW w:w="5000" w:type="pct"/>
            <w:gridSpan w:val="3"/>
            <w:shd w:val="clear" w:color="auto" w:fill="auto"/>
          </w:tcPr>
          <w:p w14:paraId="5FC2CBE2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F1481A8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14946DBE" w14:textId="77777777" w:rsidTr="00153E23">
        <w:tc>
          <w:tcPr>
            <w:tcW w:w="2707" w:type="pct"/>
            <w:gridSpan w:val="2"/>
            <w:shd w:val="clear" w:color="auto" w:fill="auto"/>
          </w:tcPr>
          <w:p w14:paraId="06859BFA" w14:textId="77777777" w:rsidR="005F2E1D" w:rsidRPr="005F2E1D" w:rsidRDefault="005F2E1D" w:rsidP="005F2E1D">
            <w:pPr>
              <w:spacing w:before="80" w:line="300" w:lineRule="exact"/>
              <w:rPr>
                <w:position w:val="2"/>
                <w:lang w:val="ar-SA" w:bidi="ar-AE"/>
              </w:rPr>
            </w:pPr>
            <w:r w:rsidRPr="005F2E1D">
              <w:rPr>
                <w:position w:val="2"/>
                <w:rtl/>
              </w:rPr>
              <w:t>رسالة إدارية معممة</w:t>
            </w:r>
          </w:p>
          <w:p w14:paraId="0AC3A34E" w14:textId="4EBD83C9" w:rsidR="000F7BBE" w:rsidRPr="00150D16" w:rsidRDefault="005F2E1D" w:rsidP="005F2E1D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150D16">
              <w:rPr>
                <w:b/>
                <w:bCs/>
                <w:position w:val="2"/>
                <w:lang w:val="fr-CH" w:bidi="ar-AE"/>
              </w:rPr>
              <w:t>CACE/1121</w:t>
            </w:r>
          </w:p>
        </w:tc>
        <w:tc>
          <w:tcPr>
            <w:tcW w:w="2293" w:type="pct"/>
            <w:shd w:val="clear" w:color="auto" w:fill="auto"/>
          </w:tcPr>
          <w:p w14:paraId="0E5CAE39" w14:textId="5FE9AFF9" w:rsidR="000F7BBE" w:rsidRPr="00150D16" w:rsidRDefault="005F2E1D" w:rsidP="005F2E1D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150D16">
              <w:rPr>
                <w:position w:val="2"/>
                <w:rtl/>
                <w:lang w:val="fr-FR"/>
              </w:rPr>
              <w:t>28 نوفمبر 2024</w:t>
            </w:r>
          </w:p>
        </w:tc>
      </w:tr>
      <w:tr w:rsidR="000F7BBE" w:rsidRPr="000F7BBE" w14:paraId="2693E62E" w14:textId="77777777" w:rsidTr="00153E23">
        <w:tc>
          <w:tcPr>
            <w:tcW w:w="5000" w:type="pct"/>
            <w:gridSpan w:val="3"/>
            <w:shd w:val="clear" w:color="auto" w:fill="auto"/>
          </w:tcPr>
          <w:p w14:paraId="1D42CBDF" w14:textId="77777777" w:rsidR="000F7BBE" w:rsidRPr="00150D16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39DB855" w14:textId="77777777" w:rsidTr="00153E23">
        <w:tc>
          <w:tcPr>
            <w:tcW w:w="5000" w:type="pct"/>
            <w:gridSpan w:val="3"/>
            <w:shd w:val="clear" w:color="auto" w:fill="auto"/>
          </w:tcPr>
          <w:p w14:paraId="12F24715" w14:textId="77777777" w:rsidR="000F7BBE" w:rsidRPr="00150D16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42B038D" w14:textId="77777777" w:rsidTr="00153E23">
        <w:tc>
          <w:tcPr>
            <w:tcW w:w="5000" w:type="pct"/>
            <w:gridSpan w:val="3"/>
            <w:shd w:val="clear" w:color="auto" w:fill="auto"/>
          </w:tcPr>
          <w:p w14:paraId="04B58E91" w14:textId="26EC9CAE" w:rsidR="000F7BBE" w:rsidRPr="00150D16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50D16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150D16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150D16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150D16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150D16">
              <w:rPr>
                <w:b/>
                <w:bCs/>
                <w:position w:val="2"/>
                <w:rtl/>
              </w:rPr>
              <w:t>المنتسبين إليه</w:t>
            </w:r>
            <w:r w:rsidRPr="00150D16">
              <w:rPr>
                <w:b/>
                <w:bCs/>
                <w:position w:val="2"/>
                <w:rtl/>
              </w:rPr>
              <w:br/>
            </w:r>
            <w:r w:rsidRPr="00150D16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5F2E1D" w:rsidRPr="00150D16">
              <w:rPr>
                <w:b/>
                <w:bCs/>
                <w:position w:val="2"/>
                <w:lang w:val="en-GB" w:bidi="ar-EG"/>
              </w:rPr>
              <w:t>6</w:t>
            </w:r>
            <w:r w:rsidRPr="00150D16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150D16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07914B60" w14:textId="77777777" w:rsidTr="00153E23">
        <w:tc>
          <w:tcPr>
            <w:tcW w:w="5000" w:type="pct"/>
            <w:gridSpan w:val="3"/>
            <w:shd w:val="clear" w:color="auto" w:fill="auto"/>
          </w:tcPr>
          <w:p w14:paraId="41341EE0" w14:textId="77777777" w:rsidR="000F7BBE" w:rsidRPr="00150D16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177A897" w14:textId="77777777" w:rsidTr="00153E23">
        <w:tc>
          <w:tcPr>
            <w:tcW w:w="5000" w:type="pct"/>
            <w:gridSpan w:val="3"/>
            <w:shd w:val="clear" w:color="auto" w:fill="auto"/>
          </w:tcPr>
          <w:p w14:paraId="6C0546BD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008901D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68B59F0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927D1E4" w14:textId="77777777" w:rsidR="005F2E1D" w:rsidRPr="005F2E1D" w:rsidRDefault="005F2E1D" w:rsidP="005F2E1D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val="ar-SA" w:bidi="ar-EG"/>
              </w:rPr>
            </w:pPr>
            <w:r w:rsidRPr="005F2E1D">
              <w:rPr>
                <w:b/>
                <w:bCs/>
                <w:position w:val="2"/>
                <w:rtl/>
              </w:rPr>
              <w:t>لجنة الدراسات 6 للاتصالات الراديوية (الخدمة الإذاعية)</w:t>
            </w:r>
          </w:p>
          <w:p w14:paraId="47ABE7A0" w14:textId="27A9C89B" w:rsidR="005F2E1D" w:rsidRPr="005F2E1D" w:rsidRDefault="001E0AF4" w:rsidP="003D0E71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6" w:hanging="386"/>
              <w:rPr>
                <w:b/>
                <w:bCs/>
                <w:position w:val="2"/>
                <w:lang w:val="ar-SA"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val="fr-CH" w:bidi="ar-EG"/>
              </w:rPr>
              <w:t>-</w:t>
            </w:r>
            <w:r w:rsidR="005F2E1D" w:rsidRPr="005F2E1D">
              <w:rPr>
                <w:b/>
                <w:bCs/>
                <w:position w:val="2"/>
                <w:rtl/>
              </w:rPr>
              <w:tab/>
              <w:t>اقتراح الموافقة على مشروع مسألة جديدة لقطاع الاتصالات الراديوية</w:t>
            </w:r>
          </w:p>
          <w:p w14:paraId="2B05FEB1" w14:textId="02F9FF13" w:rsidR="000F7BBE" w:rsidRPr="000F7BBE" w:rsidRDefault="001E0AF4" w:rsidP="003D0E71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6" w:hanging="386"/>
              <w:rPr>
                <w:b/>
                <w:bCs/>
                <w:position w:val="2"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val="fr-CH" w:bidi="ar-EG"/>
              </w:rPr>
              <w:t>-</w:t>
            </w:r>
            <w:r w:rsidR="005F2E1D" w:rsidRPr="005F2E1D">
              <w:rPr>
                <w:b/>
                <w:bCs/>
                <w:position w:val="2"/>
                <w:rtl/>
              </w:rPr>
              <w:tab/>
              <w:t>اقتراح إلغاء مسألتين لقطاع الاتصالات الراديوية</w:t>
            </w:r>
          </w:p>
        </w:tc>
      </w:tr>
      <w:tr w:rsidR="00FC09E8" w:rsidRPr="000F7BBE" w14:paraId="0E2C7EB1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38D6AC7" w14:textId="77777777" w:rsidR="00FC09E8" w:rsidRPr="001E0AF4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6345F748" w14:textId="77777777" w:rsidR="00FC09E8" w:rsidRPr="001E0AF4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position w:val="2"/>
                <w:rtl/>
                <w:lang w:bidi="ar-EG"/>
              </w:rPr>
            </w:pPr>
          </w:p>
        </w:tc>
      </w:tr>
    </w:tbl>
    <w:p w14:paraId="3AB41877" w14:textId="28E4AC08" w:rsidR="005F2E1D" w:rsidRPr="005F2E1D" w:rsidRDefault="005F2E1D" w:rsidP="005F2E1D">
      <w:pPr>
        <w:rPr>
          <w:lang w:val="ar-SA" w:bidi="ar-EG"/>
        </w:rPr>
      </w:pPr>
      <w:r w:rsidRPr="005F2E1D">
        <w:rPr>
          <w:rtl/>
        </w:rPr>
        <w:t xml:space="preserve">اعتمدت لجنة الدراسات 6 للاتصالات الراديوية في اجتماعها الذي عُقد في 15 نوفمبر 2024، مشروع مسألة جديدة لقطاع </w:t>
      </w:r>
      <w:r w:rsidRPr="005F2E1D">
        <w:rPr>
          <w:spacing w:val="-2"/>
          <w:rtl/>
        </w:rPr>
        <w:t xml:space="preserve">الاتصالات الراديوية وفقاً للقرار ITU-R ‎1-9 ‎ (الفقرة </w:t>
      </w:r>
      <w:r w:rsidRPr="005F2E1D">
        <w:rPr>
          <w:spacing w:val="-2"/>
        </w:rPr>
        <w:t>2.2.5.A2</w:t>
      </w:r>
      <w:r w:rsidRPr="005F2E1D">
        <w:rPr>
          <w:spacing w:val="-2"/>
          <w:rtl/>
        </w:rPr>
        <w:t>) واتُفق على تطبيق الإجراء المنصوص عليه في القرار ITU</w:t>
      </w:r>
      <w:r w:rsidR="008C1BDF">
        <w:rPr>
          <w:spacing w:val="-2"/>
          <w:rtl/>
        </w:rPr>
        <w:noBreakHyphen/>
      </w:r>
      <w:r w:rsidRPr="005F2E1D">
        <w:rPr>
          <w:spacing w:val="-2"/>
          <w:rtl/>
        </w:rPr>
        <w:t>R</w:t>
      </w:r>
      <w:r w:rsidR="008C1BDF">
        <w:rPr>
          <w:rFonts w:hint="cs"/>
          <w:spacing w:val="-2"/>
          <w:rtl/>
        </w:rPr>
        <w:t> </w:t>
      </w:r>
      <w:r w:rsidRPr="005F2E1D">
        <w:rPr>
          <w:spacing w:val="-2"/>
          <w:rtl/>
        </w:rPr>
        <w:t>‎1</w:t>
      </w:r>
      <w:r w:rsidR="008C1BDF">
        <w:rPr>
          <w:spacing w:val="-2"/>
          <w:rtl/>
        </w:rPr>
        <w:noBreakHyphen/>
      </w:r>
      <w:r w:rsidRPr="005F2E1D">
        <w:rPr>
          <w:spacing w:val="-2"/>
          <w:rtl/>
        </w:rPr>
        <w:t>9‎</w:t>
      </w:r>
      <w:r w:rsidRPr="005F2E1D">
        <w:rPr>
          <w:rtl/>
        </w:rPr>
        <w:t xml:space="preserve"> (انظر الفقرة </w:t>
      </w:r>
      <w:r w:rsidRPr="005F2E1D">
        <w:t>3.2.5.A2</w:t>
      </w:r>
      <w:r w:rsidRPr="005F2E1D">
        <w:rPr>
          <w:rtl/>
        </w:rPr>
        <w:t>) بشأن الموافقة على المسائل في الفترة الواقعة بين جمعيتين للاتصالات الراديوية. ويرد نص مشروع مسألة قطاع الاتصالات الراديوية في الملحق 1 لتيسير اطلاعكم عليه. ويرجى من أي دولة عضو تبدي اعتراضاً على الموافقة على مشروع مسألة أن تخبر المدير ورئيس لجنة الدراسات بأسباب اعتراضها.</w:t>
      </w:r>
      <w:bookmarkStart w:id="0" w:name="_Hlk116571750"/>
      <w:bookmarkEnd w:id="0"/>
    </w:p>
    <w:p w14:paraId="2A1B5982" w14:textId="59C1606C" w:rsidR="005F2E1D" w:rsidRPr="005F2E1D" w:rsidRDefault="005F2E1D" w:rsidP="005F2E1D">
      <w:pPr>
        <w:rPr>
          <w:lang w:val="ar-SA" w:bidi="ar-EG"/>
        </w:rPr>
      </w:pPr>
      <w:r w:rsidRPr="005F2E1D">
        <w:rPr>
          <w:rtl/>
        </w:rPr>
        <w:t xml:space="preserve">وعلاوةً على ذلك، اقترحت لجنة الدراسات إلغاء مسألتين لقطاع الاتصالات الراديوية وفقاً للقرار ITU-R ‎1-9‎ (الفقرة </w:t>
      </w:r>
      <w:r w:rsidR="00952363">
        <w:t>3.5.A2</w:t>
      </w:r>
      <w:r w:rsidRPr="005F2E1D">
        <w:rPr>
          <w:rtl/>
        </w:rPr>
        <w:t>). ويبين الملحق 2 مسألتي قطاع الاتصالات الراديوية المقترح إلغاؤهما. ويرجى من أي دولة عضو تعترض على إلغاء مسألة لقطاع الاتصالات الراديوية أن تخبر المدير ورئيس لجنة الدراسات بأسباب اعتراضها.</w:t>
      </w:r>
    </w:p>
    <w:p w14:paraId="7645A69E" w14:textId="47BB173F" w:rsidR="005F2E1D" w:rsidRPr="005F2E1D" w:rsidRDefault="005F2E1D" w:rsidP="003D0E71">
      <w:pPr>
        <w:rPr>
          <w:lang w:val="ar-SA" w:bidi="ar-EG"/>
        </w:rPr>
      </w:pPr>
      <w:r w:rsidRPr="005F2E1D">
        <w:rPr>
          <w:rtl/>
        </w:rPr>
        <w:t xml:space="preserve">وبالنظر إلى أحكام الفقرة </w:t>
      </w:r>
      <w:r w:rsidRPr="005F2E1D">
        <w:t>3.2.5.A2</w:t>
      </w:r>
      <w:r w:rsidRPr="005F2E1D">
        <w:rPr>
          <w:rtl/>
        </w:rPr>
        <w:t xml:space="preserve"> من القرار </w:t>
      </w:r>
      <w:r w:rsidRPr="005F2E1D">
        <w:t>ITU-R</w:t>
      </w:r>
      <w:r w:rsidR="00AA0DF2">
        <w:t xml:space="preserve"> 1</w:t>
      </w:r>
      <w:r w:rsidRPr="005F2E1D">
        <w:t>-</w:t>
      </w:r>
      <w:r w:rsidR="00AA0DF2">
        <w:t>9</w:t>
      </w:r>
      <w:r w:rsidRPr="005F2E1D">
        <w:rPr>
          <w:rtl/>
        </w:rPr>
        <w:t>، يرجى من الدول الأعضاء إبلاغ الأمانة (</w:t>
      </w:r>
      <w:hyperlink r:id="rId8" w:history="1">
        <w:r w:rsidR="003D0E71" w:rsidRPr="003D0E71">
          <w:rPr>
            <w:rStyle w:val="Hyperlink"/>
            <w:lang w:val="en-GB"/>
          </w:rPr>
          <w:t>brsgd@itu.int</w:t>
        </w:r>
      </w:hyperlink>
      <w:r w:rsidRPr="005F2E1D">
        <w:rPr>
          <w:rtl/>
        </w:rPr>
        <w:t>) في</w:t>
      </w:r>
      <w:r w:rsidR="008C1BDF">
        <w:rPr>
          <w:rFonts w:hint="cs"/>
          <w:rtl/>
        </w:rPr>
        <w:t> </w:t>
      </w:r>
      <w:r w:rsidRPr="005F2E1D">
        <w:rPr>
          <w:rtl/>
        </w:rPr>
        <w:t xml:space="preserve">موعد أقصاه </w:t>
      </w:r>
      <w:r w:rsidRPr="005F2E1D">
        <w:rPr>
          <w:u w:val="single"/>
          <w:rtl/>
        </w:rPr>
        <w:t>28 يناير 2025</w:t>
      </w:r>
      <w:r w:rsidRPr="005F2E1D">
        <w:rPr>
          <w:rtl/>
        </w:rPr>
        <w:t xml:space="preserve"> بما إذا كانت توافق أم لا توافق على المقترحات الواردة أعلاه.</w:t>
      </w:r>
    </w:p>
    <w:p w14:paraId="5C05179A" w14:textId="55610C62" w:rsidR="00F16820" w:rsidRDefault="005F2E1D" w:rsidP="003D0E71">
      <w:pPr>
        <w:rPr>
          <w:rtl/>
          <w:lang w:bidi="ar-EG"/>
        </w:rPr>
      </w:pPr>
      <w:r w:rsidRPr="005F2E1D">
        <w:rPr>
          <w:rtl/>
        </w:rPr>
        <w:t xml:space="preserve">وبعد الموعد النهائي المحدد أعلاه، ستعلَن نتائج هذا التشاور في رسالة إدارية معممة ثم تُنشر المسألة الموافَق عليها بأسرع ما يمكن عملياً (انظر </w:t>
      </w:r>
      <w:hyperlink r:id="rId9" w:history="1">
        <w:r w:rsidR="003D0E71" w:rsidRPr="003D0E71">
          <w:rPr>
            <w:rStyle w:val="Hyperlink"/>
            <w:lang w:val="en-GB"/>
          </w:rPr>
          <w:t>http://www.itu.int/ITU-R/go/que-rsg6/en</w:t>
        </w:r>
      </w:hyperlink>
      <w:r w:rsidRPr="005F2E1D">
        <w:rPr>
          <w:rtl/>
        </w:rPr>
        <w:t>).</w:t>
      </w:r>
    </w:p>
    <w:p w14:paraId="4A675DD7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7A87D459" w14:textId="77777777" w:rsidR="00F16820" w:rsidRDefault="00F16820" w:rsidP="00441510">
      <w:pPr>
        <w:spacing w:before="1200"/>
        <w:jc w:val="left"/>
        <w:rPr>
          <w:rtl/>
          <w:lang w:bidi="ar-EG"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39182835" w14:textId="77777777" w:rsidR="005F2E1D" w:rsidRPr="005F2E1D" w:rsidRDefault="005F2E1D" w:rsidP="00441510">
      <w:pPr>
        <w:spacing w:before="600"/>
        <w:rPr>
          <w:lang w:val="ar-SA" w:bidi="ar-EG"/>
        </w:rPr>
      </w:pPr>
      <w:r w:rsidRPr="00E0758F">
        <w:rPr>
          <w:b/>
          <w:bCs/>
          <w:rtl/>
        </w:rPr>
        <w:t>الملحقات</w:t>
      </w:r>
      <w:r w:rsidRPr="00E0758F">
        <w:rPr>
          <w:b/>
          <w:bCs/>
          <w:lang w:val="fr-CH" w:bidi="ar-EG"/>
        </w:rPr>
        <w:t>:</w:t>
      </w:r>
      <w:r w:rsidRPr="005F2E1D">
        <w:rPr>
          <w:rtl/>
        </w:rPr>
        <w:t xml:space="preserve"> 2</w:t>
      </w:r>
    </w:p>
    <w:p w14:paraId="6ECB3B6A" w14:textId="1CB71EF4" w:rsidR="005F2E1D" w:rsidRPr="005F2E1D" w:rsidRDefault="00AB51F4" w:rsidP="00AA0DF2">
      <w:pPr>
        <w:pStyle w:val="enumlev1"/>
        <w:rPr>
          <w:lang w:val="ar-SA" w:bidi="ar-EG"/>
        </w:rPr>
      </w:pPr>
      <w:r>
        <w:rPr>
          <w:rFonts w:hint="cs"/>
          <w:rtl/>
          <w:lang w:val="fr-CH" w:bidi="ar-EG"/>
        </w:rPr>
        <w:t>-</w:t>
      </w:r>
      <w:r w:rsidR="005F2E1D" w:rsidRPr="005F2E1D">
        <w:rPr>
          <w:rtl/>
        </w:rPr>
        <w:tab/>
        <w:t>مشروع مسألة جديدة لقطاع الاتصالات الراديوية</w:t>
      </w:r>
    </w:p>
    <w:p w14:paraId="47EA52F7" w14:textId="6BFE46EE" w:rsidR="00FC09E8" w:rsidRDefault="00AB51F4" w:rsidP="00AA0DF2">
      <w:pPr>
        <w:pStyle w:val="enumlev1"/>
        <w:rPr>
          <w:rtl/>
        </w:rPr>
      </w:pPr>
      <w:r>
        <w:rPr>
          <w:rFonts w:hint="cs"/>
          <w:rtl/>
          <w:lang w:val="fr-CH" w:bidi="ar-EG"/>
        </w:rPr>
        <w:t>-</w:t>
      </w:r>
      <w:r w:rsidR="005F2E1D" w:rsidRPr="005F2E1D">
        <w:rPr>
          <w:rtl/>
        </w:rPr>
        <w:tab/>
        <w:t>اقتراح إلغاء مسألتين لقطاع الاتصالات الراديوية</w:t>
      </w:r>
      <w:r w:rsidR="00FC09E8">
        <w:rPr>
          <w:rtl/>
        </w:rPr>
        <w:br w:type="page"/>
      </w:r>
    </w:p>
    <w:p w14:paraId="710AC9A5" w14:textId="77777777" w:rsidR="005F2E1D" w:rsidRPr="0060109C" w:rsidRDefault="005F2E1D" w:rsidP="00D71DF3">
      <w:pPr>
        <w:pStyle w:val="AnnexNo"/>
        <w:rPr>
          <w:b/>
          <w:bCs/>
          <w:lang w:bidi="ar-SA"/>
        </w:rPr>
      </w:pPr>
      <w:r w:rsidRPr="0060109C">
        <w:rPr>
          <w:b/>
          <w:bCs/>
          <w:rtl/>
        </w:rPr>
        <w:lastRenderedPageBreak/>
        <w:t>الملحق 1</w:t>
      </w:r>
    </w:p>
    <w:p w14:paraId="45E6A9CA" w14:textId="62B99288" w:rsidR="005F2E1D" w:rsidRPr="005F2E1D" w:rsidRDefault="005F2E1D" w:rsidP="00D71DF3">
      <w:pPr>
        <w:jc w:val="center"/>
      </w:pPr>
      <w:r w:rsidRPr="005F2E1D">
        <w:rPr>
          <w:rtl/>
        </w:rPr>
        <w:t>(الوثيقـة</w:t>
      </w:r>
      <w:r w:rsidR="00D71DF3">
        <w:rPr>
          <w:rFonts w:hint="cs"/>
          <w:rtl/>
        </w:rPr>
        <w:t xml:space="preserve"> </w:t>
      </w:r>
      <w:hyperlink r:id="rId10" w:history="1">
        <w:r w:rsidR="00D71DF3" w:rsidRPr="00D71DF3">
          <w:rPr>
            <w:rStyle w:val="Hyperlink"/>
            <w:lang w:val="en-GB"/>
          </w:rPr>
          <w:t>6/66</w:t>
        </w:r>
      </w:hyperlink>
      <w:r w:rsidRPr="005F2E1D">
        <w:rPr>
          <w:rtl/>
        </w:rPr>
        <w:t>)</w:t>
      </w:r>
    </w:p>
    <w:p w14:paraId="3D0C851F" w14:textId="77777777" w:rsidR="005F2E1D" w:rsidRPr="005F2E1D" w:rsidRDefault="005F2E1D" w:rsidP="00476A2B">
      <w:pPr>
        <w:pStyle w:val="QuestionNo"/>
      </w:pPr>
      <w:r w:rsidRPr="005F2E1D">
        <w:rPr>
          <w:rtl/>
        </w:rPr>
        <w:t>مشروع المسألة الجديدة ITU-R [ADVSS]/6</w:t>
      </w:r>
    </w:p>
    <w:p w14:paraId="245BCED4" w14:textId="77777777" w:rsidR="005F2E1D" w:rsidRPr="00080E1E" w:rsidRDefault="005F2E1D" w:rsidP="00080E1E">
      <w:pPr>
        <w:pStyle w:val="Questiontitle"/>
      </w:pPr>
      <w:r w:rsidRPr="00080E1E">
        <w:rPr>
          <w:rtl/>
        </w:rPr>
        <w:t>تطور الأنظمة الصوتية للإذاعة</w:t>
      </w:r>
    </w:p>
    <w:p w14:paraId="711A6950" w14:textId="77777777" w:rsidR="005F2E1D" w:rsidRPr="005F2E1D" w:rsidRDefault="005F2E1D" w:rsidP="00F30147">
      <w:pPr>
        <w:jc w:val="right"/>
      </w:pPr>
      <w:r w:rsidRPr="005F2E1D">
        <w:rPr>
          <w:rtl/>
        </w:rPr>
        <w:t>(2024)</w:t>
      </w:r>
    </w:p>
    <w:p w14:paraId="1D471B26" w14:textId="77777777" w:rsidR="005F2E1D" w:rsidRPr="005F2E1D" w:rsidRDefault="005F2E1D" w:rsidP="00F30147">
      <w:pPr>
        <w:pStyle w:val="Normalaftertitle"/>
        <w:rPr>
          <w:lang w:bidi="en-GB"/>
        </w:rPr>
      </w:pPr>
      <w:r w:rsidRPr="005F2E1D">
        <w:rPr>
          <w:rtl/>
        </w:rPr>
        <w:t>إن جمعية الاتصالات الراديوية للاتحاد الدولي للاتصالات،</w:t>
      </w:r>
    </w:p>
    <w:p w14:paraId="4BE948A9" w14:textId="77777777" w:rsidR="005F2E1D" w:rsidRPr="005F2E1D" w:rsidRDefault="005F2E1D" w:rsidP="00D71DF3">
      <w:pPr>
        <w:pStyle w:val="Call"/>
      </w:pPr>
      <w:r w:rsidRPr="005F2E1D">
        <w:rPr>
          <w:rtl/>
        </w:rPr>
        <w:t>إذ تضع في اعتبارها</w:t>
      </w:r>
    </w:p>
    <w:p w14:paraId="4F955CA7" w14:textId="7401F887" w:rsidR="005F2E1D" w:rsidRPr="005F2E1D" w:rsidRDefault="00181713" w:rsidP="005F2E1D">
      <w:r w:rsidRPr="00181713">
        <w:rPr>
          <w:rFonts w:hint="cs"/>
          <w:i/>
          <w:iCs/>
          <w:rtl/>
        </w:rPr>
        <w:t> </w:t>
      </w:r>
      <w:proofErr w:type="gramStart"/>
      <w:r w:rsidR="005F2E1D" w:rsidRPr="005F2E1D">
        <w:rPr>
          <w:i/>
          <w:iCs/>
          <w:rtl/>
        </w:rPr>
        <w:t>أ</w:t>
      </w:r>
      <w:r w:rsidRPr="00181713">
        <w:rPr>
          <w:rFonts w:hint="cs"/>
          <w:i/>
          <w:iCs/>
          <w:rtl/>
        </w:rPr>
        <w:t> </w:t>
      </w:r>
      <w:r w:rsidR="005F2E1D" w:rsidRPr="005F2E1D">
        <w:rPr>
          <w:i/>
          <w:iCs/>
          <w:rtl/>
        </w:rPr>
        <w:t>)</w:t>
      </w:r>
      <w:proofErr w:type="gramEnd"/>
      <w:r w:rsidR="005F2E1D" w:rsidRPr="005F2E1D">
        <w:rPr>
          <w:rtl/>
        </w:rPr>
        <w:tab/>
        <w:t>أن النظام الصوتي المتقدم يتيح تجارب مكانية وتفاعلية أكثر من تلك التي يتيحها النظام الصوتي متعدد القنوات 2/3؛</w:t>
      </w:r>
    </w:p>
    <w:p w14:paraId="301043AB" w14:textId="2CD4C1B5" w:rsidR="005F2E1D" w:rsidRPr="00080E1E" w:rsidRDefault="005F2E1D" w:rsidP="005F2E1D">
      <w:pPr>
        <w:rPr>
          <w:spacing w:val="-6"/>
        </w:rPr>
      </w:pPr>
      <w:r w:rsidRPr="00080E1E">
        <w:rPr>
          <w:i/>
          <w:iCs/>
          <w:spacing w:val="-6"/>
          <w:rtl/>
        </w:rPr>
        <w:t>ب)</w:t>
      </w:r>
      <w:r w:rsidRPr="00080E1E">
        <w:rPr>
          <w:spacing w:val="-6"/>
          <w:rtl/>
        </w:rPr>
        <w:tab/>
        <w:t>أن من المتوقع أن تتطور الأنظمة الصوتية للإذاعة وتتيح حالات استعمال جديدة، بما في ذلك الواقع الافتراضي أو</w:t>
      </w:r>
      <w:r w:rsidR="00DA7AFE" w:rsidRPr="00080E1E">
        <w:rPr>
          <w:rFonts w:hint="cs"/>
          <w:spacing w:val="-6"/>
          <w:rtl/>
        </w:rPr>
        <w:t> </w:t>
      </w:r>
      <w:r w:rsidRPr="00080E1E">
        <w:rPr>
          <w:spacing w:val="-6"/>
          <w:rtl/>
        </w:rPr>
        <w:t>الواقع المعزز</w:t>
      </w:r>
      <w:r w:rsidR="00080E1E">
        <w:rPr>
          <w:rFonts w:hint="cs"/>
          <w:spacing w:val="-6"/>
          <w:rtl/>
        </w:rPr>
        <w:t> </w:t>
      </w:r>
      <w:r w:rsidRPr="00080E1E">
        <w:rPr>
          <w:spacing w:val="-6"/>
          <w:lang w:val="fr-CH"/>
        </w:rPr>
        <w:t>(VR/AR</w:t>
      </w:r>
      <w:r w:rsidRPr="00080E1E">
        <w:rPr>
          <w:spacing w:val="-6"/>
        </w:rPr>
        <w:t>)</w:t>
      </w:r>
      <w:r w:rsidRPr="00080E1E">
        <w:rPr>
          <w:spacing w:val="-6"/>
          <w:rtl/>
        </w:rPr>
        <w:t>، والإنتاج عن بعد أو الافتراضي، وتكييف أجهزة/بيئات الاستنساخ، والتفاعل مع المستعمل وإضفاء الطابع الشخصي؛</w:t>
      </w:r>
    </w:p>
    <w:p w14:paraId="7B00B828" w14:textId="3B83525F" w:rsidR="005F2E1D" w:rsidRPr="005F2E1D" w:rsidRDefault="005F2E1D" w:rsidP="005F2E1D">
      <w:r w:rsidRPr="005F2E1D">
        <w:rPr>
          <w:i/>
          <w:iCs/>
          <w:rtl/>
        </w:rPr>
        <w:t>ج)</w:t>
      </w:r>
      <w:r w:rsidRPr="005F2E1D">
        <w:rPr>
          <w:rtl/>
        </w:rPr>
        <w:tab/>
        <w:t>أن بيئات الواقع الافتراضي/الواقع المعزز ستتطلب موضعاً صوتياً للصورة يتتبع وجهة نظر المستعمل ويطابقها في</w:t>
      </w:r>
      <w:r w:rsidR="00DA7AFE">
        <w:rPr>
          <w:rFonts w:hint="cs"/>
          <w:rtl/>
        </w:rPr>
        <w:t> </w:t>
      </w:r>
      <w:r w:rsidRPr="005F2E1D">
        <w:rPr>
          <w:rtl/>
        </w:rPr>
        <w:t>فضاء ثلاثي الأبعاد؛</w:t>
      </w:r>
    </w:p>
    <w:p w14:paraId="65A5C9D8" w14:textId="5E9E7488" w:rsidR="005F2E1D" w:rsidRPr="005F2E1D" w:rsidRDefault="005F2E1D" w:rsidP="005F2E1D">
      <w:proofErr w:type="gramStart"/>
      <w:r w:rsidRPr="005F2E1D">
        <w:rPr>
          <w:i/>
          <w:iCs/>
          <w:rtl/>
        </w:rPr>
        <w:t>د</w:t>
      </w:r>
      <w:r w:rsidR="00181713"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)</w:t>
      </w:r>
      <w:proofErr w:type="gramEnd"/>
      <w:r w:rsidRPr="005F2E1D">
        <w:rPr>
          <w:rtl/>
        </w:rPr>
        <w:tab/>
        <w:t xml:space="preserve">أن الأنظمة الصوتية لحالات الاستعمال الجديدة هذه ستتطلب بيانات </w:t>
      </w:r>
      <w:proofErr w:type="spellStart"/>
      <w:r w:rsidRPr="005F2E1D">
        <w:rPr>
          <w:rtl/>
        </w:rPr>
        <w:t>شرحية</w:t>
      </w:r>
      <w:proofErr w:type="spellEnd"/>
      <w:r w:rsidRPr="005F2E1D">
        <w:rPr>
          <w:rtl/>
        </w:rPr>
        <w:t xml:space="preserve"> إضافية ذات صلة بإشارات سمعية وطرق عرض متقدمة؛</w:t>
      </w:r>
    </w:p>
    <w:p w14:paraId="243D524A" w14:textId="51D57128" w:rsidR="005F2E1D" w:rsidRPr="005F2E1D" w:rsidRDefault="005F2E1D" w:rsidP="005F2E1D">
      <w:proofErr w:type="gramStart"/>
      <w:r w:rsidRPr="005F2E1D">
        <w:rPr>
          <w:i/>
          <w:iCs/>
          <w:rtl/>
        </w:rPr>
        <w:t>ﻫ</w:t>
      </w:r>
      <w:r w:rsidR="00181713"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)</w:t>
      </w:r>
      <w:proofErr w:type="gramEnd"/>
      <w:r w:rsidRPr="005F2E1D">
        <w:rPr>
          <w:rtl/>
        </w:rPr>
        <w:tab/>
        <w:t xml:space="preserve">أن حالات الاستعمال الجديدة هذه قد تتطلب تدفقات عمل مختلفة للإنتاج، بما في ذلك إنشاء بيانات </w:t>
      </w:r>
      <w:proofErr w:type="spellStart"/>
      <w:r w:rsidRPr="005F2E1D">
        <w:rPr>
          <w:rtl/>
        </w:rPr>
        <w:t>شرحية</w:t>
      </w:r>
      <w:proofErr w:type="spellEnd"/>
      <w:r w:rsidRPr="005F2E1D">
        <w:rPr>
          <w:rtl/>
        </w:rPr>
        <w:t xml:space="preserve"> ذات</w:t>
      </w:r>
      <w:r w:rsidR="00203E69">
        <w:rPr>
          <w:rFonts w:hint="cs"/>
          <w:rtl/>
        </w:rPr>
        <w:t> </w:t>
      </w:r>
      <w:r w:rsidRPr="005F2E1D">
        <w:rPr>
          <w:rtl/>
        </w:rPr>
        <w:t>صلة بإشارات سمعية واستخدام أدوات إنتاج قائمة على تكنولوجيات الذكاء الاصطناعي؛</w:t>
      </w:r>
    </w:p>
    <w:p w14:paraId="5F8AAD29" w14:textId="51F2D0FF" w:rsidR="005F2E1D" w:rsidRPr="005F2E1D" w:rsidRDefault="005F2E1D" w:rsidP="005F2E1D">
      <w:proofErr w:type="gramStart"/>
      <w:r w:rsidRPr="005F2E1D">
        <w:rPr>
          <w:i/>
          <w:iCs/>
          <w:rtl/>
        </w:rPr>
        <w:t>و</w:t>
      </w:r>
      <w:r w:rsidR="00181713"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)</w:t>
      </w:r>
      <w:proofErr w:type="gramEnd"/>
      <w:r w:rsidRPr="005F2E1D">
        <w:rPr>
          <w:rtl/>
        </w:rPr>
        <w:tab/>
        <w:t xml:space="preserve">أن تحويل الإشارات السمعية و/أو البيانات </w:t>
      </w:r>
      <w:proofErr w:type="spellStart"/>
      <w:r w:rsidRPr="005F2E1D">
        <w:rPr>
          <w:rtl/>
        </w:rPr>
        <w:t>الشرحية</w:t>
      </w:r>
      <w:proofErr w:type="spellEnd"/>
      <w:r w:rsidRPr="005F2E1D">
        <w:rPr>
          <w:rtl/>
        </w:rPr>
        <w:t xml:space="preserve"> ذات الصلة بالإشارات السمعية قد يكون مطلوباً لتدفقات العمل والبنية التحتية ومنصات التوزيع الحالية والمستقبلية؛ </w:t>
      </w:r>
    </w:p>
    <w:p w14:paraId="6621D449" w14:textId="3E19737A" w:rsidR="005F2E1D" w:rsidRPr="005F2E1D" w:rsidRDefault="005F2E1D" w:rsidP="005F2E1D">
      <w:proofErr w:type="gramStart"/>
      <w:r w:rsidRPr="005F2E1D">
        <w:rPr>
          <w:i/>
          <w:iCs/>
          <w:rtl/>
        </w:rPr>
        <w:t>ز</w:t>
      </w:r>
      <w:r w:rsidR="00181713"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)</w:t>
      </w:r>
      <w:proofErr w:type="gramEnd"/>
      <w:r w:rsidRPr="005F2E1D">
        <w:rPr>
          <w:rtl/>
        </w:rPr>
        <w:tab/>
        <w:t>أن المبادئ التوجيهية لتدفقات العمل وأفضل الممارسات للأنظمة الصوتية، بما في ذلك حالات الاستعمال الجديدة مثل الواقع الافتراضي/الواقع المعزز، تساعد في تنفيذها واعتمادها،</w:t>
      </w:r>
    </w:p>
    <w:p w14:paraId="3AD9DEEB" w14:textId="77777777" w:rsidR="005F2E1D" w:rsidRPr="005F2E1D" w:rsidRDefault="005F2E1D" w:rsidP="00181713">
      <w:pPr>
        <w:pStyle w:val="Call"/>
      </w:pPr>
      <w:r w:rsidRPr="005F2E1D">
        <w:rPr>
          <w:rtl/>
        </w:rPr>
        <w:t>وإذ تدرك</w:t>
      </w:r>
    </w:p>
    <w:p w14:paraId="5349B483" w14:textId="08F7B69D" w:rsidR="005F2E1D" w:rsidRPr="005F2E1D" w:rsidRDefault="00181713" w:rsidP="005F2E1D">
      <w:r w:rsidRPr="00181713">
        <w:rPr>
          <w:rFonts w:hint="eastAsia"/>
          <w:i/>
          <w:iCs/>
          <w:rtl/>
          <w:lang w:bidi="ar-EG"/>
        </w:rPr>
        <w:t> </w:t>
      </w:r>
      <w:proofErr w:type="gramStart"/>
      <w:r w:rsidR="005F2E1D" w:rsidRPr="005F2E1D">
        <w:rPr>
          <w:i/>
          <w:iCs/>
          <w:rtl/>
        </w:rPr>
        <w:t>أ</w:t>
      </w:r>
      <w:r w:rsidRPr="00181713">
        <w:rPr>
          <w:rFonts w:hint="cs"/>
          <w:i/>
          <w:iCs/>
          <w:rtl/>
        </w:rPr>
        <w:t> </w:t>
      </w:r>
      <w:r w:rsidR="005F2E1D" w:rsidRPr="005F2E1D">
        <w:rPr>
          <w:i/>
          <w:iCs/>
          <w:rtl/>
        </w:rPr>
        <w:t>)</w:t>
      </w:r>
      <w:proofErr w:type="gramEnd"/>
      <w:r w:rsidR="005F2E1D" w:rsidRPr="005F2E1D">
        <w:rPr>
          <w:rtl/>
        </w:rPr>
        <w:tab/>
      </w:r>
      <w:r w:rsidR="005F2E1D" w:rsidRPr="005F2E1D">
        <w:rPr>
          <w:spacing w:val="-4"/>
          <w:rtl/>
        </w:rPr>
        <w:t xml:space="preserve">أن النظام الصوتي متعدد القنوات 2/3 والنظام الصوتي المتقدم محددان في التوصيتين ITU-R BS.775 </w:t>
      </w:r>
      <w:proofErr w:type="spellStart"/>
      <w:r w:rsidR="005F2E1D" w:rsidRPr="005F2E1D">
        <w:rPr>
          <w:spacing w:val="-4"/>
          <w:rtl/>
        </w:rPr>
        <w:t>وITU</w:t>
      </w:r>
      <w:proofErr w:type="spellEnd"/>
      <w:r w:rsidR="005F2E1D" w:rsidRPr="005F2E1D">
        <w:rPr>
          <w:spacing w:val="-4"/>
          <w:rtl/>
        </w:rPr>
        <w:t>-R BS.2051</w:t>
      </w:r>
      <w:r w:rsidR="005F2E1D" w:rsidRPr="005F2E1D">
        <w:rPr>
          <w:rtl/>
        </w:rPr>
        <w:t xml:space="preserve"> على التوالي؛</w:t>
      </w:r>
    </w:p>
    <w:p w14:paraId="4D9EE8F2" w14:textId="77777777" w:rsidR="005F2E1D" w:rsidRPr="005F2E1D" w:rsidRDefault="005F2E1D" w:rsidP="005F2E1D">
      <w:r w:rsidRPr="005F2E1D">
        <w:rPr>
          <w:i/>
          <w:iCs/>
          <w:rtl/>
        </w:rPr>
        <w:t>ب)</w:t>
      </w:r>
      <w:r w:rsidRPr="005F2E1D">
        <w:rPr>
          <w:rtl/>
        </w:rPr>
        <w:tab/>
        <w:t xml:space="preserve">أن البيانات الشريحة ذات الصلة بالإشارات السمعية بما في ذلك نموذج التعريف السمعي </w:t>
      </w:r>
      <w:r w:rsidRPr="005F2E1D">
        <w:rPr>
          <w:lang w:val="fr-CH"/>
        </w:rPr>
        <w:t>(ADM</w:t>
      </w:r>
      <w:r w:rsidRPr="005F2E1D">
        <w:t>)</w:t>
      </w:r>
      <w:r w:rsidRPr="005F2E1D">
        <w:rPr>
          <w:rtl/>
        </w:rPr>
        <w:t xml:space="preserve"> والتعاريف </w:t>
      </w:r>
      <w:r w:rsidRPr="005F2E1D">
        <w:rPr>
          <w:spacing w:val="-4"/>
          <w:rtl/>
        </w:rPr>
        <w:t xml:space="preserve">الشائعة للنموذج </w:t>
      </w:r>
      <w:r w:rsidRPr="005F2E1D">
        <w:rPr>
          <w:spacing w:val="-4"/>
          <w:lang w:val="fr-CH"/>
        </w:rPr>
        <w:t>ADM</w:t>
      </w:r>
      <w:r w:rsidRPr="005F2E1D">
        <w:rPr>
          <w:spacing w:val="-4"/>
          <w:rtl/>
        </w:rPr>
        <w:t xml:space="preserve"> والتمثيل التسلسلي للنموذج ADM (S-ADM) محددة في التوصيات ITU-R BS.2076 </w:t>
      </w:r>
      <w:proofErr w:type="spellStart"/>
      <w:r w:rsidRPr="005F2E1D">
        <w:rPr>
          <w:spacing w:val="-4"/>
          <w:rtl/>
        </w:rPr>
        <w:t>وITU</w:t>
      </w:r>
      <w:proofErr w:type="spellEnd"/>
      <w:r w:rsidRPr="005F2E1D">
        <w:rPr>
          <w:spacing w:val="-4"/>
          <w:rtl/>
        </w:rPr>
        <w:t>-R BS.2094</w:t>
      </w:r>
      <w:r w:rsidRPr="005F2E1D">
        <w:rPr>
          <w:rtl/>
        </w:rPr>
        <w:t xml:space="preserve"> </w:t>
      </w:r>
      <w:proofErr w:type="spellStart"/>
      <w:r w:rsidRPr="005F2E1D">
        <w:rPr>
          <w:rtl/>
        </w:rPr>
        <w:t>وITU</w:t>
      </w:r>
      <w:proofErr w:type="spellEnd"/>
      <w:r w:rsidRPr="005F2E1D">
        <w:rPr>
          <w:rtl/>
        </w:rPr>
        <w:t>-R BS.2125؛</w:t>
      </w:r>
    </w:p>
    <w:p w14:paraId="645B6035" w14:textId="3D19CC42" w:rsidR="005F2E1D" w:rsidRPr="005F2E1D" w:rsidRDefault="005F2E1D" w:rsidP="005F2E1D">
      <w:r w:rsidRPr="005F2E1D">
        <w:rPr>
          <w:i/>
          <w:iCs/>
          <w:rtl/>
        </w:rPr>
        <w:t>ج)</w:t>
      </w:r>
      <w:r w:rsidRPr="005F2E1D">
        <w:rPr>
          <w:rtl/>
        </w:rPr>
        <w:tab/>
        <w:t>أن عارض نموذج تعريف الإشارة السمعية محدد في التوصية ITU-R BS.2127؛</w:t>
      </w:r>
    </w:p>
    <w:p w14:paraId="2086B85C" w14:textId="01CF3771" w:rsidR="005F2E1D" w:rsidRPr="005F2E1D" w:rsidRDefault="005F2E1D" w:rsidP="005F2E1D">
      <w:proofErr w:type="gramStart"/>
      <w:r w:rsidRPr="005F2E1D">
        <w:rPr>
          <w:i/>
          <w:iCs/>
          <w:rtl/>
        </w:rPr>
        <w:t>د</w:t>
      </w:r>
      <w:r w:rsidR="00181713"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)</w:t>
      </w:r>
      <w:proofErr w:type="gramEnd"/>
      <w:r w:rsidRPr="005F2E1D">
        <w:rPr>
          <w:rtl/>
        </w:rPr>
        <w:tab/>
        <w:t xml:space="preserve">أن المبادئ التوجيهية لاستعمال نموذج تعريف الإشارة السمعية والتنفيذ العملي </w:t>
      </w:r>
      <w:proofErr w:type="spellStart"/>
      <w:r w:rsidRPr="005F2E1D">
        <w:rPr>
          <w:rtl/>
        </w:rPr>
        <w:t>للكودكات</w:t>
      </w:r>
      <w:proofErr w:type="spellEnd"/>
      <w:r w:rsidRPr="005F2E1D">
        <w:rPr>
          <w:rtl/>
        </w:rPr>
        <w:t xml:space="preserve"> السمعية للأنظمة الصوتية المتقدمة وجمع سيناريوهات استخدام أنظمة الوسائط الحسية الغامرة المتقدمة موصوفة في التقارير ITU-R BS.2388 </w:t>
      </w:r>
      <w:proofErr w:type="spellStart"/>
      <w:r w:rsidRPr="005F2E1D">
        <w:rPr>
          <w:rtl/>
        </w:rPr>
        <w:t>وITU</w:t>
      </w:r>
      <w:proofErr w:type="spellEnd"/>
      <w:r w:rsidRPr="005F2E1D">
        <w:rPr>
          <w:rtl/>
        </w:rPr>
        <w:t xml:space="preserve">-R BS.2493 </w:t>
      </w:r>
      <w:proofErr w:type="spellStart"/>
      <w:r w:rsidRPr="005F2E1D">
        <w:rPr>
          <w:rtl/>
        </w:rPr>
        <w:t>وITU</w:t>
      </w:r>
      <w:proofErr w:type="spellEnd"/>
      <w:r w:rsidRPr="005F2E1D">
        <w:rPr>
          <w:rtl/>
        </w:rPr>
        <w:t>-R BT.2420؛</w:t>
      </w:r>
    </w:p>
    <w:p w14:paraId="6B5B527F" w14:textId="49DC85A0" w:rsidR="005F2E1D" w:rsidRPr="005F2E1D" w:rsidRDefault="005F2E1D" w:rsidP="005F2E1D">
      <w:proofErr w:type="gramStart"/>
      <w:r w:rsidRPr="005F2E1D">
        <w:rPr>
          <w:i/>
          <w:iCs/>
          <w:rtl/>
        </w:rPr>
        <w:t>ﻫ</w:t>
      </w:r>
      <w:r w:rsidR="00181713" w:rsidRPr="00181713">
        <w:rPr>
          <w:rFonts w:hint="cs"/>
          <w:i/>
          <w:iCs/>
          <w:rtl/>
        </w:rPr>
        <w:t> </w:t>
      </w:r>
      <w:r w:rsidRPr="005F2E1D">
        <w:rPr>
          <w:i/>
          <w:iCs/>
          <w:rtl/>
        </w:rPr>
        <w:t>)</w:t>
      </w:r>
      <w:proofErr w:type="gramEnd"/>
      <w:r w:rsidRPr="005F2E1D">
        <w:rPr>
          <w:rtl/>
        </w:rPr>
        <w:tab/>
        <w:t xml:space="preserve">أن إطاراً لمستقبل الإذاعة معروض في التقريرين ITU-R BS/BT.2522 </w:t>
      </w:r>
      <w:proofErr w:type="spellStart"/>
      <w:r w:rsidRPr="005F2E1D">
        <w:rPr>
          <w:rtl/>
        </w:rPr>
        <w:t>وITU</w:t>
      </w:r>
      <w:proofErr w:type="spellEnd"/>
      <w:r w:rsidRPr="005F2E1D">
        <w:rPr>
          <w:rtl/>
        </w:rPr>
        <w:t>-R BS/BT.2524،</w:t>
      </w:r>
    </w:p>
    <w:p w14:paraId="2978D15E" w14:textId="77777777" w:rsidR="005F2E1D" w:rsidRPr="005F2E1D" w:rsidRDefault="005F2E1D" w:rsidP="00733A28">
      <w:pPr>
        <w:pStyle w:val="Call"/>
        <w:keepLines/>
      </w:pPr>
      <w:r w:rsidRPr="005F2E1D">
        <w:rPr>
          <w:rtl/>
        </w:rPr>
        <w:lastRenderedPageBreak/>
        <w:t>تقرر أن تخضع المسائل التالية للدراسة</w:t>
      </w:r>
    </w:p>
    <w:p w14:paraId="1B04C71C" w14:textId="77777777" w:rsidR="005F2E1D" w:rsidRPr="005F2E1D" w:rsidRDefault="005F2E1D" w:rsidP="00733A28">
      <w:pPr>
        <w:keepNext/>
        <w:keepLines/>
      </w:pPr>
      <w:r w:rsidRPr="005F2E1D">
        <w:rPr>
          <w:rtl/>
        </w:rPr>
        <w:t>1</w:t>
      </w:r>
      <w:r w:rsidRPr="005F2E1D">
        <w:rPr>
          <w:rtl/>
        </w:rPr>
        <w:tab/>
        <w:t>ما هي متطلبات حالات الاستعمال الفردية للأنظمة الصوتية للإذاعة، بما في ذلك الواقع الافتراضي/الواقع المعزز، والإنتاج عن بعد أو الافتراضي، وتكييف أجهزة/بيئات الاستنساخ، والتفاعل مع المستعمل وإضفاء الطابع الشخصي؟</w:t>
      </w:r>
      <w:bookmarkStart w:id="1" w:name="_Hlk181679924"/>
      <w:bookmarkEnd w:id="1"/>
    </w:p>
    <w:p w14:paraId="21574D59" w14:textId="678D83A7" w:rsidR="005F2E1D" w:rsidRPr="005F2E1D" w:rsidRDefault="005F2E1D" w:rsidP="00733A28">
      <w:pPr>
        <w:keepNext/>
        <w:keepLines/>
      </w:pPr>
      <w:r w:rsidRPr="005F2E1D">
        <w:rPr>
          <w:rtl/>
        </w:rPr>
        <w:t>2</w:t>
      </w:r>
      <w:r w:rsidRPr="005F2E1D">
        <w:rPr>
          <w:rtl/>
        </w:rPr>
        <w:tab/>
        <w:t>ما هي المعلمات السمعية المناسبة وظروف الاستنساخ لحالات الاستعمال الفردية للأنظمة الصوتية للإذاعة، بما</w:t>
      </w:r>
      <w:r w:rsidR="00733A28">
        <w:rPr>
          <w:rFonts w:hint="cs"/>
          <w:rtl/>
        </w:rPr>
        <w:t> </w:t>
      </w:r>
      <w:r w:rsidRPr="005F2E1D">
        <w:rPr>
          <w:rtl/>
        </w:rPr>
        <w:t>في</w:t>
      </w:r>
      <w:r w:rsidR="00733A28">
        <w:rPr>
          <w:rFonts w:hint="cs"/>
          <w:rtl/>
        </w:rPr>
        <w:t> </w:t>
      </w:r>
      <w:r w:rsidRPr="005F2E1D">
        <w:rPr>
          <w:rtl/>
        </w:rPr>
        <w:t>ذلك الواقع الافتراضي/الواقع المعزز، والإنتاج عن بعد أو الافتراضي، والتبادل، ومراقبة الجودة ورصد الأنظمة الصوتية؟</w:t>
      </w:r>
    </w:p>
    <w:p w14:paraId="2D3F1072" w14:textId="77777777" w:rsidR="005F2E1D" w:rsidRPr="005F2E1D" w:rsidRDefault="005F2E1D" w:rsidP="005F2E1D">
      <w:r w:rsidRPr="005F2E1D">
        <w:rPr>
          <w:rtl/>
        </w:rPr>
        <w:t>3</w:t>
      </w:r>
      <w:r w:rsidRPr="005F2E1D">
        <w:rPr>
          <w:rtl/>
        </w:rPr>
        <w:tab/>
        <w:t xml:space="preserve">ما هي متطلبات ومواصفات أدوات العرض بما في ذلك طريقة تحويل الإشارات السمعية و/أو مجموعات البيانات </w:t>
      </w:r>
      <w:proofErr w:type="spellStart"/>
      <w:r w:rsidRPr="005F2E1D">
        <w:rPr>
          <w:rtl/>
        </w:rPr>
        <w:t>الشرحية</w:t>
      </w:r>
      <w:proofErr w:type="spellEnd"/>
      <w:r w:rsidRPr="005F2E1D">
        <w:rPr>
          <w:rtl/>
        </w:rPr>
        <w:t xml:space="preserve"> ذات الصلة بالإشارات السمعية لاستخدامها في إنتاج المحتوى السمعي ورصده وتقييم جودته؟</w:t>
      </w:r>
    </w:p>
    <w:p w14:paraId="6766B955" w14:textId="77777777" w:rsidR="005F2E1D" w:rsidRPr="005F2E1D" w:rsidRDefault="005F2E1D" w:rsidP="005F2E1D">
      <w:r w:rsidRPr="005F2E1D">
        <w:rPr>
          <w:rtl/>
        </w:rPr>
        <w:t>4</w:t>
      </w:r>
      <w:r w:rsidRPr="005F2E1D">
        <w:rPr>
          <w:rtl/>
        </w:rPr>
        <w:tab/>
        <w:t>ما هي الأساليب التي ينبغي استخدامها للتحكم في جودة الصوت والحفاظ عليها في بيئات الاستماع المختلفة؟</w:t>
      </w:r>
    </w:p>
    <w:p w14:paraId="6AE0DC80" w14:textId="77777777" w:rsidR="005F2E1D" w:rsidRPr="005F2E1D" w:rsidRDefault="005F2E1D" w:rsidP="005F2E1D">
      <w:r w:rsidRPr="005F2E1D">
        <w:rPr>
          <w:rtl/>
        </w:rPr>
        <w:t>5</w:t>
      </w:r>
      <w:r w:rsidRPr="005F2E1D">
        <w:rPr>
          <w:rtl/>
        </w:rPr>
        <w:tab/>
        <w:t>ما هي الإرشادات المتعلقة بالممارسات التشغيلية وتدفقات العمل التي ينبغي تقديمها للمساعدة في ضمان تجربة مستعمل مثلى ومتسقة لحالات الاستعمال الفردية للأنظمة الصوتية للإذاعة؟</w:t>
      </w:r>
    </w:p>
    <w:p w14:paraId="4F78068C" w14:textId="77777777" w:rsidR="005F2E1D" w:rsidRPr="005F2E1D" w:rsidRDefault="005F2E1D" w:rsidP="00181713">
      <w:pPr>
        <w:pStyle w:val="Call"/>
      </w:pPr>
      <w:r w:rsidRPr="005F2E1D">
        <w:rPr>
          <w:rtl/>
        </w:rPr>
        <w:t>تقرر كذلك</w:t>
      </w:r>
    </w:p>
    <w:p w14:paraId="4AA00000" w14:textId="77777777" w:rsidR="005F2E1D" w:rsidRPr="005F2E1D" w:rsidRDefault="005F2E1D" w:rsidP="005F2E1D">
      <w:r w:rsidRPr="005F2E1D">
        <w:rPr>
          <w:rtl/>
        </w:rPr>
        <w:t>1</w:t>
      </w:r>
      <w:r w:rsidRPr="005F2E1D">
        <w:rPr>
          <w:rtl/>
        </w:rPr>
        <w:tab/>
        <w:t>أنه ينبغي إدراج نتائج الدراسات المذكورة أعلاه في توصية (توصيات) و/أو في تقرير (تقارير)؟</w:t>
      </w:r>
    </w:p>
    <w:p w14:paraId="772CE35A" w14:textId="6868DF61" w:rsidR="005F2E1D" w:rsidRPr="005F2E1D" w:rsidRDefault="005F2E1D" w:rsidP="005F2E1D">
      <w:r w:rsidRPr="005F2E1D">
        <w:rPr>
          <w:rtl/>
        </w:rPr>
        <w:t>2</w:t>
      </w:r>
      <w:r w:rsidRPr="005F2E1D">
        <w:rPr>
          <w:rtl/>
        </w:rPr>
        <w:tab/>
        <w:t xml:space="preserve">استكمال الدراسات المذكورة أعلاه </w:t>
      </w:r>
      <w:r w:rsidR="0044038A" w:rsidRPr="005F2E1D">
        <w:rPr>
          <w:rFonts w:hint="cs"/>
          <w:rtl/>
        </w:rPr>
        <w:t>بحلول</w:t>
      </w:r>
      <w:r w:rsidRPr="005F2E1D">
        <w:rPr>
          <w:rtl/>
        </w:rPr>
        <w:t xml:space="preserve"> عام2031.</w:t>
      </w:r>
    </w:p>
    <w:p w14:paraId="101AEE5B" w14:textId="77777777" w:rsidR="005F2E1D" w:rsidRPr="00CE6479" w:rsidRDefault="005F2E1D" w:rsidP="00733A28">
      <w:pPr>
        <w:pStyle w:val="Reasons"/>
        <w:spacing w:before="360"/>
        <w:rPr>
          <w:b w:val="0"/>
          <w:bCs w:val="0"/>
        </w:rPr>
      </w:pPr>
      <w:r w:rsidRPr="00CE6479">
        <w:rPr>
          <w:b w:val="0"/>
          <w:bCs w:val="0"/>
          <w:rtl/>
        </w:rPr>
        <w:t>الفئة</w:t>
      </w:r>
      <w:r w:rsidRPr="00CE6479">
        <w:rPr>
          <w:b w:val="0"/>
          <w:bCs w:val="0"/>
          <w:lang w:val="fr-CH"/>
        </w:rPr>
        <w:t>:</w:t>
      </w:r>
      <w:r w:rsidRPr="00CE6479">
        <w:rPr>
          <w:b w:val="0"/>
          <w:bCs w:val="0"/>
          <w:rtl/>
        </w:rPr>
        <w:t xml:space="preserve"> S2</w:t>
      </w:r>
      <w:r w:rsidRPr="00CE6479">
        <w:rPr>
          <w:b w:val="0"/>
          <w:bCs w:val="0"/>
          <w:rtl/>
        </w:rPr>
        <w:tab/>
      </w:r>
      <w:proofErr w:type="spellStart"/>
      <w:r w:rsidRPr="00CE6479">
        <w:rPr>
          <w:b w:val="0"/>
          <w:bCs w:val="0"/>
          <w:rtl/>
        </w:rPr>
        <w:t>S2</w:t>
      </w:r>
      <w:proofErr w:type="spellEnd"/>
    </w:p>
    <w:p w14:paraId="7436D9DE" w14:textId="77777777" w:rsidR="005F2E1D" w:rsidRPr="005F2E1D" w:rsidRDefault="005F2E1D" w:rsidP="005F2E1D">
      <w:pPr>
        <w:rPr>
          <w:lang w:val="en-GB"/>
        </w:rPr>
      </w:pPr>
      <w:r w:rsidRPr="005F2E1D">
        <w:rPr>
          <w:lang w:val="en-GB"/>
        </w:rPr>
        <w:br w:type="page"/>
      </w:r>
    </w:p>
    <w:p w14:paraId="77511E6B" w14:textId="77777777" w:rsidR="005F2E1D" w:rsidRPr="00322DCB" w:rsidRDefault="005F2E1D" w:rsidP="00322DCB">
      <w:pPr>
        <w:pStyle w:val="AnnexNo"/>
        <w:rPr>
          <w:b/>
          <w:bCs/>
          <w:rtl/>
        </w:rPr>
      </w:pPr>
      <w:r w:rsidRPr="00322DCB">
        <w:rPr>
          <w:b/>
          <w:bCs/>
          <w:rtl/>
        </w:rPr>
        <w:lastRenderedPageBreak/>
        <w:t>الملحق 2</w:t>
      </w:r>
    </w:p>
    <w:p w14:paraId="7E08E9FA" w14:textId="77777777" w:rsidR="005F2E1D" w:rsidRPr="005F2E1D" w:rsidRDefault="005F2E1D" w:rsidP="00322DCB">
      <w:pPr>
        <w:pStyle w:val="Annextitle"/>
        <w:rPr>
          <w:lang w:bidi="ar-SA"/>
        </w:rPr>
      </w:pPr>
      <w:r w:rsidRPr="005F2E1D">
        <w:rPr>
          <w:rtl/>
        </w:rPr>
        <w:t>اقتراح إلغاء مسألتين لقطاع الاتصالات الراديوية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478"/>
        <w:gridCol w:w="6626"/>
        <w:gridCol w:w="1525"/>
      </w:tblGrid>
      <w:tr w:rsidR="005F2E1D" w:rsidRPr="005F2E1D" w14:paraId="0089A737" w14:textId="77777777" w:rsidTr="00616FE8">
        <w:trPr>
          <w:cantSplit/>
          <w:tblHeader/>
          <w:jc w:val="center"/>
        </w:trPr>
        <w:tc>
          <w:tcPr>
            <w:tcW w:w="1478" w:type="dxa"/>
            <w:vAlign w:val="center"/>
            <w:hideMark/>
          </w:tcPr>
          <w:p w14:paraId="37050672" w14:textId="77777777" w:rsidR="005F2E1D" w:rsidRPr="008F2920" w:rsidRDefault="005F2E1D" w:rsidP="008F2920">
            <w:pPr>
              <w:pStyle w:val="TableHead"/>
              <w:rPr>
                <w:spacing w:val="-4"/>
              </w:rPr>
            </w:pPr>
            <w:r w:rsidRPr="008F2920">
              <w:rPr>
                <w:spacing w:val="-4"/>
                <w:rtl/>
              </w:rPr>
              <w:t xml:space="preserve">مسألة قطاع الاتصالات الراديوية </w:t>
            </w:r>
            <w:r w:rsidRPr="008F2920">
              <w:rPr>
                <w:spacing w:val="-4"/>
                <w:lang w:val="fr-CH"/>
              </w:rPr>
              <w:t>(ITU-R</w:t>
            </w:r>
            <w:r w:rsidRPr="008F2920">
              <w:rPr>
                <w:spacing w:val="-4"/>
              </w:rPr>
              <w:t>)</w:t>
            </w:r>
          </w:p>
        </w:tc>
        <w:tc>
          <w:tcPr>
            <w:tcW w:w="6626" w:type="dxa"/>
            <w:vAlign w:val="center"/>
            <w:hideMark/>
          </w:tcPr>
          <w:p w14:paraId="56D5092C" w14:textId="77777777" w:rsidR="005F2E1D" w:rsidRPr="005F2E1D" w:rsidRDefault="005F2E1D" w:rsidP="008F2920">
            <w:pPr>
              <w:pStyle w:val="TableHead"/>
            </w:pPr>
            <w:r w:rsidRPr="005F2E1D">
              <w:rPr>
                <w:rtl/>
              </w:rPr>
              <w:t>العنوان</w:t>
            </w:r>
          </w:p>
        </w:tc>
        <w:tc>
          <w:tcPr>
            <w:tcW w:w="1525" w:type="dxa"/>
            <w:vAlign w:val="center"/>
          </w:tcPr>
          <w:p w14:paraId="45CDBAF2" w14:textId="77777777" w:rsidR="005F2E1D" w:rsidRPr="005F2E1D" w:rsidRDefault="005F2E1D" w:rsidP="00616FE8">
            <w:pPr>
              <w:pStyle w:val="TableHead"/>
            </w:pPr>
            <w:r w:rsidRPr="005F2E1D">
              <w:rPr>
                <w:rtl/>
              </w:rPr>
              <w:t>الوثيقة</w:t>
            </w:r>
          </w:p>
        </w:tc>
      </w:tr>
      <w:tr w:rsidR="005F2E1D" w:rsidRPr="005F2E1D" w14:paraId="752B5669" w14:textId="77777777" w:rsidTr="00E20700">
        <w:trPr>
          <w:cantSplit/>
          <w:jc w:val="center"/>
        </w:trPr>
        <w:tc>
          <w:tcPr>
            <w:tcW w:w="1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9F87" w14:textId="77777777" w:rsidR="005F2E1D" w:rsidRPr="005F2E1D" w:rsidRDefault="005F2E1D" w:rsidP="00C81A3E">
            <w:pPr>
              <w:pStyle w:val="Tabletexte"/>
              <w:jc w:val="center"/>
              <w:rPr>
                <w:lang w:bidi="ar-SA"/>
              </w:rPr>
            </w:pPr>
            <w:r w:rsidRPr="005F2E1D">
              <w:rPr>
                <w:lang w:val="en-GB"/>
              </w:rPr>
              <w:t>135-2/6</w:t>
            </w:r>
          </w:p>
        </w:tc>
        <w:tc>
          <w:tcPr>
            <w:tcW w:w="6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4E0E0" w14:textId="77777777" w:rsidR="005F2E1D" w:rsidRPr="005F2E1D" w:rsidRDefault="005F2E1D" w:rsidP="008F2920">
            <w:pPr>
              <w:pStyle w:val="Tabletexte"/>
              <w:rPr>
                <w:lang w:bidi="ar-SA"/>
              </w:rPr>
            </w:pPr>
            <w:r w:rsidRPr="005F2E1D">
              <w:rPr>
                <w:rtl/>
              </w:rPr>
              <w:t>معلمات النظام للأنظمة الصوتية الرقمية وإداراتها مع وبدون صورة مصاحبة</w:t>
            </w:r>
          </w:p>
        </w:tc>
        <w:tc>
          <w:tcPr>
            <w:tcW w:w="1525" w:type="dxa"/>
            <w:vAlign w:val="center"/>
          </w:tcPr>
          <w:p w14:paraId="5A43C6B8" w14:textId="77777777" w:rsidR="005F2E1D" w:rsidRPr="005F2E1D" w:rsidRDefault="005F2E1D" w:rsidP="00C81A3E">
            <w:pPr>
              <w:pStyle w:val="Tabletexte"/>
              <w:jc w:val="center"/>
              <w:rPr>
                <w:lang w:bidi="ar-SA"/>
              </w:rPr>
            </w:pPr>
            <w:r w:rsidRPr="005F2E1D">
              <w:rPr>
                <w:rtl/>
              </w:rPr>
              <w:t>66/6</w:t>
            </w:r>
          </w:p>
        </w:tc>
      </w:tr>
      <w:tr w:rsidR="005F2E1D" w:rsidRPr="005F2E1D" w14:paraId="440C366D" w14:textId="77777777" w:rsidTr="00E20700">
        <w:trPr>
          <w:cantSplit/>
          <w:jc w:val="center"/>
        </w:trPr>
        <w:tc>
          <w:tcPr>
            <w:tcW w:w="14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E49F" w14:textId="77777777" w:rsidR="005F2E1D" w:rsidRPr="005F2E1D" w:rsidRDefault="005F2E1D" w:rsidP="00C81A3E">
            <w:pPr>
              <w:pStyle w:val="Tabletexte"/>
              <w:jc w:val="center"/>
              <w:rPr>
                <w:lang w:bidi="ar-SA"/>
              </w:rPr>
            </w:pPr>
            <w:r w:rsidRPr="005F2E1D">
              <w:rPr>
                <w:lang w:val="en-GB"/>
              </w:rPr>
              <w:t>139-2/6</w:t>
            </w:r>
          </w:p>
        </w:tc>
        <w:tc>
          <w:tcPr>
            <w:tcW w:w="6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5F95" w14:textId="35035D04" w:rsidR="005F2E1D" w:rsidRPr="005F2E1D" w:rsidRDefault="005F2E1D" w:rsidP="008F2920">
            <w:pPr>
              <w:pStyle w:val="Tabletexte"/>
              <w:rPr>
                <w:lang w:bidi="ar-SA"/>
              </w:rPr>
            </w:pPr>
            <w:r w:rsidRPr="005F2E1D">
              <w:rPr>
                <w:rtl/>
              </w:rPr>
              <w:t>طرائق عرض الأنساق السمعية المتقدّمة</w:t>
            </w:r>
          </w:p>
        </w:tc>
        <w:tc>
          <w:tcPr>
            <w:tcW w:w="1525" w:type="dxa"/>
          </w:tcPr>
          <w:p w14:paraId="3520BD55" w14:textId="77777777" w:rsidR="005F2E1D" w:rsidRPr="005F2E1D" w:rsidRDefault="005F2E1D" w:rsidP="00C81A3E">
            <w:pPr>
              <w:pStyle w:val="Tabletexte"/>
              <w:jc w:val="center"/>
              <w:rPr>
                <w:lang w:bidi="ar-SA"/>
              </w:rPr>
            </w:pPr>
            <w:r w:rsidRPr="005F2E1D">
              <w:rPr>
                <w:rtl/>
              </w:rPr>
              <w:t>66/6</w:t>
            </w:r>
          </w:p>
        </w:tc>
      </w:tr>
    </w:tbl>
    <w:p w14:paraId="6ED83793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D6ACE" w14:textId="77777777" w:rsidR="007A3BD0" w:rsidRDefault="007A3BD0" w:rsidP="006C3242">
      <w:pPr>
        <w:spacing w:before="0" w:line="240" w:lineRule="auto"/>
      </w:pPr>
      <w:r>
        <w:separator/>
      </w:r>
    </w:p>
  </w:endnote>
  <w:endnote w:type="continuationSeparator" w:id="0">
    <w:p w14:paraId="07D4D298" w14:textId="77777777" w:rsidR="007A3BD0" w:rsidRDefault="007A3BD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60A0B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98477" w14:textId="77777777" w:rsidR="007A3BD0" w:rsidRDefault="007A3BD0" w:rsidP="006C3242">
      <w:pPr>
        <w:spacing w:before="0" w:line="240" w:lineRule="auto"/>
      </w:pPr>
      <w:r>
        <w:separator/>
      </w:r>
    </w:p>
  </w:footnote>
  <w:footnote w:type="continuationSeparator" w:id="0">
    <w:p w14:paraId="3E921CB1" w14:textId="77777777" w:rsidR="007A3BD0" w:rsidRDefault="007A3BD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D28BD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</w:tblGrid>
    <w:tr w:rsidR="00A837DA" w14:paraId="04AE1C25" w14:textId="77777777" w:rsidTr="00A837DA">
      <w:trPr>
        <w:jc w:val="center"/>
      </w:trPr>
      <w:tc>
        <w:tcPr>
          <w:tcW w:w="4814" w:type="dxa"/>
        </w:tcPr>
        <w:p w14:paraId="65A1A119" w14:textId="77777777" w:rsidR="00A837DA" w:rsidRDefault="00A837DA" w:rsidP="00A837DA">
          <w:pPr>
            <w:pStyle w:val="Header"/>
            <w:jc w:val="center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DF9392F" wp14:editId="0D13BE42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7A65AD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07"/>
    <w:rsid w:val="0006468A"/>
    <w:rsid w:val="00080E1E"/>
    <w:rsid w:val="00090574"/>
    <w:rsid w:val="000C1C0E"/>
    <w:rsid w:val="000C548A"/>
    <w:rsid w:val="000F7BBE"/>
    <w:rsid w:val="00115FE6"/>
    <w:rsid w:val="001450A2"/>
    <w:rsid w:val="00150D16"/>
    <w:rsid w:val="00150DB9"/>
    <w:rsid w:val="00181713"/>
    <w:rsid w:val="00195F05"/>
    <w:rsid w:val="001C0169"/>
    <w:rsid w:val="001D1D50"/>
    <w:rsid w:val="001D6745"/>
    <w:rsid w:val="001E0AF4"/>
    <w:rsid w:val="001E446E"/>
    <w:rsid w:val="00203E69"/>
    <w:rsid w:val="002154EE"/>
    <w:rsid w:val="002276D2"/>
    <w:rsid w:val="0023283D"/>
    <w:rsid w:val="0026373E"/>
    <w:rsid w:val="00263E26"/>
    <w:rsid w:val="00271C43"/>
    <w:rsid w:val="00290728"/>
    <w:rsid w:val="002978F4"/>
    <w:rsid w:val="002B028D"/>
    <w:rsid w:val="002B53B5"/>
    <w:rsid w:val="002E3219"/>
    <w:rsid w:val="002E6541"/>
    <w:rsid w:val="002F52F5"/>
    <w:rsid w:val="00322DCB"/>
    <w:rsid w:val="00334924"/>
    <w:rsid w:val="003409BC"/>
    <w:rsid w:val="00357185"/>
    <w:rsid w:val="003704CA"/>
    <w:rsid w:val="00383829"/>
    <w:rsid w:val="003B5733"/>
    <w:rsid w:val="003D0E71"/>
    <w:rsid w:val="003F4B29"/>
    <w:rsid w:val="004111FB"/>
    <w:rsid w:val="0042686F"/>
    <w:rsid w:val="004317D8"/>
    <w:rsid w:val="00434183"/>
    <w:rsid w:val="0044038A"/>
    <w:rsid w:val="00441510"/>
    <w:rsid w:val="00443869"/>
    <w:rsid w:val="00447F32"/>
    <w:rsid w:val="004563AF"/>
    <w:rsid w:val="00457B30"/>
    <w:rsid w:val="00476A2B"/>
    <w:rsid w:val="004C39C6"/>
    <w:rsid w:val="004E11DC"/>
    <w:rsid w:val="00525DDD"/>
    <w:rsid w:val="005409AC"/>
    <w:rsid w:val="0055516A"/>
    <w:rsid w:val="0058491B"/>
    <w:rsid w:val="00592EA5"/>
    <w:rsid w:val="005A3170"/>
    <w:rsid w:val="005F2E1D"/>
    <w:rsid w:val="0060109C"/>
    <w:rsid w:val="00616FE8"/>
    <w:rsid w:val="00677396"/>
    <w:rsid w:val="0068266E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33A28"/>
    <w:rsid w:val="0074420E"/>
    <w:rsid w:val="00783E26"/>
    <w:rsid w:val="007A3BD0"/>
    <w:rsid w:val="007C3BC7"/>
    <w:rsid w:val="007C3BCD"/>
    <w:rsid w:val="007D4ACF"/>
    <w:rsid w:val="007E543F"/>
    <w:rsid w:val="007F0787"/>
    <w:rsid w:val="00810B7B"/>
    <w:rsid w:val="0082358A"/>
    <w:rsid w:val="008235CD"/>
    <w:rsid w:val="008247DE"/>
    <w:rsid w:val="0082676B"/>
    <w:rsid w:val="00840B10"/>
    <w:rsid w:val="008513CB"/>
    <w:rsid w:val="0086454A"/>
    <w:rsid w:val="008A4A32"/>
    <w:rsid w:val="008A7F84"/>
    <w:rsid w:val="008C1BDF"/>
    <w:rsid w:val="008F2920"/>
    <w:rsid w:val="0091702E"/>
    <w:rsid w:val="00923B0C"/>
    <w:rsid w:val="0094021C"/>
    <w:rsid w:val="00952363"/>
    <w:rsid w:val="00952F86"/>
    <w:rsid w:val="00982B28"/>
    <w:rsid w:val="009D313F"/>
    <w:rsid w:val="00A47A5A"/>
    <w:rsid w:val="00A63238"/>
    <w:rsid w:val="00A6683B"/>
    <w:rsid w:val="00A837DA"/>
    <w:rsid w:val="00A97F94"/>
    <w:rsid w:val="00AA0DF2"/>
    <w:rsid w:val="00AA7EA2"/>
    <w:rsid w:val="00AB51F4"/>
    <w:rsid w:val="00AB634F"/>
    <w:rsid w:val="00AD5525"/>
    <w:rsid w:val="00B03099"/>
    <w:rsid w:val="00B05BC8"/>
    <w:rsid w:val="00B1143A"/>
    <w:rsid w:val="00B64B47"/>
    <w:rsid w:val="00B74B14"/>
    <w:rsid w:val="00C002DE"/>
    <w:rsid w:val="00C502CD"/>
    <w:rsid w:val="00C53BF8"/>
    <w:rsid w:val="00C66157"/>
    <w:rsid w:val="00C674FE"/>
    <w:rsid w:val="00C67501"/>
    <w:rsid w:val="00C73E07"/>
    <w:rsid w:val="00C75633"/>
    <w:rsid w:val="00C81A3E"/>
    <w:rsid w:val="00C906C8"/>
    <w:rsid w:val="00CE2EE1"/>
    <w:rsid w:val="00CE3349"/>
    <w:rsid w:val="00CE36E5"/>
    <w:rsid w:val="00CE6479"/>
    <w:rsid w:val="00CF27F5"/>
    <w:rsid w:val="00CF3FFD"/>
    <w:rsid w:val="00D10CCF"/>
    <w:rsid w:val="00D71DF3"/>
    <w:rsid w:val="00D77D0F"/>
    <w:rsid w:val="00D83C64"/>
    <w:rsid w:val="00DA1CF0"/>
    <w:rsid w:val="00DA7AFE"/>
    <w:rsid w:val="00DC1E02"/>
    <w:rsid w:val="00DC24B4"/>
    <w:rsid w:val="00DC5FB0"/>
    <w:rsid w:val="00DF16DC"/>
    <w:rsid w:val="00E0758F"/>
    <w:rsid w:val="00E17C87"/>
    <w:rsid w:val="00E408F2"/>
    <w:rsid w:val="00E45211"/>
    <w:rsid w:val="00E473C5"/>
    <w:rsid w:val="00E47989"/>
    <w:rsid w:val="00E7067C"/>
    <w:rsid w:val="00E92863"/>
    <w:rsid w:val="00EB796D"/>
    <w:rsid w:val="00F058DC"/>
    <w:rsid w:val="00F16820"/>
    <w:rsid w:val="00F24FC4"/>
    <w:rsid w:val="00F2676C"/>
    <w:rsid w:val="00F30147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6C492"/>
  <w15:chartTrackingRefBased/>
  <w15:docId w15:val="{7CF03D94-61D6-4B78-8F0D-F2D1586E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D0E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7B30"/>
    <w:rPr>
      <w:color w:val="954F72" w:themeColor="followedHyperlink"/>
      <w:u w:val="single"/>
    </w:rPr>
  </w:style>
  <w:style w:type="paragraph" w:customStyle="1" w:styleId="QuestionNo">
    <w:name w:val="Question_No"/>
    <w:basedOn w:val="AnnexNo"/>
    <w:qFormat/>
    <w:rsid w:val="00AB634F"/>
    <w:rPr>
      <w:sz w:val="28"/>
      <w:szCs w:val="28"/>
      <w:lang w:bidi="ar-EG"/>
    </w:rPr>
  </w:style>
  <w:style w:type="paragraph" w:customStyle="1" w:styleId="Questiontitle">
    <w:name w:val="Question_title"/>
    <w:basedOn w:val="Annextitle"/>
    <w:qFormat/>
    <w:rsid w:val="00AB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R23-SG06-C-006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R-QUE-SG06/a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02%20Sconed%20Contract%20Work%20(4-11-2024%20---%2025-12-2024)\11%20November\21\2402732A%20Final\Final%20or%20Montage\PA_BR_C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PA_BR_CR_CACE.dotx</Template>
  <TotalTime>1</TotalTime>
  <Pages>4</Pages>
  <Words>840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</dc:creator>
  <cp:keywords/>
  <dc:description/>
  <cp:lastModifiedBy>Chamova, Alisa</cp:lastModifiedBy>
  <cp:revision>3</cp:revision>
  <dcterms:created xsi:type="dcterms:W3CDTF">2024-11-22T13:34:00Z</dcterms:created>
  <dcterms:modified xsi:type="dcterms:W3CDTF">2024-11-26T08:28:00Z</dcterms:modified>
</cp:coreProperties>
</file>