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41705E" w14:paraId="4CFAFA70" w14:textId="77777777" w:rsidTr="00153E23">
        <w:tc>
          <w:tcPr>
            <w:tcW w:w="5000" w:type="pct"/>
            <w:gridSpan w:val="3"/>
            <w:shd w:val="clear" w:color="auto" w:fill="auto"/>
          </w:tcPr>
          <w:p w14:paraId="0496A3E1" w14:textId="77777777" w:rsidR="000F7BBE" w:rsidRPr="0041705E" w:rsidRDefault="000F7BBE" w:rsidP="00F16820">
            <w:pPr>
              <w:spacing w:before="240" w:line="340" w:lineRule="exact"/>
              <w:rPr>
                <w:b/>
                <w:bCs/>
                <w:color w:val="808080" w:themeColor="background1" w:themeShade="80"/>
                <w:sz w:val="28"/>
                <w:szCs w:val="28"/>
                <w:rtl/>
                <w:lang w:bidi="ar-EG"/>
              </w:rPr>
            </w:pPr>
            <w:r w:rsidRPr="0041705E">
              <w:rPr>
                <w:b/>
                <w:bCs/>
                <w:color w:val="808080" w:themeColor="background1" w:themeShade="80"/>
                <w:sz w:val="28"/>
                <w:szCs w:val="28"/>
                <w:rtl/>
              </w:rPr>
              <w:t xml:space="preserve">مكتب الاتصالات الراديوية </w:t>
            </w:r>
            <w:r w:rsidRPr="0041705E">
              <w:rPr>
                <w:b/>
                <w:bCs/>
                <w:color w:val="808080" w:themeColor="background1" w:themeShade="80"/>
                <w:sz w:val="28"/>
                <w:szCs w:val="28"/>
                <w:lang w:bidi="ar-EG"/>
              </w:rPr>
              <w:t>(BR)</w:t>
            </w:r>
          </w:p>
          <w:p w14:paraId="2219A5D1" w14:textId="77777777" w:rsidR="000F7BBE" w:rsidRPr="0041705E" w:rsidRDefault="000F7BBE" w:rsidP="000F7BBE">
            <w:pPr>
              <w:rPr>
                <w:b/>
                <w:bCs/>
                <w:rtl/>
                <w:lang w:bidi="ar-EG"/>
              </w:rPr>
            </w:pPr>
          </w:p>
        </w:tc>
      </w:tr>
      <w:tr w:rsidR="000F7BBE" w:rsidRPr="0041705E" w14:paraId="2760FBC4" w14:textId="77777777" w:rsidTr="00153E23">
        <w:tc>
          <w:tcPr>
            <w:tcW w:w="2707" w:type="pct"/>
            <w:gridSpan w:val="2"/>
            <w:shd w:val="clear" w:color="auto" w:fill="auto"/>
          </w:tcPr>
          <w:p w14:paraId="53667C22" w14:textId="38695197" w:rsidR="000F7BBE" w:rsidRPr="00624208" w:rsidRDefault="000F7BBE" w:rsidP="004111FB">
            <w:pPr>
              <w:spacing w:before="80" w:line="300" w:lineRule="exact"/>
              <w:rPr>
                <w:position w:val="2"/>
                <w:lang w:bidi="ar-EG"/>
              </w:rPr>
            </w:pPr>
            <w:r w:rsidRPr="00624208">
              <w:rPr>
                <w:position w:val="2"/>
                <w:rtl/>
                <w:lang w:bidi="ar-AE"/>
              </w:rPr>
              <w:t>الرسالة الإدارية المعممة</w:t>
            </w:r>
          </w:p>
          <w:p w14:paraId="1DB4F3A1" w14:textId="3481D20F" w:rsidR="000F7BBE" w:rsidRPr="00624208" w:rsidRDefault="000F7BBE" w:rsidP="004111FB">
            <w:pPr>
              <w:spacing w:before="0" w:after="60" w:line="300" w:lineRule="exact"/>
              <w:rPr>
                <w:position w:val="2"/>
                <w:rtl/>
                <w:lang w:bidi="ar-SY"/>
              </w:rPr>
            </w:pPr>
            <w:r w:rsidRPr="00624208">
              <w:rPr>
                <w:b/>
                <w:bCs/>
                <w:position w:val="2"/>
                <w:lang w:val="en-GB" w:bidi="ar-EG"/>
              </w:rPr>
              <w:t>CACE/</w:t>
            </w:r>
            <w:r w:rsidR="00624208" w:rsidRPr="00624208">
              <w:rPr>
                <w:b/>
                <w:bCs/>
                <w:position w:val="2"/>
                <w:lang w:val="en-GB" w:bidi="ar-EG"/>
              </w:rPr>
              <w:t>1116</w:t>
            </w:r>
          </w:p>
        </w:tc>
        <w:tc>
          <w:tcPr>
            <w:tcW w:w="2293" w:type="pct"/>
            <w:shd w:val="clear" w:color="auto" w:fill="auto"/>
          </w:tcPr>
          <w:p w14:paraId="41F321B5" w14:textId="0FC37B8A" w:rsidR="000F7BBE" w:rsidRPr="0041705E" w:rsidRDefault="00131B4C" w:rsidP="00F16820">
            <w:pPr>
              <w:spacing w:before="80" w:after="60" w:line="300" w:lineRule="exact"/>
              <w:jc w:val="right"/>
              <w:rPr>
                <w:position w:val="2"/>
                <w:rtl/>
              </w:rPr>
            </w:pPr>
            <w:r w:rsidRPr="00387B09">
              <w:rPr>
                <w:rFonts w:hint="cs"/>
                <w:position w:val="2"/>
                <w:rtl/>
                <w:lang w:val="fr-FR" w:bidi="ar-EG"/>
              </w:rPr>
              <w:t>3</w:t>
            </w:r>
            <w:r w:rsidR="00624208" w:rsidRPr="00387B09">
              <w:rPr>
                <w:rFonts w:hint="cs"/>
                <w:position w:val="2"/>
                <w:rtl/>
                <w:lang w:val="fr-FR" w:bidi="ar-EG"/>
              </w:rPr>
              <w:t xml:space="preserve"> سبتمبر 2024</w:t>
            </w:r>
          </w:p>
        </w:tc>
      </w:tr>
      <w:tr w:rsidR="000F7BBE" w:rsidRPr="0041705E" w14:paraId="0366ECAD" w14:textId="77777777" w:rsidTr="00153E23">
        <w:tc>
          <w:tcPr>
            <w:tcW w:w="5000" w:type="pct"/>
            <w:gridSpan w:val="3"/>
            <w:shd w:val="clear" w:color="auto" w:fill="auto"/>
          </w:tcPr>
          <w:p w14:paraId="4EA74DF7" w14:textId="77777777" w:rsidR="000F7BBE" w:rsidRPr="0041705E" w:rsidRDefault="000F7BBE" w:rsidP="00555E7B">
            <w:pPr>
              <w:spacing w:before="0" w:line="240" w:lineRule="exact"/>
              <w:rPr>
                <w:position w:val="2"/>
                <w:rtl/>
                <w:lang w:bidi="ar-SY"/>
              </w:rPr>
            </w:pPr>
          </w:p>
        </w:tc>
      </w:tr>
      <w:tr w:rsidR="000F7BBE" w:rsidRPr="0041705E" w14:paraId="720ED540" w14:textId="77777777" w:rsidTr="00153E23">
        <w:tc>
          <w:tcPr>
            <w:tcW w:w="5000" w:type="pct"/>
            <w:gridSpan w:val="3"/>
            <w:shd w:val="clear" w:color="auto" w:fill="auto"/>
          </w:tcPr>
          <w:p w14:paraId="1E926A90" w14:textId="77777777" w:rsidR="000F7BBE" w:rsidRPr="0041705E" w:rsidRDefault="000F7BBE" w:rsidP="00555E7B">
            <w:pPr>
              <w:spacing w:before="0" w:line="240" w:lineRule="exact"/>
              <w:rPr>
                <w:position w:val="2"/>
                <w:rtl/>
                <w:lang w:bidi="ar-SY"/>
              </w:rPr>
            </w:pPr>
          </w:p>
        </w:tc>
      </w:tr>
      <w:tr w:rsidR="000F7BBE" w:rsidRPr="0041705E" w14:paraId="363667D3" w14:textId="77777777" w:rsidTr="00153E23">
        <w:tc>
          <w:tcPr>
            <w:tcW w:w="5000" w:type="pct"/>
            <w:gridSpan w:val="3"/>
            <w:shd w:val="clear" w:color="auto" w:fill="auto"/>
          </w:tcPr>
          <w:p w14:paraId="3E17E845" w14:textId="6D1C813C" w:rsidR="000F7BBE" w:rsidRPr="0041705E" w:rsidRDefault="00555E7B" w:rsidP="00F16820">
            <w:pPr>
              <w:spacing w:before="80" w:after="60" w:line="300" w:lineRule="exact"/>
              <w:jc w:val="left"/>
              <w:rPr>
                <w:b/>
                <w:bCs/>
                <w:position w:val="2"/>
                <w:lang w:bidi="ar-EG"/>
              </w:rPr>
            </w:pPr>
            <w:r w:rsidRPr="0041705E">
              <w:rPr>
                <w:b/>
                <w:bCs/>
                <w:w w:val="115"/>
                <w:position w:val="2"/>
                <w:rtl/>
              </w:rPr>
              <w:t>إلى إدارات الدول الأعضاء في الاتحاد وأعضاء قطاع الاتصالات الراديوية والمنتسبين إليه</w:t>
            </w:r>
            <w:r w:rsidRPr="0041705E">
              <w:rPr>
                <w:b/>
                <w:bCs/>
                <w:position w:val="2"/>
                <w:rtl/>
              </w:rPr>
              <w:br/>
            </w:r>
            <w:r w:rsidR="00105A96" w:rsidRPr="0041705E">
              <w:rPr>
                <w:b/>
                <w:bCs/>
                <w:position w:val="2"/>
                <w:rtl/>
                <w:lang w:bidi="ar-EG"/>
              </w:rPr>
              <w:t xml:space="preserve">والهيئات الأكاديمية المنضمة إلى الاتحاد </w:t>
            </w:r>
            <w:r w:rsidRPr="0041705E">
              <w:rPr>
                <w:b/>
                <w:bCs/>
                <w:position w:val="2"/>
                <w:rtl/>
                <w:lang w:bidi="ar-EG"/>
              </w:rPr>
              <w:t xml:space="preserve">المشاركين في أعمال لجنة الدراسات </w:t>
            </w:r>
            <w:r w:rsidR="00624208">
              <w:rPr>
                <w:rFonts w:hint="cs"/>
                <w:b/>
                <w:bCs/>
                <w:position w:val="2"/>
                <w:rtl/>
                <w:lang w:val="en-GB" w:bidi="ar-EG"/>
              </w:rPr>
              <w:t>3</w:t>
            </w:r>
            <w:r w:rsidRPr="0041705E">
              <w:rPr>
                <w:b/>
                <w:bCs/>
                <w:position w:val="2"/>
                <w:rtl/>
                <w:lang w:bidi="ar-EG"/>
              </w:rPr>
              <w:t xml:space="preserve"> للاتصالات الراديوية </w:t>
            </w:r>
          </w:p>
        </w:tc>
      </w:tr>
      <w:tr w:rsidR="000F7BBE" w:rsidRPr="0041705E" w14:paraId="243E73F6" w14:textId="77777777" w:rsidTr="00153E23">
        <w:tc>
          <w:tcPr>
            <w:tcW w:w="5000" w:type="pct"/>
            <w:gridSpan w:val="3"/>
            <w:shd w:val="clear" w:color="auto" w:fill="auto"/>
          </w:tcPr>
          <w:p w14:paraId="6039CB70" w14:textId="77777777" w:rsidR="000F7BBE" w:rsidRPr="0041705E" w:rsidRDefault="000F7BBE" w:rsidP="00555E7B">
            <w:pPr>
              <w:spacing w:before="0" w:line="240" w:lineRule="exact"/>
              <w:rPr>
                <w:position w:val="2"/>
                <w:rtl/>
                <w:lang w:bidi="ar-SY"/>
              </w:rPr>
            </w:pPr>
          </w:p>
        </w:tc>
      </w:tr>
      <w:tr w:rsidR="000F7BBE" w:rsidRPr="0041705E" w14:paraId="37328BF9" w14:textId="77777777" w:rsidTr="00153E23">
        <w:tc>
          <w:tcPr>
            <w:tcW w:w="5000" w:type="pct"/>
            <w:gridSpan w:val="3"/>
            <w:shd w:val="clear" w:color="auto" w:fill="auto"/>
          </w:tcPr>
          <w:p w14:paraId="0AF369E7" w14:textId="77777777" w:rsidR="000F7BBE" w:rsidRPr="0041705E" w:rsidRDefault="000F7BBE" w:rsidP="00555E7B">
            <w:pPr>
              <w:spacing w:before="0" w:line="240" w:lineRule="exact"/>
              <w:rPr>
                <w:position w:val="2"/>
                <w:rtl/>
                <w:lang w:bidi="ar-SY"/>
              </w:rPr>
            </w:pPr>
          </w:p>
        </w:tc>
      </w:tr>
      <w:tr w:rsidR="000F7BBE" w:rsidRPr="0041705E" w14:paraId="5DC1ADF8" w14:textId="77777777" w:rsidTr="00153E23">
        <w:trPr>
          <w:trHeight w:val="452"/>
        </w:trPr>
        <w:tc>
          <w:tcPr>
            <w:tcW w:w="699" w:type="pct"/>
            <w:shd w:val="clear" w:color="auto" w:fill="auto"/>
          </w:tcPr>
          <w:p w14:paraId="2930AD1E" w14:textId="77777777" w:rsidR="000F7BBE" w:rsidRPr="0041705E" w:rsidRDefault="000F7BBE" w:rsidP="000F7BBE">
            <w:pPr>
              <w:spacing w:before="80" w:after="60" w:line="300" w:lineRule="exact"/>
              <w:rPr>
                <w:position w:val="2"/>
                <w:lang w:val="fr-FR" w:bidi="ar-EG"/>
              </w:rPr>
            </w:pPr>
            <w:r w:rsidRPr="0041705E">
              <w:rPr>
                <w:position w:val="2"/>
                <w:rtl/>
              </w:rPr>
              <w:t>الموضوع</w:t>
            </w:r>
            <w:r w:rsidRPr="0041705E">
              <w:rPr>
                <w:position w:val="2"/>
                <w:lang w:val="en-GB" w:bidi="ar-EG"/>
              </w:rPr>
              <w:t>:</w:t>
            </w:r>
          </w:p>
        </w:tc>
        <w:tc>
          <w:tcPr>
            <w:tcW w:w="4301" w:type="pct"/>
            <w:gridSpan w:val="2"/>
            <w:shd w:val="clear" w:color="auto" w:fill="auto"/>
          </w:tcPr>
          <w:p w14:paraId="600079C1" w14:textId="4D57CB07" w:rsidR="00555E7B" w:rsidRPr="00624208" w:rsidRDefault="00555E7B" w:rsidP="00555E7B">
            <w:pPr>
              <w:tabs>
                <w:tab w:val="clear" w:pos="794"/>
                <w:tab w:val="left" w:pos="385"/>
              </w:tabs>
              <w:spacing w:before="60" w:after="60" w:line="300" w:lineRule="exact"/>
              <w:ind w:left="385" w:hanging="385"/>
              <w:rPr>
                <w:b/>
                <w:bCs/>
                <w:position w:val="2"/>
                <w:rtl/>
                <w:lang w:bidi="ar-EG"/>
              </w:rPr>
            </w:pPr>
            <w:r w:rsidRPr="0041705E">
              <w:rPr>
                <w:b/>
                <w:bCs/>
                <w:position w:val="2"/>
                <w:rtl/>
                <w:lang w:bidi="ar-EG"/>
              </w:rPr>
              <w:t xml:space="preserve">لجنة الدراسات </w:t>
            </w:r>
            <w:r w:rsidR="00624208">
              <w:rPr>
                <w:rFonts w:hint="cs"/>
                <w:b/>
                <w:bCs/>
                <w:position w:val="2"/>
                <w:rtl/>
                <w:lang w:bidi="ar-EG"/>
              </w:rPr>
              <w:t>3</w:t>
            </w:r>
            <w:r w:rsidRPr="0041705E">
              <w:rPr>
                <w:b/>
                <w:bCs/>
                <w:position w:val="2"/>
                <w:rtl/>
                <w:lang w:bidi="ar-EG"/>
              </w:rPr>
              <w:t xml:space="preserve"> للاتصالات الراديوية </w:t>
            </w:r>
            <w:sdt>
              <w:sdtPr>
                <w:rPr>
                  <w:b/>
                  <w:bCs/>
                  <w:position w:val="2"/>
                  <w:rtl/>
                </w:rPr>
                <w:alias w:val="SG"/>
                <w:tag w:val="SG"/>
                <w:id w:val="-2083972692"/>
                <w:placeholder>
                  <w:docPart w:val="B1A4F073F8CB4B2D953BE612DCBA638F"/>
                </w:placeholder>
              </w:sdtPr>
              <w:sdtEndPr/>
              <w:sdtContent>
                <w:sdt>
                  <w:sdtPr>
                    <w:rPr>
                      <w:b/>
                      <w:bCs/>
                      <w:position w:val="2"/>
                      <w:rtl/>
                    </w:rPr>
                    <w:id w:val="1324467921"/>
                    <w:placeholder>
                      <w:docPart w:val="B6DB2C5B270F4ED8A43D1A025C7E16E7"/>
                    </w:placeholder>
                    <w:comboBox>
                      <w:listItem w:displayText="1 (إدارة الطيف)" w:value="1 (إدارة الطيف)"/>
                      <w:listItem w:displayText="3 (انتشار الموجات الراديوية)" w:value="3 (انتشار الموجات الراديوية)"/>
                      <w:listItem w:displayText="4 (الخدمات الساتلية)" w:value="4 (الخدمات الساتلية)"/>
                      <w:listItem w:displayText="5 (خدمات الأرض)" w:value="5 (خدمات الأرض)"/>
                      <w:listItem w:displayText="6 (الخدمة الإذاعية)" w:value="6 (الخدمة الإذاعية)"/>
                      <w:listItem w:displayText="7 (خدمات العلوم)" w:value="7 (خدمات العلوم)"/>
                    </w:comboBox>
                  </w:sdtPr>
                  <w:sdtEndPr/>
                  <w:sdtContent>
                    <w:r w:rsidR="00624208" w:rsidRPr="00624208">
                      <w:rPr>
                        <w:b/>
                        <w:bCs/>
                        <w:position w:val="2"/>
                        <w:rtl/>
                      </w:rPr>
                      <w:t>(انتشار الموجات الراديوية)</w:t>
                    </w:r>
                  </w:sdtContent>
                </w:sdt>
              </w:sdtContent>
            </w:sdt>
          </w:p>
          <w:p w14:paraId="4B6E33AF" w14:textId="1E4D1193" w:rsidR="000F7BBE" w:rsidRPr="0041705E" w:rsidRDefault="00555E7B" w:rsidP="00624208">
            <w:pPr>
              <w:tabs>
                <w:tab w:val="clear" w:pos="794"/>
                <w:tab w:val="left" w:pos="385"/>
              </w:tabs>
              <w:spacing w:before="60" w:after="60" w:line="300" w:lineRule="exact"/>
              <w:ind w:left="385" w:hanging="385"/>
              <w:rPr>
                <w:b/>
                <w:bCs/>
                <w:position w:val="2"/>
                <w:lang w:bidi="ar-EG"/>
              </w:rPr>
            </w:pPr>
            <w:r w:rsidRPr="0041705E">
              <w:rPr>
                <w:b/>
                <w:bCs/>
                <w:position w:val="2"/>
                <w:rtl/>
                <w:lang w:bidi="ar-EG"/>
              </w:rPr>
              <w:t>-</w:t>
            </w:r>
            <w:r w:rsidRPr="0041705E">
              <w:rPr>
                <w:b/>
                <w:bCs/>
                <w:position w:val="2"/>
                <w:rtl/>
                <w:lang w:bidi="ar-EG"/>
              </w:rPr>
              <w:tab/>
              <w:t xml:space="preserve">اقتراح الموافقة على مشروع مراجعة توصية </w:t>
            </w:r>
            <w:r w:rsidR="00624208">
              <w:rPr>
                <w:rFonts w:hint="cs"/>
                <w:b/>
                <w:bCs/>
                <w:position w:val="2"/>
                <w:rtl/>
                <w:lang w:bidi="ar-EG"/>
              </w:rPr>
              <w:t xml:space="preserve">واحدة </w:t>
            </w:r>
            <w:r w:rsidRPr="0041705E">
              <w:rPr>
                <w:b/>
                <w:bCs/>
                <w:position w:val="2"/>
                <w:rtl/>
                <w:lang w:bidi="ar-EG"/>
              </w:rPr>
              <w:t>لقطاع الاتصالات الراديوية</w:t>
            </w:r>
          </w:p>
        </w:tc>
      </w:tr>
      <w:tr w:rsidR="00FC09E8" w:rsidRPr="0041705E" w14:paraId="05C3D499" w14:textId="77777777" w:rsidTr="00153E23">
        <w:trPr>
          <w:trHeight w:val="452"/>
        </w:trPr>
        <w:tc>
          <w:tcPr>
            <w:tcW w:w="699" w:type="pct"/>
            <w:shd w:val="clear" w:color="auto" w:fill="auto"/>
          </w:tcPr>
          <w:p w14:paraId="6A3BE46C" w14:textId="77777777" w:rsidR="00FC09E8" w:rsidRPr="0041705E" w:rsidRDefault="00FC09E8" w:rsidP="000F7BBE">
            <w:pPr>
              <w:spacing w:before="80" w:after="60" w:line="300" w:lineRule="exact"/>
              <w:rPr>
                <w:position w:val="2"/>
                <w:rtl/>
              </w:rPr>
            </w:pPr>
          </w:p>
        </w:tc>
        <w:tc>
          <w:tcPr>
            <w:tcW w:w="4301" w:type="pct"/>
            <w:gridSpan w:val="2"/>
            <w:shd w:val="clear" w:color="auto" w:fill="auto"/>
          </w:tcPr>
          <w:p w14:paraId="16B70191" w14:textId="77777777" w:rsidR="00FC09E8" w:rsidRPr="0041705E" w:rsidRDefault="00FC09E8" w:rsidP="00F16820">
            <w:pPr>
              <w:tabs>
                <w:tab w:val="clear" w:pos="794"/>
                <w:tab w:val="left" w:pos="385"/>
              </w:tabs>
              <w:spacing w:before="80" w:after="60" w:line="300" w:lineRule="exact"/>
              <w:ind w:left="385" w:hanging="385"/>
              <w:rPr>
                <w:b/>
                <w:bCs/>
                <w:position w:val="2"/>
                <w:rtl/>
                <w:lang w:bidi="ar-EG"/>
              </w:rPr>
            </w:pPr>
          </w:p>
        </w:tc>
      </w:tr>
    </w:tbl>
    <w:p w14:paraId="18DED7E7" w14:textId="77777777" w:rsidR="00555E7B" w:rsidRPr="0041705E" w:rsidRDefault="00555E7B" w:rsidP="00555E7B">
      <w:pPr>
        <w:spacing w:before="600"/>
        <w:rPr>
          <w:lang w:bidi="ar-EG"/>
        </w:rPr>
      </w:pPr>
      <w:r w:rsidRPr="0041705E">
        <w:rPr>
          <w:rtl/>
          <w:lang w:bidi="ar-EG"/>
        </w:rPr>
        <w:t>تحية طيبة وبعد،</w:t>
      </w:r>
    </w:p>
    <w:p w14:paraId="380D851F" w14:textId="2B2F0BA2" w:rsidR="00555E7B" w:rsidRPr="0041705E" w:rsidRDefault="00555E7B" w:rsidP="00555E7B">
      <w:pPr>
        <w:rPr>
          <w:rtl/>
          <w:lang w:bidi="ar-EG"/>
        </w:rPr>
      </w:pPr>
      <w:r w:rsidRPr="0041705E">
        <w:rPr>
          <w:rtl/>
          <w:lang w:bidi="ar-EG"/>
        </w:rPr>
        <w:t xml:space="preserve">قررت لجنة الدراسات </w:t>
      </w:r>
      <w:r w:rsidR="00624208">
        <w:rPr>
          <w:rFonts w:hint="cs"/>
          <w:rtl/>
        </w:rPr>
        <w:t>3</w:t>
      </w:r>
      <w:r w:rsidRPr="0041705E">
        <w:rPr>
          <w:rtl/>
          <w:lang w:bidi="ar-EG"/>
        </w:rPr>
        <w:t xml:space="preserve"> للاتصالات الراديوية في اجتماعها الذي عُقد </w:t>
      </w:r>
      <w:r w:rsidR="001C3B13" w:rsidRPr="0041705E">
        <w:rPr>
          <w:rtl/>
          <w:lang w:bidi="ar-EG"/>
        </w:rPr>
        <w:t>في</w:t>
      </w:r>
      <w:r w:rsidR="00624208">
        <w:rPr>
          <w:rFonts w:hint="cs"/>
          <w:rtl/>
          <w:lang w:bidi="ar-EG"/>
        </w:rPr>
        <w:t xml:space="preserve"> 17 يونيو 2024</w:t>
      </w:r>
      <w:r w:rsidRPr="0041705E">
        <w:rPr>
          <w:rtl/>
          <w:lang w:bidi="ar-EG"/>
        </w:rPr>
        <w:t xml:space="preserve">، أن تلتمس اعتماد </w:t>
      </w:r>
      <w:r w:rsidR="00624208">
        <w:rPr>
          <w:rFonts w:hint="cs"/>
          <w:rtl/>
          <w:lang w:bidi="ar-EG"/>
        </w:rPr>
        <w:t xml:space="preserve">مشروع </w:t>
      </w:r>
      <w:r w:rsidRPr="0041705E">
        <w:rPr>
          <w:rtl/>
          <w:lang w:bidi="ar-EG"/>
        </w:rPr>
        <w:t xml:space="preserve">مراجعة توصية </w:t>
      </w:r>
      <w:r w:rsidR="00624208">
        <w:rPr>
          <w:rFonts w:hint="cs"/>
          <w:rtl/>
          <w:lang w:bidi="ar-EG"/>
        </w:rPr>
        <w:t xml:space="preserve">واحدة </w:t>
      </w:r>
      <w:r w:rsidRPr="0041705E">
        <w:rPr>
          <w:rtl/>
          <w:lang w:bidi="ar-EG"/>
        </w:rPr>
        <w:t>عن طريق المراسلة، وفقاً للفقرة </w:t>
      </w:r>
      <w:r w:rsidRPr="0041705E">
        <w:t>3.2.2.6.A2</w:t>
      </w:r>
      <w:r w:rsidRPr="0041705E">
        <w:rPr>
          <w:rtl/>
          <w:lang w:bidi="ar-SY"/>
        </w:rPr>
        <w:t xml:space="preserve"> من</w:t>
      </w:r>
      <w:r w:rsidRPr="0041705E">
        <w:rPr>
          <w:rtl/>
          <w:lang w:bidi="ar-EG"/>
        </w:rPr>
        <w:t xml:space="preserve"> القرار </w:t>
      </w:r>
      <w:r w:rsidRPr="0041705E">
        <w:rPr>
          <w:lang w:val="en-GB"/>
        </w:rPr>
        <w:t>ITU</w:t>
      </w:r>
      <w:r w:rsidRPr="0041705E">
        <w:rPr>
          <w:lang w:val="en-GB"/>
        </w:rPr>
        <w:noBreakHyphen/>
        <w:t>R 1</w:t>
      </w:r>
      <w:r w:rsidRPr="0041705E">
        <w:rPr>
          <w:lang w:val="en-GB"/>
        </w:rPr>
        <w:noBreakHyphen/>
      </w:r>
      <w:r w:rsidR="001C3B13" w:rsidRPr="0041705E">
        <w:rPr>
          <w:lang w:val="en-GB"/>
        </w:rPr>
        <w:t>9</w:t>
      </w:r>
      <w:r w:rsidRPr="0041705E">
        <w:rPr>
          <w:rtl/>
        </w:rPr>
        <w:t>.</w:t>
      </w:r>
      <w:r w:rsidRPr="0041705E">
        <w:rPr>
          <w:rtl/>
          <w:lang w:bidi="ar-EG"/>
        </w:rPr>
        <w:t xml:space="preserve"> </w:t>
      </w:r>
      <w:r w:rsidRPr="0041705E">
        <w:rPr>
          <w:rtl/>
          <w:lang w:bidi="ar-SY"/>
        </w:rPr>
        <w:t xml:space="preserve">ومن ثم اعتمدت لجنة الدراسات </w:t>
      </w:r>
      <w:r w:rsidR="00624208">
        <w:rPr>
          <w:rFonts w:hint="cs"/>
          <w:rtl/>
        </w:rPr>
        <w:t>3</w:t>
      </w:r>
      <w:r w:rsidRPr="0041705E">
        <w:rPr>
          <w:rtl/>
          <w:lang w:bidi="ar-SY"/>
        </w:rPr>
        <w:t xml:space="preserve"> التوصية المذكورة، ويتعين تطبيق إجراء الموافقة المنصوص عليه في الفقرة </w:t>
      </w:r>
      <w:r w:rsidRPr="0041705E">
        <w:t>3.2.6.A2</w:t>
      </w:r>
      <w:r w:rsidRPr="0041705E">
        <w:rPr>
          <w:rtl/>
          <w:lang w:bidi="ar-SY"/>
        </w:rPr>
        <w:t xml:space="preserve"> من القرار </w:t>
      </w:r>
      <w:r w:rsidRPr="0041705E">
        <w:t>ITU</w:t>
      </w:r>
      <w:r w:rsidRPr="0041705E">
        <w:noBreakHyphen/>
        <w:t>R 1</w:t>
      </w:r>
      <w:r w:rsidRPr="0041705E">
        <w:noBreakHyphen/>
      </w:r>
      <w:r w:rsidR="009810A0" w:rsidRPr="0041705E">
        <w:t>9</w:t>
      </w:r>
      <w:r w:rsidRPr="0041705E">
        <w:rPr>
          <w:rtl/>
          <w:lang w:bidi="ar-SY"/>
        </w:rPr>
        <w:t>.</w:t>
      </w:r>
      <w:r w:rsidRPr="0041705E">
        <w:rPr>
          <w:rtl/>
          <w:lang w:bidi="ar-EG"/>
        </w:rPr>
        <w:t xml:space="preserve"> ويرد عنوان وملخص التوصية في </w:t>
      </w:r>
      <w:r w:rsidRPr="00624208">
        <w:rPr>
          <w:rtl/>
          <w:lang w:bidi="ar-EG"/>
        </w:rPr>
        <w:t>ملحق هذه الرسالة</w:t>
      </w:r>
      <w:r w:rsidRPr="0041705E">
        <w:rPr>
          <w:rtl/>
          <w:lang w:bidi="ar-EG"/>
        </w:rPr>
        <w:t xml:space="preserve">. ويرجى من أي دولة عضو </w:t>
      </w:r>
      <w:r w:rsidR="001C3B13" w:rsidRPr="0041705E">
        <w:rPr>
          <w:rtl/>
          <w:lang w:bidi="ar-EG"/>
        </w:rPr>
        <w:t>تبدي اعتراضاً</w:t>
      </w:r>
      <w:r w:rsidRPr="0041705E">
        <w:rPr>
          <w:rtl/>
          <w:lang w:bidi="ar-EG"/>
        </w:rPr>
        <w:t xml:space="preserve"> على الموافقة على مشروع توصية أن تخبر المدير ورئيس لجنة الدراسات بأسباب اعتراضها.</w:t>
      </w:r>
    </w:p>
    <w:p w14:paraId="4084B918" w14:textId="75575524" w:rsidR="00555E7B" w:rsidRPr="0041705E" w:rsidRDefault="00555E7B" w:rsidP="00555E7B">
      <w:pPr>
        <w:rPr>
          <w:rtl/>
          <w:lang w:bidi="ar-SY"/>
        </w:rPr>
      </w:pPr>
      <w:r w:rsidRPr="0041705E">
        <w:rPr>
          <w:rtl/>
          <w:lang w:bidi="ar-EG"/>
        </w:rPr>
        <w:t xml:space="preserve">وكما ورد في الرسالة الإدارية المعممة </w:t>
      </w:r>
      <w:hyperlink r:id="rId8" w:history="1">
        <w:r w:rsidRPr="00F453CD">
          <w:rPr>
            <w:rStyle w:val="Hyperlink"/>
          </w:rPr>
          <w:t>CACE/</w:t>
        </w:r>
        <w:r w:rsidR="00624208" w:rsidRPr="00F453CD">
          <w:rPr>
            <w:rStyle w:val="Hyperlink"/>
          </w:rPr>
          <w:t>1110</w:t>
        </w:r>
      </w:hyperlink>
      <w:r w:rsidRPr="0041705E">
        <w:rPr>
          <w:rtl/>
          <w:lang w:bidi="ar-SY"/>
        </w:rPr>
        <w:t xml:space="preserve"> المؤرخة </w:t>
      </w:r>
      <w:r w:rsidR="00624208">
        <w:rPr>
          <w:rFonts w:hint="cs"/>
          <w:rtl/>
          <w:lang w:bidi="ar-SY"/>
        </w:rPr>
        <w:t>27 يونيو 2024</w:t>
      </w:r>
      <w:r w:rsidRPr="0041705E">
        <w:rPr>
          <w:rtl/>
          <w:lang w:bidi="ar-SY"/>
        </w:rPr>
        <w:t xml:space="preserve">، انتهت فترة التشاور بشأن اعتماد هذه </w:t>
      </w:r>
      <w:r w:rsidR="00F03957" w:rsidRPr="0041705E">
        <w:rPr>
          <w:rtl/>
        </w:rPr>
        <w:t xml:space="preserve">التوصية </w:t>
      </w:r>
      <w:r w:rsidRPr="0041705E">
        <w:rPr>
          <w:rtl/>
          <w:lang w:bidi="ar-SY"/>
        </w:rPr>
        <w:t>في </w:t>
      </w:r>
      <w:r w:rsidR="00624208">
        <w:rPr>
          <w:rFonts w:hint="cs"/>
          <w:rtl/>
          <w:lang w:bidi="ar-SY"/>
        </w:rPr>
        <w:t>27 أغسطس 2024</w:t>
      </w:r>
      <w:r w:rsidRPr="0041705E">
        <w:rPr>
          <w:rtl/>
          <w:lang w:bidi="ar-SY"/>
        </w:rPr>
        <w:t>.</w:t>
      </w:r>
    </w:p>
    <w:p w14:paraId="3EBDA490" w14:textId="1360A619" w:rsidR="00555E7B" w:rsidRPr="0041705E" w:rsidRDefault="00555E7B" w:rsidP="00555E7B">
      <w:pPr>
        <w:rPr>
          <w:lang w:bidi="ar-EG"/>
        </w:rPr>
      </w:pPr>
      <w:r w:rsidRPr="00387B09">
        <w:rPr>
          <w:rtl/>
          <w:lang w:bidi="ar-EG"/>
        </w:rPr>
        <w:t>وبالنظر إلى أحكام الفقرة </w:t>
      </w:r>
      <w:r w:rsidRPr="00387B09">
        <w:t>3.2.6.A2</w:t>
      </w:r>
      <w:r w:rsidRPr="00387B09">
        <w:rPr>
          <w:rtl/>
          <w:lang w:bidi="ar-EG"/>
        </w:rPr>
        <w:t xml:space="preserve"> من القرار </w:t>
      </w:r>
      <w:r w:rsidRPr="00387B09">
        <w:rPr>
          <w:lang w:val="en-GB"/>
        </w:rPr>
        <w:t>ITU</w:t>
      </w:r>
      <w:r w:rsidRPr="00387B09">
        <w:rPr>
          <w:lang w:val="en-GB"/>
        </w:rPr>
        <w:noBreakHyphen/>
        <w:t>R 1</w:t>
      </w:r>
      <w:r w:rsidR="00AC3CE5" w:rsidRPr="00387B09">
        <w:rPr>
          <w:lang w:val="en-GB"/>
        </w:rPr>
        <w:t>-9</w:t>
      </w:r>
      <w:r w:rsidRPr="00387B09">
        <w:rPr>
          <w:rtl/>
          <w:lang w:bidi="ar-EG"/>
        </w:rPr>
        <w:t>، يرجى من الدول الأعضاء إبلاغ الأمانة </w:t>
      </w:r>
      <w:r w:rsidRPr="00387B09">
        <w:t>(</w:t>
      </w:r>
      <w:hyperlink r:id="rId9" w:history="1">
        <w:r w:rsidRPr="00387B09">
          <w:rPr>
            <w:rStyle w:val="Hyperlink"/>
            <w:lang w:val="en-GB"/>
          </w:rPr>
          <w:t>brsgd@itu.int</w:t>
        </w:r>
      </w:hyperlink>
      <w:r w:rsidRPr="00387B09">
        <w:t>)</w:t>
      </w:r>
      <w:r w:rsidRPr="00387B09">
        <w:rPr>
          <w:rtl/>
          <w:lang w:bidi="ar-EG"/>
        </w:rPr>
        <w:t xml:space="preserve"> في موعد أقصاه </w:t>
      </w:r>
      <w:r w:rsidR="00387B09">
        <w:rPr>
          <w:rFonts w:hint="cs"/>
          <w:u w:val="single"/>
          <w:rtl/>
          <w:lang w:bidi="ar-EG"/>
        </w:rPr>
        <w:t>3 نوفمبر</w:t>
      </w:r>
      <w:r w:rsidR="00624208" w:rsidRPr="00387B09">
        <w:rPr>
          <w:rFonts w:hint="cs"/>
          <w:u w:val="single"/>
          <w:rtl/>
          <w:lang w:bidi="ar-EG"/>
        </w:rPr>
        <w:t xml:space="preserve"> 2024</w:t>
      </w:r>
      <w:r w:rsidRPr="00387B09">
        <w:rPr>
          <w:rtl/>
          <w:lang w:bidi="ar-EG"/>
        </w:rPr>
        <w:t xml:space="preserve"> بما إذا كانت توافق أم لا توافق على المقترح</w:t>
      </w:r>
      <w:r w:rsidR="0041705E" w:rsidRPr="00387B09">
        <w:rPr>
          <w:rtl/>
          <w:lang w:bidi="ar-EG"/>
        </w:rPr>
        <w:t xml:space="preserve"> (المقترحا</w:t>
      </w:r>
      <w:r w:rsidRPr="00387B09">
        <w:rPr>
          <w:rtl/>
          <w:lang w:bidi="ar-EG"/>
        </w:rPr>
        <w:t>ت</w:t>
      </w:r>
      <w:r w:rsidR="0041705E" w:rsidRPr="00387B09">
        <w:rPr>
          <w:rtl/>
          <w:lang w:bidi="ar-EG"/>
        </w:rPr>
        <w:t>)</w:t>
      </w:r>
      <w:r w:rsidRPr="00387B09">
        <w:rPr>
          <w:rtl/>
          <w:lang w:bidi="ar-EG"/>
        </w:rPr>
        <w:t xml:space="preserve"> المذكورة أعلاه.</w:t>
      </w:r>
    </w:p>
    <w:p w14:paraId="0C5EEFCC" w14:textId="28C4B9A9" w:rsidR="00555E7B" w:rsidRPr="0041705E" w:rsidRDefault="00555E7B" w:rsidP="00555E7B">
      <w:pPr>
        <w:rPr>
          <w:rtl/>
          <w:lang w:bidi="ar-EG"/>
        </w:rPr>
      </w:pPr>
      <w:r w:rsidRPr="0041705E">
        <w:rPr>
          <w:rtl/>
          <w:lang w:bidi="ar-EG"/>
        </w:rPr>
        <w:t>وبعد الموعد النهائي المحدد أعلاه، ستعلن نتائج هذا التشاور في رسالة إدارية معممة ثم تُنشر التوصية الموافَق عليها في أقرب وقت ممكن</w:t>
      </w:r>
      <w:r w:rsidR="00F03957" w:rsidRPr="0041705E">
        <w:rPr>
          <w:rtl/>
        </w:rPr>
        <w:t xml:space="preserve"> عملياً</w:t>
      </w:r>
      <w:r w:rsidRPr="0041705E">
        <w:rPr>
          <w:rtl/>
          <w:lang w:bidi="ar-EG"/>
        </w:rPr>
        <w:t xml:space="preserve"> (انظر </w:t>
      </w:r>
      <w:hyperlink r:id="rId10" w:history="1">
        <w:r w:rsidRPr="0041705E">
          <w:rPr>
            <w:rStyle w:val="Hyperlink"/>
          </w:rPr>
          <w:t>http://www.itu.int/pub/R-REC</w:t>
        </w:r>
      </w:hyperlink>
      <w:r w:rsidRPr="0041705E">
        <w:rPr>
          <w:rtl/>
          <w:lang w:bidi="ar-EG"/>
        </w:rPr>
        <w:t>).</w:t>
      </w:r>
    </w:p>
    <w:p w14:paraId="31222387" w14:textId="1E135E7D" w:rsidR="00555E7B" w:rsidRPr="0041705E" w:rsidRDefault="00555E7B" w:rsidP="00555E7B">
      <w:pPr>
        <w:pageBreakBefore/>
        <w:rPr>
          <w:spacing w:val="-4"/>
          <w:rtl/>
        </w:rPr>
      </w:pPr>
      <w:r w:rsidRPr="0041705E">
        <w:rPr>
          <w:spacing w:val="-4"/>
          <w:rtl/>
          <w:lang w:bidi="ar-EG"/>
        </w:rPr>
        <w:lastRenderedPageBreak/>
        <w:t xml:space="preserve">ويرجى من أي منظمة عضو في الاتحاد تعلم بوجود براءة اختراع لديها أو لدى غيرها تغطي كلياً أو جزئياً عناصر من مشروع التوصية المذكورة في هذه الرسالة أن تبلغ الأمانة بهذه المعلومات بأسرع ما يمكن. ويمكن الاطلاع على السياسة المشتركة </w:t>
      </w:r>
      <w:r w:rsidRPr="0041705E">
        <w:rPr>
          <w:spacing w:val="-2"/>
          <w:rtl/>
          <w:lang w:bidi="ar-EG"/>
        </w:rPr>
        <w:t xml:space="preserve">للبراءات </w:t>
      </w:r>
      <w:r w:rsidRPr="0041705E">
        <w:rPr>
          <w:spacing w:val="-2"/>
          <w:lang w:bidi="ar-EG"/>
        </w:rPr>
        <w:t>"ITU</w:t>
      </w:r>
      <w:r w:rsidRPr="0041705E">
        <w:rPr>
          <w:spacing w:val="-2"/>
          <w:lang w:bidi="ar-EG"/>
        </w:rPr>
        <w:noBreakHyphen/>
        <w:t>T/ITU</w:t>
      </w:r>
      <w:r w:rsidRPr="0041705E">
        <w:rPr>
          <w:spacing w:val="-2"/>
          <w:lang w:bidi="ar-EG"/>
        </w:rPr>
        <w:noBreakHyphen/>
        <w:t>R/ISO/IEC"</w:t>
      </w:r>
      <w:r w:rsidRPr="0041705E">
        <w:rPr>
          <w:spacing w:val="-2"/>
          <w:rtl/>
          <w:lang w:bidi="ar-EG"/>
        </w:rPr>
        <w:t xml:space="preserve"> في الموقع الإلكتروني: </w:t>
      </w:r>
      <w:hyperlink r:id="rId11" w:history="1">
        <w:r w:rsidRPr="0041705E">
          <w:rPr>
            <w:rStyle w:val="Hyperlink"/>
            <w:spacing w:val="-2"/>
            <w:lang w:bidi="ar-EG"/>
          </w:rPr>
          <w:t>http://www.itu.int/en/ITU-T/ipr/Pages/policy.aspx</w:t>
        </w:r>
      </w:hyperlink>
      <w:r w:rsidRPr="0041705E">
        <w:rPr>
          <w:spacing w:val="-4"/>
          <w:rtl/>
          <w:lang w:bidi="ar-EG"/>
        </w:rPr>
        <w:t>.</w:t>
      </w:r>
    </w:p>
    <w:p w14:paraId="05B9B149" w14:textId="77777777" w:rsidR="00555E7B" w:rsidRPr="0041705E" w:rsidRDefault="00555E7B" w:rsidP="00555E7B">
      <w:pPr>
        <w:spacing w:before="240"/>
        <w:rPr>
          <w:rtl/>
          <w:lang w:bidi="ar-EG"/>
        </w:rPr>
      </w:pPr>
      <w:r w:rsidRPr="0041705E">
        <w:rPr>
          <w:rtl/>
          <w:lang w:bidi="ar-EG"/>
        </w:rPr>
        <w:t>وتفضلوا بقبول فائق التقدير والاحترام.</w:t>
      </w:r>
    </w:p>
    <w:p w14:paraId="3FD2FCAF" w14:textId="77777777" w:rsidR="00555E7B" w:rsidRPr="0041705E" w:rsidRDefault="00555E7B" w:rsidP="00F1752C">
      <w:pPr>
        <w:spacing w:before="1200"/>
        <w:jc w:val="left"/>
        <w:rPr>
          <w:rtl/>
        </w:rPr>
      </w:pPr>
      <w:r w:rsidRPr="0041705E">
        <w:rPr>
          <w:rtl/>
        </w:rPr>
        <w:t xml:space="preserve">ماريو </w:t>
      </w:r>
      <w:proofErr w:type="spellStart"/>
      <w:r w:rsidRPr="0041705E">
        <w:rPr>
          <w:rtl/>
        </w:rPr>
        <w:t>مانيفيتش</w:t>
      </w:r>
      <w:proofErr w:type="spellEnd"/>
      <w:r w:rsidRPr="0041705E">
        <w:rPr>
          <w:rtl/>
        </w:rPr>
        <w:br/>
        <w:t>المدير</w:t>
      </w:r>
    </w:p>
    <w:p w14:paraId="1C34A423" w14:textId="0413E85E" w:rsidR="00555E7B" w:rsidRPr="0041705E" w:rsidRDefault="00F03957" w:rsidP="00F1752C">
      <w:pPr>
        <w:tabs>
          <w:tab w:val="clear" w:pos="794"/>
          <w:tab w:val="left" w:pos="1134"/>
          <w:tab w:val="left" w:pos="2126"/>
        </w:tabs>
        <w:spacing w:before="3600"/>
        <w:ind w:left="2126" w:hanging="2126"/>
        <w:jc w:val="left"/>
        <w:rPr>
          <w:rtl/>
          <w:lang w:bidi="ar-EG"/>
        </w:rPr>
      </w:pPr>
      <w:r w:rsidRPr="0041705E">
        <w:rPr>
          <w:b/>
          <w:bCs/>
          <w:rtl/>
          <w:lang w:bidi="ar-EG"/>
        </w:rPr>
        <w:t>الملحق</w:t>
      </w:r>
      <w:r w:rsidR="00555E7B" w:rsidRPr="0041705E">
        <w:rPr>
          <w:b/>
          <w:bCs/>
          <w:rtl/>
          <w:lang w:bidi="ar-EG"/>
        </w:rPr>
        <w:t>:</w:t>
      </w:r>
      <w:r w:rsidR="00F453CD">
        <w:rPr>
          <w:rFonts w:hint="cs"/>
          <w:b/>
          <w:bCs/>
          <w:rtl/>
          <w:lang w:bidi="ar-EG"/>
        </w:rPr>
        <w:t xml:space="preserve"> </w:t>
      </w:r>
      <w:r w:rsidR="00F453CD">
        <w:rPr>
          <w:b/>
          <w:bCs/>
          <w:rtl/>
          <w:lang w:bidi="ar-EG"/>
        </w:rPr>
        <w:tab/>
      </w:r>
      <w:r w:rsidR="00555E7B" w:rsidRPr="0041705E">
        <w:rPr>
          <w:rtl/>
          <w:lang w:bidi="ar-EG"/>
        </w:rPr>
        <w:t xml:space="preserve">عنوان وملخص مشروع التوصية </w:t>
      </w:r>
    </w:p>
    <w:p w14:paraId="19967C22" w14:textId="6A193E39" w:rsidR="00555E7B" w:rsidRPr="0041705E" w:rsidRDefault="00F03957" w:rsidP="00F1752C">
      <w:pPr>
        <w:spacing w:before="1440"/>
        <w:rPr>
          <w:rtl/>
          <w:lang w:bidi="ar-EG"/>
        </w:rPr>
      </w:pPr>
      <w:r w:rsidRPr="0041705E">
        <w:rPr>
          <w:b/>
          <w:bCs/>
          <w:rtl/>
          <w:lang w:bidi="ar-EG"/>
        </w:rPr>
        <w:t>الوثيقة</w:t>
      </w:r>
      <w:r w:rsidR="00555E7B" w:rsidRPr="0041705E">
        <w:rPr>
          <w:rtl/>
          <w:lang w:bidi="ar-EG"/>
        </w:rPr>
        <w:t>:</w:t>
      </w:r>
      <w:r w:rsidR="00555E7B" w:rsidRPr="0041705E">
        <w:rPr>
          <w:rtl/>
          <w:lang w:bidi="ar-EG"/>
        </w:rPr>
        <w:tab/>
        <w:t xml:space="preserve">الوثيقة </w:t>
      </w:r>
      <w:r w:rsidR="00624208">
        <w:rPr>
          <w:lang w:bidi="ar-EG"/>
        </w:rPr>
        <w:t>3/8</w:t>
      </w:r>
    </w:p>
    <w:p w14:paraId="7A410835" w14:textId="378B3D18" w:rsidR="00555E7B" w:rsidRPr="0041705E" w:rsidRDefault="00555E7B" w:rsidP="00624208">
      <w:pPr>
        <w:rPr>
          <w:rtl/>
          <w:lang w:bidi="ar-EG"/>
        </w:rPr>
      </w:pPr>
      <w:r w:rsidRPr="00624208">
        <w:rPr>
          <w:rtl/>
        </w:rPr>
        <w:t xml:space="preserve">وتتاح </w:t>
      </w:r>
      <w:r w:rsidR="00455DF3" w:rsidRPr="00624208">
        <w:rPr>
          <w:rtl/>
        </w:rPr>
        <w:t xml:space="preserve">نسخة </w:t>
      </w:r>
      <w:r w:rsidRPr="00624208">
        <w:rPr>
          <w:rtl/>
        </w:rPr>
        <w:t xml:space="preserve">إلكترونية من هذه الوثيقة </w:t>
      </w:r>
      <w:r w:rsidR="004176CF">
        <w:rPr>
          <w:rFonts w:hint="cs"/>
          <w:rtl/>
        </w:rPr>
        <w:t>عبر الرابط</w:t>
      </w:r>
      <w:r w:rsidRPr="00624208">
        <w:rPr>
          <w:rtl/>
        </w:rPr>
        <w:t xml:space="preserve">: </w:t>
      </w:r>
      <w:hyperlink r:id="rId12" w:history="1">
        <w:r w:rsidR="00624208" w:rsidRPr="00624208">
          <w:rPr>
            <w:rStyle w:val="Hyperlink"/>
          </w:rPr>
          <w:t>https://www.itu.int/md/R23-SG03-C/en</w:t>
        </w:r>
      </w:hyperlink>
    </w:p>
    <w:p w14:paraId="2BE4E572" w14:textId="77777777" w:rsidR="00555E7B" w:rsidRPr="0041705E" w:rsidRDefault="00555E7B" w:rsidP="00555E7B">
      <w:pPr>
        <w:tabs>
          <w:tab w:val="clear" w:pos="794"/>
        </w:tabs>
        <w:bidi w:val="0"/>
        <w:spacing w:before="0" w:after="160" w:line="259" w:lineRule="auto"/>
        <w:jc w:val="left"/>
        <w:rPr>
          <w:rtl/>
          <w:lang w:bidi="ar-EG"/>
        </w:rPr>
      </w:pPr>
      <w:r w:rsidRPr="0041705E">
        <w:rPr>
          <w:rtl/>
          <w:lang w:bidi="ar-EG"/>
        </w:rPr>
        <w:br w:type="page"/>
      </w:r>
    </w:p>
    <w:p w14:paraId="07431A90" w14:textId="1A07AE6D" w:rsidR="00555E7B" w:rsidRPr="0041705E" w:rsidRDefault="00555E7B" w:rsidP="00555E7B">
      <w:pPr>
        <w:pStyle w:val="AnnexNotitle"/>
        <w:rPr>
          <w:rtl/>
        </w:rPr>
      </w:pPr>
      <w:r w:rsidRPr="0041705E">
        <w:rPr>
          <w:rtl/>
        </w:rPr>
        <w:lastRenderedPageBreak/>
        <w:t>الملحق</w:t>
      </w:r>
      <w:r w:rsidRPr="0041705E">
        <w:rPr>
          <w:rtl/>
        </w:rPr>
        <w:br/>
      </w:r>
      <w:r w:rsidRPr="0041705E">
        <w:rPr>
          <w:rtl/>
        </w:rPr>
        <w:br/>
        <w:t xml:space="preserve">عنوان وملخص مشروع التوصية التي اعتمدتها لجنة الدراسات </w:t>
      </w:r>
      <w:r w:rsidR="00624208">
        <w:rPr>
          <w:rFonts w:hint="cs"/>
          <w:rtl/>
        </w:rPr>
        <w:t>3</w:t>
      </w:r>
      <w:r w:rsidRPr="0041705E">
        <w:rPr>
          <w:rtl/>
          <w:lang w:bidi="ar-EG"/>
        </w:rPr>
        <w:t xml:space="preserve"> للاتصالات الراديوية</w:t>
      </w:r>
    </w:p>
    <w:p w14:paraId="345EB91D" w14:textId="22BF0808" w:rsidR="00555E7B" w:rsidRPr="0041705E" w:rsidRDefault="00555E7B" w:rsidP="00555E7B">
      <w:pPr>
        <w:tabs>
          <w:tab w:val="right" w:pos="9639"/>
        </w:tabs>
        <w:rPr>
          <w:rtl/>
          <w:lang w:bidi="ar-EG"/>
        </w:rPr>
      </w:pPr>
      <w:r w:rsidRPr="004176CF">
        <w:rPr>
          <w:u w:val="single"/>
          <w:rtl/>
        </w:rPr>
        <w:t xml:space="preserve">مشروع </w:t>
      </w:r>
      <w:r w:rsidR="00455DF3" w:rsidRPr="004176CF">
        <w:rPr>
          <w:u w:val="single"/>
          <w:rtl/>
        </w:rPr>
        <w:t xml:space="preserve">مراجعة </w:t>
      </w:r>
      <w:r w:rsidRPr="004176CF">
        <w:rPr>
          <w:u w:val="single"/>
          <w:rtl/>
        </w:rPr>
        <w:t xml:space="preserve">التوصية </w:t>
      </w:r>
      <w:r w:rsidR="00455DF3" w:rsidRPr="004176CF">
        <w:rPr>
          <w:szCs w:val="24"/>
          <w:u w:val="single"/>
          <w:lang w:val="en-GB"/>
        </w:rPr>
        <w:t>ITU-R</w:t>
      </w:r>
      <w:r w:rsidRPr="004176CF">
        <w:rPr>
          <w:szCs w:val="24"/>
          <w:u w:val="single"/>
          <w:lang w:val="en-GB"/>
        </w:rPr>
        <w:t xml:space="preserve"> </w:t>
      </w:r>
      <w:r w:rsidR="00624208" w:rsidRPr="004176CF">
        <w:rPr>
          <w:u w:val="single"/>
        </w:rPr>
        <w:t>P.525-4</w:t>
      </w:r>
      <w:r w:rsidRPr="004176CF">
        <w:rPr>
          <w:rtl/>
          <w:lang w:bidi="ar-EG"/>
        </w:rPr>
        <w:tab/>
        <w:t xml:space="preserve">الوثيقة </w:t>
      </w:r>
      <w:r w:rsidR="00624208" w:rsidRPr="004176CF">
        <w:rPr>
          <w:lang w:bidi="ar-EG"/>
        </w:rPr>
        <w:t>3/8</w:t>
      </w:r>
    </w:p>
    <w:p w14:paraId="30F06D38" w14:textId="47B4BBD3" w:rsidR="00555E7B" w:rsidRPr="0041705E" w:rsidRDefault="004176CF" w:rsidP="00555E7B">
      <w:pPr>
        <w:pStyle w:val="Rectitle"/>
        <w:rPr>
          <w:rtl/>
          <w:lang w:bidi="ar-EG"/>
        </w:rPr>
      </w:pPr>
      <w:r>
        <w:rPr>
          <w:rFonts w:hint="cs"/>
          <w:noProof/>
          <w:szCs w:val="24"/>
          <w:rtl/>
          <w:lang w:val="en-GB" w:eastAsia="en-GB"/>
        </w:rPr>
        <w:t xml:space="preserve">حساب توهين الفضاء </w:t>
      </w:r>
      <w:bookmarkStart w:id="0" w:name="_Hlk175748077"/>
      <w:r>
        <w:rPr>
          <w:rFonts w:hint="cs"/>
          <w:noProof/>
          <w:szCs w:val="24"/>
          <w:rtl/>
          <w:lang w:val="en-GB" w:eastAsia="en-GB"/>
        </w:rPr>
        <w:t>الطلق</w:t>
      </w:r>
      <w:bookmarkEnd w:id="0"/>
    </w:p>
    <w:p w14:paraId="129AD576" w14:textId="550FE4DE" w:rsidR="00555E7B" w:rsidRDefault="004176CF" w:rsidP="004176CF">
      <w:pPr>
        <w:rPr>
          <w:rtl/>
          <w:lang w:bidi="ar-EG"/>
        </w:rPr>
      </w:pPr>
      <w:r w:rsidRPr="004176CF">
        <w:rPr>
          <w:rtl/>
          <w:lang w:bidi="ar-EG"/>
        </w:rPr>
        <w:t xml:space="preserve">‏تقترح هذه الوثيقة التعديلات التالية على التوصية </w:t>
      </w:r>
      <w:hyperlink r:id="rId13" w:history="1">
        <w:r w:rsidRPr="00F453CD">
          <w:rPr>
            <w:rStyle w:val="Hyperlink"/>
            <w:cs/>
            <w:lang w:bidi="ar-EG"/>
          </w:rPr>
          <w:t>‎</w:t>
        </w:r>
        <w:r w:rsidRPr="00F453CD">
          <w:rPr>
            <w:rStyle w:val="Hyperlink"/>
            <w:lang w:bidi="ar-EG"/>
          </w:rPr>
          <w:t>ITU-R P.525-4</w:t>
        </w:r>
      </w:hyperlink>
      <w:r w:rsidRPr="004176CF">
        <w:rPr>
          <w:rtl/>
          <w:lang w:bidi="ar-EG"/>
        </w:rPr>
        <w:t>:</w:t>
      </w:r>
    </w:p>
    <w:p w14:paraId="4B0681F4" w14:textId="733C816D" w:rsidR="00624208" w:rsidRDefault="00F453CD" w:rsidP="00F453CD">
      <w:pPr>
        <w:pStyle w:val="enumlev1"/>
        <w:rPr>
          <w:rtl/>
        </w:rPr>
      </w:pPr>
      <w:r>
        <w:sym w:font="Wingdings 2" w:char="F097"/>
      </w:r>
      <w:r>
        <w:rPr>
          <w:rtl/>
        </w:rPr>
        <w:tab/>
      </w:r>
      <w:r w:rsidR="004176CF" w:rsidRPr="004176CF">
        <w:rPr>
          <w:rtl/>
        </w:rPr>
        <w:t>إعادة ترتيب الأقسام لجعل النص منطقي</w:t>
      </w:r>
      <w:r w:rsidR="004176CF" w:rsidRPr="004176CF">
        <w:rPr>
          <w:rFonts w:hint="cs"/>
          <w:rtl/>
        </w:rPr>
        <w:t>اً</w:t>
      </w:r>
      <w:r w:rsidR="004176CF" w:rsidRPr="004176CF">
        <w:rPr>
          <w:rtl/>
        </w:rPr>
        <w:t>.</w:t>
      </w:r>
      <w:r w:rsidR="004176CF" w:rsidRPr="004176CF">
        <w:rPr>
          <w:rFonts w:hint="cs"/>
          <w:rtl/>
        </w:rPr>
        <w:t xml:space="preserve"> </w:t>
      </w:r>
      <w:r w:rsidR="004176CF" w:rsidRPr="004176CF">
        <w:rPr>
          <w:rtl/>
        </w:rPr>
        <w:t xml:space="preserve">أكثر </w:t>
      </w:r>
      <w:r w:rsidR="004176CF" w:rsidRPr="004176CF">
        <w:rPr>
          <w:cs/>
        </w:rPr>
        <w:t>‎</w:t>
      </w:r>
    </w:p>
    <w:p w14:paraId="31BF8336" w14:textId="5BE9A6EE" w:rsidR="004176CF" w:rsidRDefault="00F453CD" w:rsidP="00F453CD">
      <w:pPr>
        <w:pStyle w:val="enumlev1"/>
        <w:rPr>
          <w:rtl/>
        </w:rPr>
      </w:pPr>
      <w:r>
        <w:sym w:font="Wingdings 2" w:char="F097"/>
      </w:r>
      <w:r>
        <w:rPr>
          <w:rtl/>
        </w:rPr>
        <w:tab/>
      </w:r>
      <w:r w:rsidR="004176CF" w:rsidRPr="004176CF">
        <w:rPr>
          <w:rtl/>
        </w:rPr>
        <w:t xml:space="preserve">إضافة تفسيرات بشأن الفتحة الفعالة لهوائي استقبال </w:t>
      </w:r>
      <w:proofErr w:type="spellStart"/>
      <w:r w:rsidR="004176CF" w:rsidRPr="004176CF">
        <w:rPr>
          <w:rtl/>
        </w:rPr>
        <w:t>متناح</w:t>
      </w:r>
      <w:proofErr w:type="spellEnd"/>
      <w:r w:rsidR="004176CF" w:rsidRPr="004176CF">
        <w:rPr>
          <w:rtl/>
        </w:rPr>
        <w:t>، مما يساعد على تفسير اشتقاق صيغة خسارة الإرسال الأساسية في الفضاء الطلق.</w:t>
      </w:r>
      <w:r w:rsidR="004176CF" w:rsidRPr="004176CF">
        <w:rPr>
          <w:cs/>
        </w:rPr>
        <w:t>‎</w:t>
      </w:r>
    </w:p>
    <w:p w14:paraId="4694E01D" w14:textId="2DB5E6AF" w:rsidR="004176CF" w:rsidRDefault="00F453CD" w:rsidP="00F453CD">
      <w:pPr>
        <w:pStyle w:val="enumlev1"/>
        <w:rPr>
          <w:rtl/>
        </w:rPr>
      </w:pPr>
      <w:r>
        <w:sym w:font="Wingdings 2" w:char="F097"/>
      </w:r>
      <w:r>
        <w:rPr>
          <w:rtl/>
        </w:rPr>
        <w:tab/>
      </w:r>
      <w:r w:rsidR="004176CF" w:rsidRPr="004176CF">
        <w:rPr>
          <w:rtl/>
        </w:rPr>
        <w:t xml:space="preserve">تصحيحات </w:t>
      </w:r>
      <w:proofErr w:type="spellStart"/>
      <w:r w:rsidR="004176CF" w:rsidRPr="004176CF">
        <w:rPr>
          <w:rFonts w:hint="cs"/>
          <w:rtl/>
        </w:rPr>
        <w:t>صياغية</w:t>
      </w:r>
      <w:proofErr w:type="spellEnd"/>
      <w:r w:rsidR="004176CF" w:rsidRPr="004176CF">
        <w:rPr>
          <w:rtl/>
        </w:rPr>
        <w:t xml:space="preserve"> </w:t>
      </w:r>
      <w:r w:rsidR="004176CF" w:rsidRPr="004176CF">
        <w:rPr>
          <w:rFonts w:hint="cs"/>
          <w:rtl/>
        </w:rPr>
        <w:t>طفيفة</w:t>
      </w:r>
      <w:r w:rsidR="004176CF" w:rsidRPr="004176CF">
        <w:rPr>
          <w:rtl/>
        </w:rPr>
        <w:t>.</w:t>
      </w:r>
      <w:r w:rsidR="004176CF" w:rsidRPr="004176CF">
        <w:rPr>
          <w:cs/>
        </w:rPr>
        <w:t>‎</w:t>
      </w:r>
    </w:p>
    <w:p w14:paraId="45BF9003" w14:textId="365F8278" w:rsidR="00624208" w:rsidRDefault="00F453CD" w:rsidP="00F453CD">
      <w:pPr>
        <w:pStyle w:val="enumlev1"/>
        <w:rPr>
          <w:rtl/>
        </w:rPr>
      </w:pPr>
      <w:r>
        <w:sym w:font="Wingdings 2" w:char="F097"/>
      </w:r>
      <w:r>
        <w:rPr>
          <w:rtl/>
        </w:rPr>
        <w:tab/>
      </w:r>
      <w:r w:rsidR="004176CF">
        <w:rPr>
          <w:rtl/>
        </w:rPr>
        <w:t xml:space="preserve">تحويل </w:t>
      </w:r>
      <w:r w:rsidR="004176CF">
        <w:rPr>
          <w:rFonts w:hint="cs"/>
          <w:rtl/>
        </w:rPr>
        <w:t>أ</w:t>
      </w:r>
      <w:r w:rsidR="004176CF">
        <w:rPr>
          <w:rtl/>
        </w:rPr>
        <w:t>نس</w:t>
      </w:r>
      <w:r w:rsidR="004176CF">
        <w:rPr>
          <w:rFonts w:hint="cs"/>
          <w:rtl/>
        </w:rPr>
        <w:t>ا</w:t>
      </w:r>
      <w:r w:rsidR="004176CF">
        <w:rPr>
          <w:rtl/>
        </w:rPr>
        <w:t>ق</w:t>
      </w:r>
      <w:r w:rsidR="004176CF">
        <w:rPr>
          <w:rFonts w:hint="cs"/>
          <w:rtl/>
        </w:rPr>
        <w:t xml:space="preserve"> سائر</w:t>
      </w:r>
      <w:r w:rsidR="004176CF">
        <w:rPr>
          <w:rtl/>
        </w:rPr>
        <w:t xml:space="preserve"> المعادلات القديمة إلى </w:t>
      </w:r>
      <w:r w:rsidR="004176CF" w:rsidRPr="004176CF">
        <w:rPr>
          <w:rFonts w:hint="cs"/>
          <w:rtl/>
        </w:rPr>
        <w:t>أ</w:t>
      </w:r>
      <w:r w:rsidR="004176CF" w:rsidRPr="004176CF">
        <w:rPr>
          <w:rtl/>
        </w:rPr>
        <w:t>نس</w:t>
      </w:r>
      <w:r w:rsidR="004176CF" w:rsidRPr="004176CF">
        <w:rPr>
          <w:rFonts w:hint="cs"/>
          <w:rtl/>
        </w:rPr>
        <w:t>ا</w:t>
      </w:r>
      <w:r w:rsidR="004176CF" w:rsidRPr="004176CF">
        <w:rPr>
          <w:rtl/>
        </w:rPr>
        <w:t>ق</w:t>
      </w:r>
      <w:r w:rsidR="004176CF" w:rsidRPr="004176CF">
        <w:rPr>
          <w:rFonts w:hint="cs"/>
          <w:rtl/>
        </w:rPr>
        <w:t xml:space="preserve"> </w:t>
      </w:r>
      <w:r w:rsidR="004176CF">
        <w:rPr>
          <w:rtl/>
        </w:rPr>
        <w:t>جديدة مدعومة.</w:t>
      </w:r>
      <w:r w:rsidR="004176CF">
        <w:rPr>
          <w:cs/>
        </w:rPr>
        <w:t>‎</w:t>
      </w:r>
    </w:p>
    <w:p w14:paraId="02E7FCEC" w14:textId="77777777" w:rsidR="003B5733" w:rsidRPr="0041705E" w:rsidRDefault="003B5733" w:rsidP="003B5733">
      <w:pPr>
        <w:spacing w:before="600"/>
        <w:jc w:val="center"/>
        <w:rPr>
          <w:lang w:bidi="ar-EG"/>
        </w:rPr>
      </w:pPr>
      <w:r w:rsidRPr="0041705E">
        <w:rPr>
          <w:rtl/>
          <w:lang w:bidi="ar-EG"/>
        </w:rPr>
        <w:t>ــــــــــــــــــــــــــــــــــــــــــــــــــــــــــــــــــــــــــــــــــــــــــــــــ</w:t>
      </w:r>
    </w:p>
    <w:sectPr w:rsidR="003B5733" w:rsidRPr="0041705E" w:rsidSect="006C3242">
      <w:head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20BF9" w14:textId="77777777" w:rsidR="00555E7B" w:rsidRDefault="00555E7B" w:rsidP="006C3242">
      <w:pPr>
        <w:spacing w:before="0" w:line="240" w:lineRule="auto"/>
      </w:pPr>
      <w:r>
        <w:separator/>
      </w:r>
    </w:p>
  </w:endnote>
  <w:endnote w:type="continuationSeparator" w:id="0">
    <w:p w14:paraId="6EF8E22F" w14:textId="77777777" w:rsidR="00555E7B" w:rsidRDefault="00555E7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00D97"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E8A7B" w14:textId="77777777" w:rsidR="00555E7B" w:rsidRDefault="00555E7B" w:rsidP="006C3242">
      <w:pPr>
        <w:spacing w:before="0" w:line="240" w:lineRule="auto"/>
      </w:pPr>
      <w:r>
        <w:separator/>
      </w:r>
    </w:p>
  </w:footnote>
  <w:footnote w:type="continuationSeparator" w:id="0">
    <w:p w14:paraId="5F35889C" w14:textId="77777777" w:rsidR="00555E7B" w:rsidRDefault="00555E7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51A46"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8AA51" w14:textId="77777777" w:rsidR="00F1752C" w:rsidRDefault="00F1752C" w:rsidP="00FC09E8">
    <w:pPr>
      <w:pStyle w:val="Header"/>
      <w:jc w:val="center"/>
      <w:rPr>
        <w:rtl/>
      </w:rPr>
    </w:pPr>
    <w:r>
      <w:rPr>
        <w:noProof/>
        <w:lang w:val="en-GB" w:eastAsia="en-GB"/>
      </w:rPr>
      <w:drawing>
        <wp:inline distT="0" distB="0" distL="0" distR="0" wp14:anchorId="68DAB3E0" wp14:editId="2933790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p w14:paraId="75A4A00E"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7B"/>
    <w:rsid w:val="0006468A"/>
    <w:rsid w:val="00090574"/>
    <w:rsid w:val="000C1C0E"/>
    <w:rsid w:val="000C548A"/>
    <w:rsid w:val="000F7BBE"/>
    <w:rsid w:val="00105A96"/>
    <w:rsid w:val="00131B4C"/>
    <w:rsid w:val="00150DB9"/>
    <w:rsid w:val="0019262D"/>
    <w:rsid w:val="001C0169"/>
    <w:rsid w:val="001C3B13"/>
    <w:rsid w:val="001D1D50"/>
    <w:rsid w:val="001D6745"/>
    <w:rsid w:val="001E446E"/>
    <w:rsid w:val="002154EE"/>
    <w:rsid w:val="0022106C"/>
    <w:rsid w:val="002276D2"/>
    <w:rsid w:val="0023283D"/>
    <w:rsid w:val="0026373E"/>
    <w:rsid w:val="00271C43"/>
    <w:rsid w:val="00290728"/>
    <w:rsid w:val="002978F4"/>
    <w:rsid w:val="002B028D"/>
    <w:rsid w:val="002E6541"/>
    <w:rsid w:val="0033163E"/>
    <w:rsid w:val="00334924"/>
    <w:rsid w:val="003409BC"/>
    <w:rsid w:val="00357185"/>
    <w:rsid w:val="003704CA"/>
    <w:rsid w:val="00383829"/>
    <w:rsid w:val="00387B09"/>
    <w:rsid w:val="003B5733"/>
    <w:rsid w:val="003F4B29"/>
    <w:rsid w:val="004111FB"/>
    <w:rsid w:val="0041705E"/>
    <w:rsid w:val="004176CF"/>
    <w:rsid w:val="0042686F"/>
    <w:rsid w:val="004317D8"/>
    <w:rsid w:val="00434183"/>
    <w:rsid w:val="00443869"/>
    <w:rsid w:val="00447F32"/>
    <w:rsid w:val="00455DF3"/>
    <w:rsid w:val="004563AF"/>
    <w:rsid w:val="00474ADE"/>
    <w:rsid w:val="004C39C6"/>
    <w:rsid w:val="004E11DC"/>
    <w:rsid w:val="00525DDD"/>
    <w:rsid w:val="005409AC"/>
    <w:rsid w:val="0055516A"/>
    <w:rsid w:val="00555E7B"/>
    <w:rsid w:val="0058491B"/>
    <w:rsid w:val="00592EA5"/>
    <w:rsid w:val="005A3170"/>
    <w:rsid w:val="00624208"/>
    <w:rsid w:val="00677396"/>
    <w:rsid w:val="0069200F"/>
    <w:rsid w:val="006A65CB"/>
    <w:rsid w:val="006C3242"/>
    <w:rsid w:val="006C7CC0"/>
    <w:rsid w:val="006E5F73"/>
    <w:rsid w:val="006F63F7"/>
    <w:rsid w:val="007025C7"/>
    <w:rsid w:val="00706D7A"/>
    <w:rsid w:val="00722F0D"/>
    <w:rsid w:val="0072561E"/>
    <w:rsid w:val="0074420E"/>
    <w:rsid w:val="00783E26"/>
    <w:rsid w:val="007973C0"/>
    <w:rsid w:val="007C3BC7"/>
    <w:rsid w:val="007C3BCD"/>
    <w:rsid w:val="007D4ACF"/>
    <w:rsid w:val="007F0787"/>
    <w:rsid w:val="00810B7B"/>
    <w:rsid w:val="0082358A"/>
    <w:rsid w:val="008235CD"/>
    <w:rsid w:val="008247DE"/>
    <w:rsid w:val="00840B10"/>
    <w:rsid w:val="008513CB"/>
    <w:rsid w:val="008A4A32"/>
    <w:rsid w:val="008A7F84"/>
    <w:rsid w:val="0091702E"/>
    <w:rsid w:val="00923B0C"/>
    <w:rsid w:val="0094021C"/>
    <w:rsid w:val="00952F86"/>
    <w:rsid w:val="009810A0"/>
    <w:rsid w:val="00982B28"/>
    <w:rsid w:val="009D313F"/>
    <w:rsid w:val="00A47A5A"/>
    <w:rsid w:val="00A6683B"/>
    <w:rsid w:val="00A97F94"/>
    <w:rsid w:val="00AA7EA2"/>
    <w:rsid w:val="00AC3CE5"/>
    <w:rsid w:val="00B03099"/>
    <w:rsid w:val="00B05BC8"/>
    <w:rsid w:val="00B1143A"/>
    <w:rsid w:val="00B64B47"/>
    <w:rsid w:val="00C002DE"/>
    <w:rsid w:val="00C16F2C"/>
    <w:rsid w:val="00C502CD"/>
    <w:rsid w:val="00C53BF8"/>
    <w:rsid w:val="00C66157"/>
    <w:rsid w:val="00C674FE"/>
    <w:rsid w:val="00C67501"/>
    <w:rsid w:val="00C75633"/>
    <w:rsid w:val="00CE2EE1"/>
    <w:rsid w:val="00CE3349"/>
    <w:rsid w:val="00CE36E5"/>
    <w:rsid w:val="00CF27F5"/>
    <w:rsid w:val="00CF3FFD"/>
    <w:rsid w:val="00D10CCF"/>
    <w:rsid w:val="00D77D0F"/>
    <w:rsid w:val="00DA1CF0"/>
    <w:rsid w:val="00DB22E3"/>
    <w:rsid w:val="00DC1E02"/>
    <w:rsid w:val="00DC24B4"/>
    <w:rsid w:val="00DC5FB0"/>
    <w:rsid w:val="00DF16DC"/>
    <w:rsid w:val="00E45211"/>
    <w:rsid w:val="00E473C5"/>
    <w:rsid w:val="00E92863"/>
    <w:rsid w:val="00E9762E"/>
    <w:rsid w:val="00EB796D"/>
    <w:rsid w:val="00ED27AE"/>
    <w:rsid w:val="00F03957"/>
    <w:rsid w:val="00F058DC"/>
    <w:rsid w:val="00F16820"/>
    <w:rsid w:val="00F1752C"/>
    <w:rsid w:val="00F24FC4"/>
    <w:rsid w:val="00F2676C"/>
    <w:rsid w:val="00F453CD"/>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2AEDE"/>
  <w15:chartTrackingRefBased/>
  <w15:docId w15:val="{27715212-3351-42B6-B93F-0ABE6DA8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AnnexNotitle">
    <w:name w:val="Annex_No &amp; title"/>
    <w:basedOn w:val="Annextitle"/>
    <w:qFormat/>
    <w:rsid w:val="00555E7B"/>
    <w:rPr>
      <w:lang w:bidi="ar-SA"/>
    </w:rPr>
  </w:style>
  <w:style w:type="character" w:styleId="UnresolvedMention">
    <w:name w:val="Unresolved Mention"/>
    <w:basedOn w:val="DefaultParagraphFont"/>
    <w:uiPriority w:val="99"/>
    <w:semiHidden/>
    <w:unhideWhenUsed/>
    <w:rsid w:val="00624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110/en" TargetMode="External"/><Relationship Id="rId13" Type="http://schemas.openxmlformats.org/officeDocument/2006/relationships/hyperlink" Target="https://www.itu.int/rec/R-REC-P.525-4-201908-I/en"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23-SG03-C/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ipr/Pages/policy.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pub/R-RE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A4F073F8CB4B2D953BE612DCBA638F"/>
        <w:category>
          <w:name w:val="General"/>
          <w:gallery w:val="placeholder"/>
        </w:category>
        <w:types>
          <w:type w:val="bbPlcHdr"/>
        </w:types>
        <w:behaviors>
          <w:behavior w:val="content"/>
        </w:behaviors>
        <w:guid w:val="{3C20025F-BBA1-41AB-AA59-40290F5CEDE4}"/>
      </w:docPartPr>
      <w:docPartBody>
        <w:p w:rsidR="006464C0" w:rsidRDefault="006464C0" w:rsidP="006464C0">
          <w:pPr>
            <w:pStyle w:val="B1A4F073F8CB4B2D953BE612DCBA638F"/>
          </w:pPr>
          <w:r w:rsidRPr="002033DC">
            <w:rPr>
              <w:rStyle w:val="PlaceholderText"/>
            </w:rPr>
            <w:t>Click or tap here to enter text.</w:t>
          </w:r>
        </w:p>
      </w:docPartBody>
    </w:docPart>
    <w:docPart>
      <w:docPartPr>
        <w:name w:val="B6DB2C5B270F4ED8A43D1A025C7E16E7"/>
        <w:category>
          <w:name w:val="General"/>
          <w:gallery w:val="placeholder"/>
        </w:category>
        <w:types>
          <w:type w:val="bbPlcHdr"/>
        </w:types>
        <w:behaviors>
          <w:behavior w:val="content"/>
        </w:behaviors>
        <w:guid w:val="{11C0F3DC-7A36-40EF-A33A-56AD8E6FB81B}"/>
      </w:docPartPr>
      <w:docPartBody>
        <w:p w:rsidR="006464C0" w:rsidRDefault="006464C0" w:rsidP="006464C0">
          <w:pPr>
            <w:pStyle w:val="B6DB2C5B270F4ED8A43D1A025C7E16E7"/>
          </w:pPr>
          <w:r w:rsidRPr="006B56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C0"/>
    <w:rsid w:val="006464C0"/>
    <w:rsid w:val="00ED27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4C0"/>
    <w:rPr>
      <w:color w:val="808080"/>
    </w:rPr>
  </w:style>
  <w:style w:type="paragraph" w:customStyle="1" w:styleId="B1A4F073F8CB4B2D953BE612DCBA638F">
    <w:name w:val="B1A4F073F8CB4B2D953BE612DCBA638F"/>
    <w:rsid w:val="006464C0"/>
  </w:style>
  <w:style w:type="paragraph" w:customStyle="1" w:styleId="B6DB2C5B270F4ED8A43D1A025C7E16E7">
    <w:name w:val="B6DB2C5B270F4ED8A43D1A025C7E16E7"/>
    <w:rsid w:val="00646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Author</cp:lastModifiedBy>
  <cp:revision>3</cp:revision>
  <dcterms:created xsi:type="dcterms:W3CDTF">2024-08-29T13:40:00Z</dcterms:created>
  <dcterms:modified xsi:type="dcterms:W3CDTF">2024-08-29T13:48:00Z</dcterms:modified>
</cp:coreProperties>
</file>