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3D20DEBA" w14:textId="77777777" w:rsidTr="00306452">
        <w:trPr>
          <w:jc w:val="center"/>
        </w:trPr>
        <w:tc>
          <w:tcPr>
            <w:tcW w:w="9889" w:type="dxa"/>
            <w:gridSpan w:val="3"/>
            <w:shd w:val="clear" w:color="auto" w:fill="auto"/>
          </w:tcPr>
          <w:p w14:paraId="769972CF"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77D663A2" w14:textId="77777777" w:rsidR="00E53DCE" w:rsidRDefault="00E53DCE" w:rsidP="006160CB">
            <w:pPr>
              <w:spacing w:before="0"/>
              <w:jc w:val="left"/>
              <w:rPr>
                <w:rFonts w:cstheme="minorHAnsi"/>
                <w:b/>
                <w:bCs/>
                <w:color w:val="808080"/>
                <w:sz w:val="28"/>
                <w:szCs w:val="28"/>
                <w:lang w:val="en-GB"/>
              </w:rPr>
            </w:pPr>
          </w:p>
          <w:p w14:paraId="76B9488A"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2DCA6E71" w14:textId="77777777" w:rsidTr="00306452">
        <w:trPr>
          <w:jc w:val="center"/>
        </w:trPr>
        <w:tc>
          <w:tcPr>
            <w:tcW w:w="7054" w:type="dxa"/>
            <w:gridSpan w:val="2"/>
            <w:shd w:val="clear" w:color="auto" w:fill="auto"/>
          </w:tcPr>
          <w:p w14:paraId="310D6481" w14:textId="02B4A1AE" w:rsidR="00E53DCE" w:rsidRPr="007E5895" w:rsidRDefault="00A96D3A" w:rsidP="007E5895">
            <w:pPr>
              <w:spacing w:before="0"/>
              <w:rPr>
                <w:lang w:val="en-GB"/>
              </w:rPr>
            </w:pPr>
            <w:r w:rsidRPr="007E5895">
              <w:rPr>
                <w:lang w:val="en-GB"/>
              </w:rPr>
              <w:t>Circular Administrativa</w:t>
            </w:r>
          </w:p>
          <w:p w14:paraId="69D58805" w14:textId="794775A4" w:rsidR="00E53DCE" w:rsidRPr="007E5895" w:rsidRDefault="001B3D4D" w:rsidP="007E5895">
            <w:pPr>
              <w:spacing w:before="0"/>
              <w:rPr>
                <w:b/>
                <w:bCs/>
                <w:lang w:val="en-GB"/>
              </w:rPr>
            </w:pPr>
            <w:r w:rsidRPr="007E5895">
              <w:rPr>
                <w:b/>
                <w:bCs/>
                <w:lang w:val="en-GB"/>
              </w:rPr>
              <w:t>CACE/</w:t>
            </w:r>
            <w:r w:rsidR="00402CF4">
              <w:rPr>
                <w:b/>
                <w:bCs/>
                <w:lang w:val="en-GB"/>
              </w:rPr>
              <w:t>1107</w:t>
            </w:r>
          </w:p>
        </w:tc>
        <w:tc>
          <w:tcPr>
            <w:tcW w:w="2835" w:type="dxa"/>
            <w:shd w:val="clear" w:color="auto" w:fill="auto"/>
          </w:tcPr>
          <w:p w14:paraId="3FD01BE1" w14:textId="6DCA6B50" w:rsidR="00E53DCE" w:rsidRPr="002B7EE0" w:rsidRDefault="002B4D0F" w:rsidP="007E5895">
            <w:pPr>
              <w:spacing w:before="0"/>
              <w:jc w:val="right"/>
              <w:rPr>
                <w:lang w:val="fr-FR"/>
              </w:rPr>
            </w:pPr>
            <w:r w:rsidRPr="002B4D0F">
              <w:rPr>
                <w:lang w:val="fr-FR"/>
              </w:rPr>
              <w:t>23 de mayo de 2024</w:t>
            </w:r>
          </w:p>
        </w:tc>
      </w:tr>
      <w:tr w:rsidR="00E53DCE" w:rsidRPr="0033029C" w14:paraId="56562AD9" w14:textId="77777777" w:rsidTr="00306452">
        <w:trPr>
          <w:jc w:val="center"/>
        </w:trPr>
        <w:tc>
          <w:tcPr>
            <w:tcW w:w="9889" w:type="dxa"/>
            <w:gridSpan w:val="3"/>
            <w:shd w:val="clear" w:color="auto" w:fill="auto"/>
          </w:tcPr>
          <w:p w14:paraId="49FBA783" w14:textId="1DEBC4F9" w:rsidR="00E53DCE" w:rsidRPr="0033029C" w:rsidRDefault="00E53DCE" w:rsidP="007E5895">
            <w:pPr>
              <w:spacing w:before="0"/>
              <w:rPr>
                <w:lang w:val="en-GB"/>
              </w:rPr>
            </w:pPr>
          </w:p>
        </w:tc>
      </w:tr>
      <w:tr w:rsidR="00E53DCE" w:rsidRPr="007E5895" w14:paraId="762456CA" w14:textId="77777777" w:rsidTr="00306452">
        <w:trPr>
          <w:jc w:val="center"/>
        </w:trPr>
        <w:tc>
          <w:tcPr>
            <w:tcW w:w="9889" w:type="dxa"/>
            <w:gridSpan w:val="3"/>
            <w:shd w:val="clear" w:color="auto" w:fill="auto"/>
          </w:tcPr>
          <w:p w14:paraId="42B6B401" w14:textId="77777777" w:rsidR="00E53DCE" w:rsidRPr="007E5895" w:rsidRDefault="00E53DCE" w:rsidP="007E5895">
            <w:pPr>
              <w:spacing w:before="0"/>
              <w:rPr>
                <w:lang w:val="en-GB"/>
              </w:rPr>
            </w:pPr>
          </w:p>
        </w:tc>
      </w:tr>
      <w:tr w:rsidR="00E53DCE" w:rsidRPr="00A809FD" w14:paraId="4BAE9C44" w14:textId="77777777" w:rsidTr="00306452">
        <w:trPr>
          <w:jc w:val="center"/>
        </w:trPr>
        <w:tc>
          <w:tcPr>
            <w:tcW w:w="9889" w:type="dxa"/>
            <w:gridSpan w:val="3"/>
            <w:shd w:val="clear" w:color="auto" w:fill="auto"/>
          </w:tcPr>
          <w:p w14:paraId="21F1935A" w14:textId="6168AAF1" w:rsidR="00E53DCE" w:rsidRPr="00402CF4" w:rsidRDefault="00402CF4" w:rsidP="002B4D0F">
            <w:pPr>
              <w:spacing w:before="0"/>
              <w:jc w:val="left"/>
              <w:rPr>
                <w:b/>
                <w:bCs/>
                <w:lang w:val="es-ES"/>
              </w:rPr>
            </w:pPr>
            <w:r w:rsidRPr="00402CF4">
              <w:rPr>
                <w:b/>
                <w:bCs/>
                <w:lang w:val="es-ES"/>
              </w:rPr>
              <w:t>A las Administraciones de los Estados Miembros de la UIT, a los Miembros del Sector de Radiocomunicaciones, a los Asociados del UIT-R y a las Instituciones Académicas de la UIT que participan en los trabajos de la Comisión de Estudio</w:t>
            </w:r>
            <w:r w:rsidR="00307980">
              <w:rPr>
                <w:b/>
                <w:bCs/>
                <w:lang w:val="es-ES"/>
              </w:rPr>
              <w:t> </w:t>
            </w:r>
            <w:r w:rsidRPr="00402CF4">
              <w:rPr>
                <w:b/>
                <w:bCs/>
                <w:lang w:val="es-ES"/>
              </w:rPr>
              <w:t>4 de Radiocomunicaciones</w:t>
            </w:r>
          </w:p>
        </w:tc>
      </w:tr>
      <w:tr w:rsidR="00E53DCE" w:rsidRPr="00A809FD" w14:paraId="180CDAFD" w14:textId="77777777" w:rsidTr="00306452">
        <w:trPr>
          <w:jc w:val="center"/>
        </w:trPr>
        <w:tc>
          <w:tcPr>
            <w:tcW w:w="9889" w:type="dxa"/>
            <w:gridSpan w:val="3"/>
            <w:shd w:val="clear" w:color="auto" w:fill="auto"/>
          </w:tcPr>
          <w:p w14:paraId="04ADBBDE" w14:textId="77777777" w:rsidR="00E53DCE" w:rsidRPr="00402CF4" w:rsidRDefault="00E53DCE" w:rsidP="007E5895">
            <w:pPr>
              <w:spacing w:before="0"/>
              <w:rPr>
                <w:lang w:val="es-ES"/>
              </w:rPr>
            </w:pPr>
          </w:p>
        </w:tc>
      </w:tr>
      <w:tr w:rsidR="00E53DCE" w:rsidRPr="00A809FD" w14:paraId="06E9A2B7" w14:textId="77777777" w:rsidTr="00306452">
        <w:trPr>
          <w:jc w:val="center"/>
        </w:trPr>
        <w:tc>
          <w:tcPr>
            <w:tcW w:w="9889" w:type="dxa"/>
            <w:gridSpan w:val="3"/>
            <w:shd w:val="clear" w:color="auto" w:fill="auto"/>
          </w:tcPr>
          <w:p w14:paraId="4039DD3F" w14:textId="77777777" w:rsidR="00E53DCE" w:rsidRPr="00402CF4" w:rsidRDefault="00E53DCE" w:rsidP="007E5895">
            <w:pPr>
              <w:spacing w:before="0"/>
              <w:rPr>
                <w:lang w:val="es-ES"/>
              </w:rPr>
            </w:pPr>
          </w:p>
        </w:tc>
      </w:tr>
      <w:tr w:rsidR="00E53DCE" w:rsidRPr="00A809FD" w14:paraId="021316CA" w14:textId="77777777" w:rsidTr="00306452">
        <w:trPr>
          <w:jc w:val="center"/>
        </w:trPr>
        <w:tc>
          <w:tcPr>
            <w:tcW w:w="1526" w:type="dxa"/>
            <w:shd w:val="clear" w:color="auto" w:fill="auto"/>
          </w:tcPr>
          <w:p w14:paraId="4C13FE60" w14:textId="77777777" w:rsidR="00E53DCE" w:rsidRPr="0033029C" w:rsidRDefault="00311970" w:rsidP="006160CB">
            <w:pPr>
              <w:tabs>
                <w:tab w:val="clear" w:pos="1588"/>
                <w:tab w:val="left" w:pos="1560"/>
              </w:tabs>
              <w:spacing w:before="0"/>
              <w:jc w:val="left"/>
              <w:rPr>
                <w:szCs w:val="24"/>
              </w:rPr>
            </w:pPr>
            <w:r>
              <w:rPr>
                <w:szCs w:val="24"/>
              </w:rPr>
              <w:t>Asunto</w:t>
            </w:r>
            <w:r w:rsidRPr="0033029C">
              <w:rPr>
                <w:szCs w:val="24"/>
              </w:rPr>
              <w:t>:</w:t>
            </w:r>
          </w:p>
        </w:tc>
        <w:tc>
          <w:tcPr>
            <w:tcW w:w="8363" w:type="dxa"/>
            <w:gridSpan w:val="2"/>
            <w:vMerge w:val="restart"/>
            <w:shd w:val="clear" w:color="auto" w:fill="auto"/>
          </w:tcPr>
          <w:p w14:paraId="26EF5E93" w14:textId="77777777" w:rsidR="00402CF4" w:rsidRPr="00402CF4" w:rsidRDefault="00402CF4" w:rsidP="00402CF4">
            <w:pPr>
              <w:spacing w:before="0"/>
              <w:rPr>
                <w:b/>
                <w:bCs/>
                <w:lang w:val="es-ES_tradnl"/>
              </w:rPr>
            </w:pPr>
            <w:r w:rsidRPr="00402CF4">
              <w:rPr>
                <w:b/>
                <w:bCs/>
                <w:lang w:val="es-ES_tradnl"/>
              </w:rPr>
              <w:t>Comisión de Estudio 4 de Radiocomunicaciones (Servicios por satélite)</w:t>
            </w:r>
          </w:p>
          <w:p w14:paraId="3612960C" w14:textId="48B05C4F" w:rsidR="00E53DCE" w:rsidRPr="00402CF4" w:rsidRDefault="00402CF4" w:rsidP="00A809FD">
            <w:pPr>
              <w:tabs>
                <w:tab w:val="clear" w:pos="794"/>
                <w:tab w:val="left" w:pos="774"/>
              </w:tabs>
              <w:ind w:left="774" w:hanging="774"/>
              <w:jc w:val="left"/>
              <w:rPr>
                <w:b/>
                <w:bCs/>
                <w:lang w:val="es-ES"/>
              </w:rPr>
            </w:pPr>
            <w:r w:rsidRPr="00402CF4">
              <w:rPr>
                <w:b/>
                <w:bCs/>
                <w:lang w:val="es-ES_tradnl"/>
              </w:rPr>
              <w:t>–</w:t>
            </w:r>
            <w:r w:rsidRPr="00402CF4">
              <w:rPr>
                <w:b/>
                <w:bCs/>
                <w:lang w:val="es-ES_tradnl"/>
              </w:rPr>
              <w:tab/>
              <w:t xml:space="preserve">Propuesta de adopción de </w:t>
            </w:r>
            <w:r w:rsidR="00307980">
              <w:rPr>
                <w:b/>
                <w:bCs/>
                <w:lang w:val="es-ES_tradnl"/>
              </w:rPr>
              <w:t>dos</w:t>
            </w:r>
            <w:r w:rsidRPr="00402CF4">
              <w:rPr>
                <w:b/>
                <w:bCs/>
                <w:lang w:val="es-ES_tradnl"/>
              </w:rPr>
              <w:t xml:space="preserve"> proyectos de Recomendación</w:t>
            </w:r>
            <w:r w:rsidR="008B2539">
              <w:rPr>
                <w:b/>
                <w:bCs/>
                <w:lang w:val="es-ES_tradnl"/>
              </w:rPr>
              <w:t> </w:t>
            </w:r>
            <w:r w:rsidRPr="00402CF4">
              <w:rPr>
                <w:b/>
                <w:bCs/>
                <w:lang w:val="es-ES_tradnl"/>
              </w:rPr>
              <w:t>UIT-R revisada y su aprobación simultánea por correspondencia de conformidad con el § A2.6.2.4 de la Resolución UIT</w:t>
            </w:r>
            <w:r w:rsidRPr="00402CF4">
              <w:rPr>
                <w:b/>
                <w:bCs/>
                <w:lang w:val="es-ES_tradnl"/>
              </w:rPr>
              <w:noBreakHyphen/>
              <w:t>R 1</w:t>
            </w:r>
            <w:r w:rsidRPr="00402CF4">
              <w:rPr>
                <w:b/>
                <w:bCs/>
                <w:lang w:val="es-ES_tradnl"/>
              </w:rPr>
              <w:noBreakHyphen/>
              <w:t>9 (Procedimiento para la adopción y aprobación simultánea por correspondencia)</w:t>
            </w:r>
          </w:p>
        </w:tc>
      </w:tr>
      <w:tr w:rsidR="00E53DCE" w:rsidRPr="00A809FD" w14:paraId="4081CB4E" w14:textId="77777777" w:rsidTr="00306452">
        <w:trPr>
          <w:jc w:val="center"/>
        </w:trPr>
        <w:tc>
          <w:tcPr>
            <w:tcW w:w="1526" w:type="dxa"/>
            <w:shd w:val="clear" w:color="auto" w:fill="auto"/>
          </w:tcPr>
          <w:p w14:paraId="315E015A" w14:textId="77777777" w:rsidR="00E53DCE" w:rsidRPr="00402CF4" w:rsidRDefault="00E53DCE" w:rsidP="007E5895">
            <w:pPr>
              <w:spacing w:before="0"/>
              <w:rPr>
                <w:lang w:val="es-ES"/>
              </w:rPr>
            </w:pPr>
          </w:p>
        </w:tc>
        <w:tc>
          <w:tcPr>
            <w:tcW w:w="8363" w:type="dxa"/>
            <w:gridSpan w:val="2"/>
            <w:vMerge/>
            <w:shd w:val="clear" w:color="auto" w:fill="auto"/>
          </w:tcPr>
          <w:p w14:paraId="7E66957D" w14:textId="77777777" w:rsidR="00E53DCE" w:rsidRPr="00402CF4" w:rsidRDefault="00E53DCE" w:rsidP="007E5895">
            <w:pPr>
              <w:spacing w:before="0"/>
              <w:rPr>
                <w:lang w:val="es-ES"/>
              </w:rPr>
            </w:pPr>
          </w:p>
        </w:tc>
      </w:tr>
      <w:tr w:rsidR="00E53DCE" w:rsidRPr="00A809FD" w14:paraId="449BD3D4" w14:textId="77777777" w:rsidTr="00306452">
        <w:trPr>
          <w:jc w:val="center"/>
        </w:trPr>
        <w:tc>
          <w:tcPr>
            <w:tcW w:w="1526" w:type="dxa"/>
            <w:shd w:val="clear" w:color="auto" w:fill="auto"/>
          </w:tcPr>
          <w:p w14:paraId="4E614295" w14:textId="77777777" w:rsidR="00E53DCE" w:rsidRPr="00402CF4" w:rsidRDefault="00E53DCE" w:rsidP="007E5895">
            <w:pPr>
              <w:spacing w:before="0"/>
              <w:rPr>
                <w:lang w:val="es-ES"/>
              </w:rPr>
            </w:pPr>
          </w:p>
        </w:tc>
        <w:tc>
          <w:tcPr>
            <w:tcW w:w="8363" w:type="dxa"/>
            <w:gridSpan w:val="2"/>
            <w:vMerge/>
            <w:shd w:val="clear" w:color="auto" w:fill="auto"/>
          </w:tcPr>
          <w:p w14:paraId="04442067" w14:textId="77777777" w:rsidR="00E53DCE" w:rsidRPr="00402CF4" w:rsidRDefault="00E53DCE" w:rsidP="007E5895">
            <w:pPr>
              <w:spacing w:before="0"/>
              <w:rPr>
                <w:lang w:val="es-ES"/>
              </w:rPr>
            </w:pPr>
          </w:p>
        </w:tc>
      </w:tr>
    </w:tbl>
    <w:p w14:paraId="6A6F7C77" w14:textId="580AB6FA" w:rsidR="00402CF4" w:rsidRPr="00402CF4" w:rsidRDefault="00402CF4" w:rsidP="00A809FD">
      <w:pPr>
        <w:pStyle w:val="Normalaftertitle"/>
        <w:spacing w:before="720"/>
        <w:rPr>
          <w:lang w:val="es-ES_tradnl"/>
        </w:rPr>
      </w:pPr>
      <w:r w:rsidRPr="00402CF4">
        <w:rPr>
          <w:lang w:val="es-ES_tradnl"/>
        </w:rPr>
        <w:t>En la reunión de la Comisión de Estudio</w:t>
      </w:r>
      <w:r w:rsidR="00A8376F">
        <w:rPr>
          <w:lang w:val="es-ES_tradnl"/>
        </w:rPr>
        <w:t> </w:t>
      </w:r>
      <w:r w:rsidRPr="00402CF4">
        <w:rPr>
          <w:lang w:val="es-ES_tradnl"/>
        </w:rPr>
        <w:t>4 de Radiocomunicaciones, celebrada el 10 de abril de 2024, la Comisión de Estudio decidió solicitar la adopción de dos proyectos de Recomendación UIT</w:t>
      </w:r>
      <w:r w:rsidRPr="00402CF4">
        <w:rPr>
          <w:lang w:val="es-ES_tradnl"/>
        </w:rPr>
        <w:noBreakHyphen/>
        <w:t>R revisada por correspondencia (§ A2.6.2 de la Resolución UIT</w:t>
      </w:r>
      <w:r w:rsidRPr="00402CF4">
        <w:rPr>
          <w:lang w:val="es-ES_tradnl"/>
        </w:rPr>
        <w:noBreakHyphen/>
        <w:t>R 1</w:t>
      </w:r>
      <w:r w:rsidRPr="00402CF4">
        <w:rPr>
          <w:lang w:val="es-ES_tradnl"/>
        </w:rPr>
        <w:noBreakHyphen/>
        <w:t>9) y además decidió aplicar el procedimiento de adopción y aprobación simultáneas por correspondencia (PAAS, § A2.6.2.4 de la Resolución UIT</w:t>
      </w:r>
      <w:r w:rsidRPr="00402CF4">
        <w:rPr>
          <w:lang w:val="es-ES_tradnl"/>
        </w:rPr>
        <w:noBreakHyphen/>
        <w:t>R 1</w:t>
      </w:r>
      <w:r w:rsidRPr="00402CF4">
        <w:rPr>
          <w:lang w:val="es-ES_tradnl"/>
        </w:rPr>
        <w:noBreakHyphen/>
        <w:t>9). Los títulos y resúmenes de los proyectos de Recomendación aparecen en el Anexo a la presente carta. Todo Estado Miembro que objete la adopción de un proyecto de Recomendación debe informar al Director y al Presidente de la Comisión de Estudio de los motivos de dicha objeción.</w:t>
      </w:r>
    </w:p>
    <w:p w14:paraId="5206C183" w14:textId="77777777" w:rsidR="00402CF4" w:rsidRPr="00402CF4" w:rsidRDefault="00402CF4" w:rsidP="00402CF4">
      <w:pPr>
        <w:rPr>
          <w:lang w:val="es-ES_tradnl"/>
        </w:rPr>
      </w:pPr>
      <w:r w:rsidRPr="00402CF4">
        <w:rPr>
          <w:lang w:val="es-ES_tradnl"/>
        </w:rPr>
        <w:t xml:space="preserve">El periodo de consideración se extenderá durante dos meses finalizando el </w:t>
      </w:r>
      <w:r w:rsidRPr="00402CF4">
        <w:rPr>
          <w:u w:val="single"/>
          <w:lang w:val="es-ES_tradnl"/>
        </w:rPr>
        <w:t>23 de julio de 2024</w:t>
      </w:r>
      <w:r w:rsidRPr="00402CF4">
        <w:rPr>
          <w:lang w:val="es-ES_tradnl"/>
        </w:rPr>
        <w:t>. Si durante este periodo no se reciben objeciones de los Estados Miembros, se considerarán adoptados los proyectos de Recomendación por la Comisión de Estudio 4. Además, dado que se ha seguido el procedimiento de PAAS, los proyectos de Recomendación también se considerarán aprobados.</w:t>
      </w:r>
    </w:p>
    <w:p w14:paraId="683AA816" w14:textId="77777777" w:rsidR="00402CF4" w:rsidRPr="00402CF4" w:rsidRDefault="00402CF4" w:rsidP="00402CF4">
      <w:pPr>
        <w:rPr>
          <w:lang w:val="es-ES_tradnl"/>
        </w:rPr>
      </w:pPr>
      <w:r w:rsidRPr="00402CF4">
        <w:rPr>
          <w:lang w:val="es-ES_tradnl"/>
        </w:rPr>
        <w:t xml:space="preserve">Tras la fecha límite mencionada, los resultados los procedimientos arriba citados se comunicarán mediante Circular Administrativa y se publicarán las Recomendaciones aprobadas tan pronto como sea posible (véase </w:t>
      </w:r>
      <w:hyperlink r:id="rId8" w:history="1">
        <w:r w:rsidRPr="00402CF4">
          <w:rPr>
            <w:rStyle w:val="Hyperlink"/>
            <w:lang w:val="es-ES_tradnl"/>
          </w:rPr>
          <w:t>https://</w:t>
        </w:r>
        <w:proofErr w:type="spellStart"/>
        <w:r w:rsidRPr="00402CF4">
          <w:rPr>
            <w:rStyle w:val="Hyperlink"/>
            <w:lang w:val="es-ES_tradnl"/>
          </w:rPr>
          <w:t>www.itu.int</w:t>
        </w:r>
        <w:proofErr w:type="spellEnd"/>
        <w:r w:rsidRPr="00402CF4">
          <w:rPr>
            <w:rStyle w:val="Hyperlink"/>
            <w:lang w:val="es-ES_tradnl"/>
          </w:rPr>
          <w:t>/pub/R-</w:t>
        </w:r>
        <w:proofErr w:type="spellStart"/>
        <w:r w:rsidRPr="00402CF4">
          <w:rPr>
            <w:rStyle w:val="Hyperlink"/>
            <w:lang w:val="es-ES_tradnl"/>
          </w:rPr>
          <w:t>REC</w:t>
        </w:r>
        <w:proofErr w:type="spellEnd"/>
      </w:hyperlink>
      <w:r w:rsidRPr="00402CF4">
        <w:rPr>
          <w:lang w:val="es-ES_tradnl"/>
        </w:rPr>
        <w:t>).</w:t>
      </w:r>
    </w:p>
    <w:p w14:paraId="1040F1A8" w14:textId="77777777" w:rsidR="00402CF4" w:rsidRPr="00402CF4" w:rsidRDefault="00402CF4" w:rsidP="00AB2F0F">
      <w:pPr>
        <w:keepNext/>
        <w:keepLines/>
        <w:rPr>
          <w:lang w:val="es-ES_tradnl"/>
        </w:rPr>
      </w:pPr>
      <w:r w:rsidRPr="00402CF4">
        <w:rPr>
          <w:lang w:val="es-ES_tradnl"/>
        </w:rPr>
        <w:lastRenderedPageBreak/>
        <w:t>Se solicita a toda organización miembro de la UIT que tenga conocimiento de una patente, de su propiedad o de propiedad ajena, que cubra total o parcialmente elementos de los proyectos de Recomendación mencionados en esta carta, que comunique dicha información a la Secretaría tan pronto como sea posible. La Política común en materia de patentes para UIT</w:t>
      </w:r>
      <w:r w:rsidRPr="00402CF4">
        <w:rPr>
          <w:lang w:val="es-ES_tradnl"/>
        </w:rPr>
        <w:noBreakHyphen/>
        <w:t>T/UIT</w:t>
      </w:r>
      <w:r w:rsidRPr="00402CF4">
        <w:rPr>
          <w:lang w:val="es-ES_tradnl"/>
        </w:rPr>
        <w:noBreakHyphen/>
        <w:t xml:space="preserve">R/ISO/CEI puede consultarse en </w:t>
      </w:r>
      <w:hyperlink r:id="rId9" w:history="1">
        <w:r w:rsidRPr="00402CF4">
          <w:rPr>
            <w:rStyle w:val="Hyperlink"/>
            <w:lang w:val="es-ES_tradnl"/>
          </w:rPr>
          <w:t>https://</w:t>
        </w:r>
        <w:proofErr w:type="spellStart"/>
        <w:r w:rsidRPr="00402CF4">
          <w:rPr>
            <w:rStyle w:val="Hyperlink"/>
            <w:lang w:val="es-ES_tradnl"/>
          </w:rPr>
          <w:t>www.itu.int</w:t>
        </w:r>
        <w:proofErr w:type="spellEnd"/>
        <w:r w:rsidRPr="00402CF4">
          <w:rPr>
            <w:rStyle w:val="Hyperlink"/>
            <w:lang w:val="es-ES_tradnl"/>
          </w:rPr>
          <w:t>/es/ITU-T/</w:t>
        </w:r>
        <w:proofErr w:type="spellStart"/>
        <w:r w:rsidRPr="00402CF4">
          <w:rPr>
            <w:rStyle w:val="Hyperlink"/>
            <w:lang w:val="es-ES_tradnl"/>
          </w:rPr>
          <w:t>ipr</w:t>
        </w:r>
        <w:proofErr w:type="spellEnd"/>
        <w:r w:rsidRPr="00402CF4">
          <w:rPr>
            <w:rStyle w:val="Hyperlink"/>
            <w:lang w:val="es-ES_tradnl"/>
          </w:rPr>
          <w:t>/Pages/</w:t>
        </w:r>
        <w:proofErr w:type="spellStart"/>
        <w:r w:rsidRPr="00402CF4">
          <w:rPr>
            <w:rStyle w:val="Hyperlink"/>
            <w:lang w:val="es-ES_tradnl"/>
          </w:rPr>
          <w:t>policy.aspx</w:t>
        </w:r>
        <w:proofErr w:type="spellEnd"/>
      </w:hyperlink>
      <w:r w:rsidRPr="00402CF4">
        <w:rPr>
          <w:lang w:val="es-ES_tradnl"/>
        </w:rPr>
        <w:t>.</w:t>
      </w:r>
    </w:p>
    <w:p w14:paraId="6635E23D" w14:textId="0C4C0B83" w:rsidR="00D239B4" w:rsidRPr="00A809FD" w:rsidRDefault="001B3D4D" w:rsidP="00A809FD">
      <w:pPr>
        <w:keepNext/>
        <w:keepLines/>
        <w:spacing w:before="1200"/>
        <w:jc w:val="left"/>
        <w:rPr>
          <w:lang w:val="es-ES"/>
        </w:rPr>
      </w:pPr>
      <w:r w:rsidRPr="00A809FD">
        <w:rPr>
          <w:lang w:val="es-ES"/>
        </w:rPr>
        <w:t>Mario Maniewicz</w:t>
      </w:r>
      <w:r w:rsidR="00E53DCE" w:rsidRPr="00A809FD">
        <w:rPr>
          <w:lang w:val="es-ES"/>
        </w:rPr>
        <w:br/>
      </w:r>
      <w:r w:rsidR="00A96D3A" w:rsidRPr="00A809FD">
        <w:rPr>
          <w:lang w:val="es-ES"/>
        </w:rPr>
        <w:t>Director</w:t>
      </w:r>
    </w:p>
    <w:p w14:paraId="32FA8607" w14:textId="77777777" w:rsidR="00AB2F0F" w:rsidRPr="00AB2F0F" w:rsidRDefault="00AB2F0F" w:rsidP="00C13E4E">
      <w:pPr>
        <w:keepNext/>
        <w:keepLines/>
        <w:tabs>
          <w:tab w:val="clear" w:pos="794"/>
        </w:tabs>
        <w:spacing w:before="2400"/>
        <w:rPr>
          <w:lang w:val="es-ES_tradnl"/>
        </w:rPr>
      </w:pPr>
      <w:r w:rsidRPr="00AB2F0F">
        <w:rPr>
          <w:b/>
          <w:bCs/>
          <w:lang w:val="es-ES_tradnl"/>
        </w:rPr>
        <w:t>Anexo:</w:t>
      </w:r>
      <w:r w:rsidRPr="00AB2F0F">
        <w:rPr>
          <w:lang w:val="es-ES_tradnl"/>
        </w:rPr>
        <w:tab/>
        <w:t>Títulos y resúmenes de los proyectos de Recomendación</w:t>
      </w:r>
    </w:p>
    <w:p w14:paraId="4FF48206" w14:textId="295A0F7E" w:rsidR="00AB2F0F" w:rsidRPr="00AB2F0F" w:rsidRDefault="00AB2F0F" w:rsidP="002B4D0F">
      <w:pPr>
        <w:keepNext/>
        <w:keepLines/>
        <w:spacing w:before="960"/>
        <w:rPr>
          <w:lang w:val="es-ES_tradnl"/>
        </w:rPr>
      </w:pPr>
      <w:r w:rsidRPr="00AB2F0F">
        <w:rPr>
          <w:b/>
          <w:bCs/>
          <w:lang w:val="es-ES_tradnl"/>
        </w:rPr>
        <w:t>Documentos:</w:t>
      </w:r>
      <w:r w:rsidRPr="00AB2F0F">
        <w:rPr>
          <w:lang w:val="es-ES_tradnl"/>
        </w:rPr>
        <w:tab/>
      </w:r>
      <w:bookmarkStart w:id="0" w:name="lt_pId040"/>
      <w:r w:rsidRPr="00AB2F0F">
        <w:rPr>
          <w:lang w:val="es-ES_tradnl"/>
        </w:rPr>
        <w:t xml:space="preserve">Documentos </w:t>
      </w:r>
      <w:hyperlink r:id="rId10" w:history="1">
        <w:r w:rsidRPr="00AB2F0F">
          <w:rPr>
            <w:rStyle w:val="Hyperlink"/>
            <w:lang w:val="es-ES_tradnl"/>
          </w:rPr>
          <w:t>4/12</w:t>
        </w:r>
      </w:hyperlink>
      <w:r w:rsidRPr="00AB2F0F">
        <w:rPr>
          <w:lang w:val="es-ES_tradnl"/>
        </w:rPr>
        <w:t xml:space="preserve">, </w:t>
      </w:r>
      <w:hyperlink r:id="rId11" w:history="1">
        <w:r w:rsidRPr="00AB2F0F">
          <w:rPr>
            <w:rStyle w:val="Hyperlink"/>
            <w:lang w:val="es-ES_tradnl"/>
          </w:rPr>
          <w:t>4/17</w:t>
        </w:r>
      </w:hyperlink>
      <w:r w:rsidRPr="00AB2F0F">
        <w:rPr>
          <w:lang w:val="es-ES_tradnl"/>
        </w:rPr>
        <w:t>(</w:t>
      </w:r>
      <w:proofErr w:type="spellStart"/>
      <w:r w:rsidRPr="00AB2F0F">
        <w:rPr>
          <w:lang w:val="es-ES_tradnl"/>
        </w:rPr>
        <w:t>Rev.1</w:t>
      </w:r>
      <w:proofErr w:type="spellEnd"/>
      <w:r w:rsidRPr="00AB2F0F">
        <w:rPr>
          <w:lang w:val="es-ES_tradnl"/>
        </w:rPr>
        <w:t>)</w:t>
      </w:r>
      <w:bookmarkEnd w:id="0"/>
    </w:p>
    <w:p w14:paraId="722D04F5" w14:textId="34214DAD" w:rsidR="00AB2F0F" w:rsidRPr="00AB2F0F" w:rsidRDefault="00AB2F0F" w:rsidP="00AB2F0F">
      <w:pPr>
        <w:rPr>
          <w:lang w:val="es-ES_tradnl"/>
        </w:rPr>
      </w:pPr>
      <w:r w:rsidRPr="00AB2F0F">
        <w:rPr>
          <w:lang w:val="es-ES_tradnl"/>
        </w:rPr>
        <w:t xml:space="preserve">Dichos documentos están disponibles en formato electrónico en la dirección: </w:t>
      </w:r>
      <w:hyperlink r:id="rId12" w:history="1">
        <w:r>
          <w:rPr>
            <w:rStyle w:val="Hyperlink"/>
            <w:lang w:val="es-ES_tradnl"/>
          </w:rPr>
          <w:t>https://</w:t>
        </w:r>
        <w:proofErr w:type="spellStart"/>
        <w:r>
          <w:rPr>
            <w:rStyle w:val="Hyperlink"/>
            <w:lang w:val="es-ES_tradnl"/>
          </w:rPr>
          <w:t>www.itu.int</w:t>
        </w:r>
        <w:proofErr w:type="spellEnd"/>
        <w:r>
          <w:rPr>
            <w:rStyle w:val="Hyperlink"/>
            <w:lang w:val="es-ES_tradnl"/>
          </w:rPr>
          <w:t>/</w:t>
        </w:r>
        <w:proofErr w:type="spellStart"/>
        <w:r>
          <w:rPr>
            <w:rStyle w:val="Hyperlink"/>
            <w:lang w:val="es-ES_tradnl"/>
          </w:rPr>
          <w:t>md</w:t>
        </w:r>
        <w:proofErr w:type="spellEnd"/>
        <w:r>
          <w:rPr>
            <w:rStyle w:val="Hyperlink"/>
            <w:lang w:val="es-ES_tradnl"/>
          </w:rPr>
          <w:t>/</w:t>
        </w:r>
        <w:proofErr w:type="spellStart"/>
        <w:r>
          <w:rPr>
            <w:rStyle w:val="Hyperlink"/>
            <w:lang w:val="es-ES_tradnl"/>
          </w:rPr>
          <w:t>R23</w:t>
        </w:r>
        <w:proofErr w:type="spellEnd"/>
        <w:r>
          <w:rPr>
            <w:rStyle w:val="Hyperlink"/>
            <w:lang w:val="es-ES_tradnl"/>
          </w:rPr>
          <w:t>-</w:t>
        </w:r>
        <w:proofErr w:type="spellStart"/>
        <w:r>
          <w:rPr>
            <w:rStyle w:val="Hyperlink"/>
            <w:lang w:val="es-ES_tradnl"/>
          </w:rPr>
          <w:t>SG04</w:t>
        </w:r>
        <w:proofErr w:type="spellEnd"/>
        <w:r>
          <w:rPr>
            <w:rStyle w:val="Hyperlink"/>
            <w:lang w:val="es-ES_tradnl"/>
          </w:rPr>
          <w:t>-C/es</w:t>
        </w:r>
      </w:hyperlink>
      <w:r w:rsidRPr="00AB2F0F">
        <w:rPr>
          <w:lang w:val="es-ES_tradnl"/>
        </w:rPr>
        <w:t>.</w:t>
      </w:r>
    </w:p>
    <w:p w14:paraId="5C6249CD" w14:textId="461AD927" w:rsidR="00AB2F0F" w:rsidRDefault="00AB2F0F" w:rsidP="00AB2F0F">
      <w:pPr>
        <w:rPr>
          <w:lang w:val="es-ES_tradnl"/>
        </w:rPr>
      </w:pPr>
      <w:r>
        <w:rPr>
          <w:lang w:val="es-ES_tradnl"/>
        </w:rPr>
        <w:br w:type="page"/>
      </w:r>
    </w:p>
    <w:p w14:paraId="57F26BF6" w14:textId="1DF2A965" w:rsidR="00AB2F0F" w:rsidRPr="00AB2F0F" w:rsidRDefault="00AB2F0F" w:rsidP="00AB2F0F">
      <w:pPr>
        <w:pStyle w:val="AnnexNoTitle"/>
        <w:rPr>
          <w:lang w:val="es-ES_tradnl"/>
        </w:rPr>
      </w:pPr>
      <w:r w:rsidRPr="00AB2F0F">
        <w:rPr>
          <w:lang w:val="es-ES_tradnl"/>
        </w:rPr>
        <w:lastRenderedPageBreak/>
        <w:t>Anexo</w:t>
      </w:r>
      <w:r w:rsidRPr="00AB2F0F">
        <w:rPr>
          <w:lang w:val="es-ES_tradnl"/>
        </w:rPr>
        <w:br/>
      </w:r>
      <w:r w:rsidRPr="00AB2F0F">
        <w:rPr>
          <w:lang w:val="es-ES_tradnl"/>
        </w:rPr>
        <w:br/>
        <w:t>Títulos y resúmenes de los proyectos de Recomendación</w:t>
      </w:r>
      <w:r w:rsidR="00A809FD">
        <w:rPr>
          <w:lang w:val="es-ES_tradnl"/>
        </w:rPr>
        <w:t xml:space="preserve"> UIT-R</w:t>
      </w:r>
    </w:p>
    <w:p w14:paraId="0A24A100" w14:textId="77777777" w:rsidR="00AB2F0F" w:rsidRPr="00AB2F0F" w:rsidRDefault="00AB2F0F" w:rsidP="002B4D0F">
      <w:pPr>
        <w:tabs>
          <w:tab w:val="clear" w:pos="794"/>
          <w:tab w:val="right" w:pos="9498"/>
        </w:tabs>
        <w:spacing w:before="480"/>
        <w:rPr>
          <w:lang w:val="es-ES_tradnl"/>
        </w:rPr>
      </w:pPr>
      <w:bookmarkStart w:id="1" w:name="lt_pId044"/>
      <w:bookmarkStart w:id="2" w:name="_Hlk166582155"/>
      <w:r w:rsidRPr="00AB2F0F">
        <w:rPr>
          <w:u w:val="single"/>
          <w:lang w:val="es-ES_tradnl"/>
        </w:rPr>
        <w:t>Proyecto de revisión de la Recomendación UIT-R M.1787-4</w:t>
      </w:r>
      <w:bookmarkEnd w:id="1"/>
      <w:r w:rsidRPr="00AB2F0F">
        <w:rPr>
          <w:lang w:val="es-ES_tradnl"/>
        </w:rPr>
        <w:tab/>
      </w:r>
      <w:bookmarkStart w:id="3" w:name="lt_pId045"/>
      <w:r w:rsidRPr="00AB2F0F">
        <w:rPr>
          <w:lang w:val="es-ES_tradnl"/>
        </w:rPr>
        <w:t>Doc. 4/12</w:t>
      </w:r>
      <w:bookmarkEnd w:id="3"/>
    </w:p>
    <w:p w14:paraId="3A412E4E" w14:textId="1D8CA9C4" w:rsidR="00AB2F0F" w:rsidRPr="00AB2F0F" w:rsidRDefault="00AB2F0F" w:rsidP="00AB2F0F">
      <w:pPr>
        <w:pStyle w:val="Rectitle"/>
        <w:rPr>
          <w:lang w:val="es-ES_tradnl"/>
        </w:rPr>
      </w:pPr>
      <w:bookmarkStart w:id="4" w:name="lt_pId046"/>
      <w:r w:rsidRPr="00AB2F0F">
        <w:rPr>
          <w:lang w:val="es-ES_tradnl"/>
        </w:rPr>
        <w:t>Descripción de sistemas y redes del servicio de radionavegación por satélite (espacio</w:t>
      </w:r>
      <w:r w:rsidR="002B4D0F">
        <w:rPr>
          <w:lang w:val="es-ES_tradnl"/>
        </w:rPr>
        <w:noBreakHyphen/>
      </w:r>
      <w:r w:rsidRPr="00AB2F0F">
        <w:rPr>
          <w:lang w:val="es-ES_tradnl"/>
        </w:rPr>
        <w:t>Tierra y espacio</w:t>
      </w:r>
      <w:r w:rsidR="002B4D0F">
        <w:rPr>
          <w:lang w:val="es-ES_tradnl"/>
        </w:rPr>
        <w:noBreakHyphen/>
      </w:r>
      <w:r w:rsidRPr="00AB2F0F">
        <w:rPr>
          <w:lang w:val="es-ES_tradnl"/>
        </w:rPr>
        <w:t>espacio) y características técnicas de estaciones espaciales transmisoras que funcionan en las bandas 1</w:t>
      </w:r>
      <w:r w:rsidR="002B4D0F">
        <w:rPr>
          <w:lang w:val="es-ES_tradnl"/>
        </w:rPr>
        <w:t> </w:t>
      </w:r>
      <w:r w:rsidRPr="00AB2F0F">
        <w:rPr>
          <w:lang w:val="es-ES_tradnl"/>
        </w:rPr>
        <w:t>164</w:t>
      </w:r>
      <w:r w:rsidR="002B4D0F">
        <w:rPr>
          <w:lang w:val="es-ES_tradnl"/>
        </w:rPr>
        <w:noBreakHyphen/>
      </w:r>
      <w:r w:rsidRPr="00AB2F0F">
        <w:rPr>
          <w:lang w:val="es-ES_tradnl"/>
        </w:rPr>
        <w:t>1</w:t>
      </w:r>
      <w:r w:rsidR="002B4D0F">
        <w:rPr>
          <w:lang w:val="es-ES_tradnl"/>
        </w:rPr>
        <w:t> </w:t>
      </w:r>
      <w:r w:rsidRPr="00AB2F0F">
        <w:rPr>
          <w:lang w:val="es-ES_tradnl"/>
        </w:rPr>
        <w:t>215</w:t>
      </w:r>
      <w:r w:rsidR="002B4D0F">
        <w:rPr>
          <w:lang w:val="es-ES_tradnl"/>
        </w:rPr>
        <w:t> </w:t>
      </w:r>
      <w:r w:rsidRPr="00AB2F0F">
        <w:rPr>
          <w:lang w:val="es-ES_tradnl"/>
        </w:rPr>
        <w:t>MHz, 1</w:t>
      </w:r>
      <w:r w:rsidR="002B4D0F">
        <w:rPr>
          <w:lang w:val="es-ES_tradnl"/>
        </w:rPr>
        <w:t> </w:t>
      </w:r>
      <w:r w:rsidRPr="00AB2F0F">
        <w:rPr>
          <w:lang w:val="es-ES_tradnl"/>
        </w:rPr>
        <w:t>215</w:t>
      </w:r>
      <w:r w:rsidR="002B4D0F">
        <w:rPr>
          <w:lang w:val="es-ES_tradnl"/>
        </w:rPr>
        <w:noBreakHyphen/>
      </w:r>
      <w:r w:rsidRPr="00AB2F0F">
        <w:rPr>
          <w:lang w:val="es-ES_tradnl"/>
        </w:rPr>
        <w:t>1</w:t>
      </w:r>
      <w:r w:rsidR="002B4D0F">
        <w:rPr>
          <w:lang w:val="es-ES_tradnl"/>
        </w:rPr>
        <w:t> </w:t>
      </w:r>
      <w:r w:rsidRPr="00AB2F0F">
        <w:rPr>
          <w:lang w:val="es-ES_tradnl"/>
        </w:rPr>
        <w:t>300</w:t>
      </w:r>
      <w:r w:rsidR="002B4D0F">
        <w:rPr>
          <w:lang w:val="es-ES_tradnl"/>
        </w:rPr>
        <w:t> </w:t>
      </w:r>
      <w:r w:rsidRPr="00AB2F0F">
        <w:rPr>
          <w:lang w:val="es-ES_tradnl"/>
        </w:rPr>
        <w:t>MHz y 1</w:t>
      </w:r>
      <w:r w:rsidR="002B4D0F">
        <w:rPr>
          <w:lang w:val="es-ES_tradnl"/>
        </w:rPr>
        <w:t> </w:t>
      </w:r>
      <w:r w:rsidRPr="00AB2F0F">
        <w:rPr>
          <w:lang w:val="es-ES_tradnl"/>
        </w:rPr>
        <w:t>559</w:t>
      </w:r>
      <w:r w:rsidR="002B4D0F">
        <w:rPr>
          <w:lang w:val="es-ES_tradnl"/>
        </w:rPr>
        <w:noBreakHyphen/>
      </w:r>
      <w:r w:rsidRPr="00AB2F0F">
        <w:rPr>
          <w:lang w:val="es-ES_tradnl"/>
        </w:rPr>
        <w:t>1</w:t>
      </w:r>
      <w:r w:rsidR="002B4D0F">
        <w:rPr>
          <w:lang w:val="es-ES_tradnl"/>
        </w:rPr>
        <w:t> </w:t>
      </w:r>
      <w:r w:rsidRPr="00AB2F0F">
        <w:rPr>
          <w:lang w:val="es-ES_tradnl"/>
        </w:rPr>
        <w:t>610</w:t>
      </w:r>
      <w:r w:rsidR="002B4D0F">
        <w:rPr>
          <w:lang w:val="es-ES_tradnl"/>
        </w:rPr>
        <w:t> </w:t>
      </w:r>
      <w:r w:rsidRPr="00AB2F0F">
        <w:rPr>
          <w:lang w:val="es-ES_tradnl"/>
        </w:rPr>
        <w:t>MHz</w:t>
      </w:r>
    </w:p>
    <w:p w14:paraId="719A2DBD" w14:textId="2C07DD5B" w:rsidR="00AB2F0F" w:rsidRPr="00AB2F0F" w:rsidRDefault="00AB2F0F" w:rsidP="00AB2F0F">
      <w:pPr>
        <w:pStyle w:val="Normalaftertitle"/>
        <w:rPr>
          <w:bCs/>
          <w:lang w:val="es-ES_tradnl"/>
        </w:rPr>
      </w:pPr>
      <w:bookmarkStart w:id="5" w:name="lt_pId048"/>
      <w:bookmarkEnd w:id="4"/>
      <w:r w:rsidRPr="00AB2F0F">
        <w:rPr>
          <w:lang w:val="es-ES_tradnl"/>
        </w:rPr>
        <w:t>Sólo se ha revisado el Anexo</w:t>
      </w:r>
      <w:r>
        <w:rPr>
          <w:lang w:val="es-ES_tradnl"/>
        </w:rPr>
        <w:t> </w:t>
      </w:r>
      <w:r w:rsidRPr="00AB2F0F">
        <w:rPr>
          <w:lang w:val="es-ES_tradnl"/>
        </w:rPr>
        <w:t>5 a esta Recomendación, a fin de actualizar las características de los sistemas correspondientes.</w:t>
      </w:r>
      <w:bookmarkEnd w:id="5"/>
    </w:p>
    <w:p w14:paraId="42D9AFD5" w14:textId="77777777" w:rsidR="00AB2F0F" w:rsidRPr="00AB2F0F" w:rsidRDefault="00AB2F0F" w:rsidP="002B4D0F">
      <w:pPr>
        <w:tabs>
          <w:tab w:val="clear" w:pos="794"/>
          <w:tab w:val="right" w:pos="9498"/>
        </w:tabs>
        <w:spacing w:before="480"/>
        <w:rPr>
          <w:lang w:val="es-ES_tradnl"/>
        </w:rPr>
      </w:pPr>
      <w:bookmarkStart w:id="6" w:name="lt_pId049"/>
      <w:bookmarkEnd w:id="2"/>
      <w:r w:rsidRPr="00AB2F0F">
        <w:rPr>
          <w:u w:val="single"/>
          <w:lang w:val="es-ES_tradnl"/>
        </w:rPr>
        <w:t>Proyecto de revisión de la Recomendación UIT-R S.1328-4</w:t>
      </w:r>
      <w:bookmarkEnd w:id="6"/>
      <w:r w:rsidRPr="00AB2F0F">
        <w:rPr>
          <w:lang w:val="es-ES_tradnl"/>
        </w:rPr>
        <w:tab/>
      </w:r>
      <w:bookmarkStart w:id="7" w:name="lt_pId050"/>
      <w:r w:rsidRPr="00AB2F0F">
        <w:rPr>
          <w:lang w:val="es-ES_tradnl"/>
        </w:rPr>
        <w:t>Doc. 4/17(Rev.1)</w:t>
      </w:r>
      <w:bookmarkEnd w:id="7"/>
    </w:p>
    <w:p w14:paraId="343B681B" w14:textId="0F3F373E" w:rsidR="00AB2F0F" w:rsidRPr="00AB2F0F" w:rsidRDefault="00AB2F0F" w:rsidP="00AB2F0F">
      <w:pPr>
        <w:pStyle w:val="Rectitle"/>
        <w:rPr>
          <w:lang w:val="es-ES_tradnl"/>
        </w:rPr>
      </w:pPr>
      <w:bookmarkStart w:id="8" w:name="Pre_title"/>
      <w:bookmarkStart w:id="9" w:name="lt_pId051"/>
      <w:r w:rsidRPr="00AB2F0F">
        <w:rPr>
          <w:lang w:val="es-ES_tradnl"/>
        </w:rPr>
        <w:t>Características de los sistemas de satélite que se han de tener en cuenta en los análisis de compartición de frecuencias del servicio fijo por satélite</w:t>
      </w:r>
      <w:bookmarkEnd w:id="8"/>
      <w:bookmarkEnd w:id="9"/>
    </w:p>
    <w:p w14:paraId="66159299" w14:textId="201AB6B8" w:rsidR="00AB2F0F" w:rsidRPr="00AB2F0F" w:rsidRDefault="00AB2F0F" w:rsidP="00AB2F0F">
      <w:pPr>
        <w:pStyle w:val="Normalaftertitle"/>
        <w:rPr>
          <w:lang w:val="es-ES_tradnl"/>
        </w:rPr>
      </w:pPr>
      <w:bookmarkStart w:id="10" w:name="lt_pId053"/>
      <w:r w:rsidRPr="00AB2F0F">
        <w:rPr>
          <w:lang w:val="es-ES_tradnl"/>
        </w:rPr>
        <w:t>En esta revisión, se modifican los cuadros pro forma para la presentación de datos nuevos y revisados destinados al banco de datos electrónico de características de sistemas de satélites. En concreto, se añade a la descripción del sistema (Cuadros</w:t>
      </w:r>
      <w:r>
        <w:rPr>
          <w:lang w:val="es-ES_tradnl"/>
        </w:rPr>
        <w:t> </w:t>
      </w:r>
      <w:r w:rsidRPr="00AB2F0F">
        <w:rPr>
          <w:lang w:val="es-ES_tradnl"/>
        </w:rPr>
        <w:t>1 y 2 del Anexo</w:t>
      </w:r>
      <w:r>
        <w:rPr>
          <w:lang w:val="es-ES_tradnl"/>
        </w:rPr>
        <w:t> </w:t>
      </w:r>
      <w:r w:rsidRPr="00AB2F0F">
        <w:rPr>
          <w:lang w:val="es-ES_tradnl"/>
        </w:rPr>
        <w:t xml:space="preserve">1) un campo de datos relativo a la </w:t>
      </w:r>
      <w:r>
        <w:rPr>
          <w:lang w:val="es-ES_tradnl"/>
        </w:rPr>
        <w:t>«</w:t>
      </w:r>
      <w:r w:rsidRPr="00AB2F0F">
        <w:rPr>
          <w:lang w:val="es-ES_tradnl"/>
        </w:rPr>
        <w:t>Fecha de presentación de las características técnicas</w:t>
      </w:r>
      <w:r>
        <w:rPr>
          <w:lang w:val="es-ES_tradnl"/>
        </w:rPr>
        <w:t>»</w:t>
      </w:r>
      <w:r w:rsidRPr="00AB2F0F">
        <w:rPr>
          <w:lang w:val="es-ES_tradnl"/>
        </w:rPr>
        <w:t>. En el Anexo</w:t>
      </w:r>
      <w:r>
        <w:rPr>
          <w:lang w:val="es-ES_tradnl"/>
        </w:rPr>
        <w:t> </w:t>
      </w:r>
      <w:r w:rsidRPr="00AB2F0F">
        <w:rPr>
          <w:lang w:val="es-ES_tradnl"/>
        </w:rPr>
        <w:t>2, también se añade una descripción del nuevo campo de datos.</w:t>
      </w:r>
      <w:bookmarkEnd w:id="10"/>
    </w:p>
    <w:p w14:paraId="360F1560" w14:textId="77777777" w:rsidR="00AB2F0F" w:rsidRPr="00AB2F0F" w:rsidRDefault="00AB2F0F" w:rsidP="00411C49">
      <w:pPr>
        <w:pStyle w:val="Reasons"/>
        <w:rPr>
          <w:lang w:val="es-ES"/>
        </w:rPr>
      </w:pPr>
    </w:p>
    <w:p w14:paraId="7BB3CE5A" w14:textId="77777777" w:rsidR="00AB2F0F" w:rsidRDefault="00AB2F0F">
      <w:pPr>
        <w:jc w:val="center"/>
      </w:pPr>
      <w:r>
        <w:t>______________</w:t>
      </w:r>
    </w:p>
    <w:sectPr w:rsidR="00AB2F0F" w:rsidSect="00132DD2">
      <w:headerReference w:type="even" r:id="rId13"/>
      <w:headerReference w:type="default" r:id="rId14"/>
      <w:headerReference w:type="first" r:id="rId15"/>
      <w:footerReference w:type="first" r:id="rId16"/>
      <w:pgSz w:w="11907" w:h="16834" w:code="9"/>
      <w:pgMar w:top="1134" w:right="1134" w:bottom="993" w:left="1134" w:header="567"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EF2B" w14:textId="77777777" w:rsidR="002B7EE0" w:rsidRDefault="002B7EE0">
      <w:r>
        <w:separator/>
      </w:r>
    </w:p>
  </w:endnote>
  <w:endnote w:type="continuationSeparator" w:id="0">
    <w:p w14:paraId="77A46DFC"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B5DD" w14:textId="5EF06753"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r w:rsidR="00A809FD">
      <w:fldChar w:fldCharType="begin"/>
    </w:r>
    <w:r w:rsidR="00A809FD" w:rsidRPr="00A809FD">
      <w:rPr>
        <w:lang w:val="es-ES"/>
      </w:rPr>
      <w:instrText>HYPERLINK "mailto:brmail@itu.int"</w:instrText>
    </w:r>
    <w:r w:rsidR="00A809FD">
      <w:fldChar w:fldCharType="separate"/>
    </w:r>
    <w:r w:rsidR="00353E34" w:rsidRPr="000B33D5">
      <w:rPr>
        <w:rStyle w:val="Hyperlink"/>
        <w:sz w:val="19"/>
        <w:szCs w:val="19"/>
        <w:lang w:val="es-ES"/>
      </w:rPr>
      <w:t>brmail@itu.int</w:t>
    </w:r>
    <w:r w:rsidR="00A809FD">
      <w:rPr>
        <w:rStyle w:val="Hyperlink"/>
        <w:sz w:val="19"/>
        <w:szCs w:val="19"/>
        <w:lang w:val="es-ES"/>
      </w:rPr>
      <w:fldChar w:fldCharType="end"/>
    </w:r>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1" w:history="1">
      <w:r w:rsidR="00D5194F" w:rsidRPr="00201B14">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1E98" w14:textId="77777777" w:rsidR="002B7EE0" w:rsidRDefault="002B7EE0">
      <w:r>
        <w:t>____________________</w:t>
      </w:r>
    </w:p>
  </w:footnote>
  <w:footnote w:type="continuationSeparator" w:id="0">
    <w:p w14:paraId="1E70CB41" w14:textId="77777777" w:rsidR="002B7EE0" w:rsidRDefault="002B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AE91" w14:textId="57452D8C" w:rsidR="00E915AF" w:rsidRPr="00D239B4" w:rsidRDefault="00D97EF5" w:rsidP="00AB2F0F">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1DC5" w14:textId="33CDB053" w:rsidR="00E915AF" w:rsidRPr="00AB2F0F" w:rsidRDefault="00AB2F0F" w:rsidP="00AB2F0F">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9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gridCol w:w="5131"/>
    </w:tblGrid>
    <w:tr w:rsidR="001B3D4D" w14:paraId="17DCC20F" w14:textId="77777777" w:rsidTr="002B7EE0">
      <w:tc>
        <w:tcPr>
          <w:tcW w:w="9862" w:type="dxa"/>
          <w:tcMar>
            <w:left w:w="0" w:type="dxa"/>
          </w:tcMar>
        </w:tcPr>
        <w:p w14:paraId="0EDA5A65" w14:textId="77777777" w:rsidR="001B3D4D" w:rsidRDefault="002B7EE0" w:rsidP="002B7EE0">
          <w:pPr>
            <w:pStyle w:val="FirstFooter"/>
            <w:spacing w:line="240" w:lineRule="auto"/>
            <w:ind w:left="-397" w:right="-397"/>
            <w:jc w:val="center"/>
          </w:pPr>
          <w:r>
            <w:rPr>
              <w:noProof/>
              <w:lang w:val="en-GB" w:eastAsia="en-GB"/>
            </w:rPr>
            <w:drawing>
              <wp:inline distT="0" distB="0" distL="0" distR="0" wp14:anchorId="654BBB77" wp14:editId="2563B30D">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69CA7AFA" w14:textId="77777777" w:rsidR="001B3D4D" w:rsidRDefault="001B3D4D" w:rsidP="001B3D4D">
          <w:pPr>
            <w:pStyle w:val="Header"/>
            <w:spacing w:before="240" w:line="360" w:lineRule="auto"/>
            <w:jc w:val="right"/>
          </w:pPr>
        </w:p>
      </w:tc>
    </w:tr>
  </w:tbl>
  <w:p w14:paraId="0B0D68E2"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D461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46C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89F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0A3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87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52C0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CF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CC51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7011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AC77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15"/>
  </w:num>
  <w:num w:numId="3" w16cid:durableId="1362706510">
    <w:abstractNumId w:val="9"/>
  </w:num>
  <w:num w:numId="4" w16cid:durableId="887911550">
    <w:abstractNumId w:val="7"/>
  </w:num>
  <w:num w:numId="5" w16cid:durableId="1304970213">
    <w:abstractNumId w:val="6"/>
  </w:num>
  <w:num w:numId="6" w16cid:durableId="1930264368">
    <w:abstractNumId w:val="5"/>
  </w:num>
  <w:num w:numId="7" w16cid:durableId="364407331">
    <w:abstractNumId w:val="4"/>
  </w:num>
  <w:num w:numId="8" w16cid:durableId="2090804629">
    <w:abstractNumId w:val="8"/>
  </w:num>
  <w:num w:numId="9" w16cid:durableId="519003031">
    <w:abstractNumId w:val="3"/>
  </w:num>
  <w:num w:numId="10" w16cid:durableId="1321540904">
    <w:abstractNumId w:val="2"/>
  </w:num>
  <w:num w:numId="11" w16cid:durableId="1326392960">
    <w:abstractNumId w:val="1"/>
  </w:num>
  <w:num w:numId="12" w16cid:durableId="16340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5DD7"/>
    <w:rsid w:val="002B0CAC"/>
    <w:rsid w:val="002B4D0F"/>
    <w:rsid w:val="002B7EE0"/>
    <w:rsid w:val="002D5A15"/>
    <w:rsid w:val="002D5BDD"/>
    <w:rsid w:val="002E3D27"/>
    <w:rsid w:val="002F0890"/>
    <w:rsid w:val="002F2531"/>
    <w:rsid w:val="002F4967"/>
    <w:rsid w:val="00306452"/>
    <w:rsid w:val="00307980"/>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2CF4"/>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E5895"/>
    <w:rsid w:val="007F751A"/>
    <w:rsid w:val="00800012"/>
    <w:rsid w:val="0080261F"/>
    <w:rsid w:val="00805A02"/>
    <w:rsid w:val="00806160"/>
    <w:rsid w:val="008143A4"/>
    <w:rsid w:val="0081513E"/>
    <w:rsid w:val="00854131"/>
    <w:rsid w:val="0085652D"/>
    <w:rsid w:val="0087694B"/>
    <w:rsid w:val="00880F4D"/>
    <w:rsid w:val="008B2539"/>
    <w:rsid w:val="008B35A3"/>
    <w:rsid w:val="008B37E1"/>
    <w:rsid w:val="008B45F8"/>
    <w:rsid w:val="008C2E74"/>
    <w:rsid w:val="008D5409"/>
    <w:rsid w:val="008D6955"/>
    <w:rsid w:val="008E006D"/>
    <w:rsid w:val="008E38B4"/>
    <w:rsid w:val="008E40C5"/>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9FD"/>
    <w:rsid w:val="00A80EFE"/>
    <w:rsid w:val="00A8376F"/>
    <w:rsid w:val="00A963DF"/>
    <w:rsid w:val="00A96D3A"/>
    <w:rsid w:val="00AB2F0F"/>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3E4E"/>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5AB9"/>
    <w:rsid w:val="00D41571"/>
    <w:rsid w:val="00D416A0"/>
    <w:rsid w:val="00D47672"/>
    <w:rsid w:val="00D5123C"/>
    <w:rsid w:val="00D5194F"/>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2B4D0F"/>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customStyle="1" w:styleId="Reasons">
    <w:name w:val="Reasons"/>
    <w:basedOn w:val="Normal"/>
    <w:qFormat/>
    <w:rsid w:val="00AB2F0F"/>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AB2F0F"/>
    <w:rPr>
      <w:color w:val="800080" w:themeColor="followedHyperlink"/>
      <w:u w:val="single"/>
    </w:rPr>
  </w:style>
  <w:style w:type="character" w:customStyle="1" w:styleId="CommentTextChar">
    <w:name w:val="Comment Text Char"/>
    <w:basedOn w:val="DefaultParagraphFont"/>
    <w:link w:val="CommentText"/>
    <w:semiHidden/>
    <w:rsid w:val="00AB2F0F"/>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C/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4-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4-C-0017/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md/R23-SG04-C-0012/es" TargetMode="External"/><Relationship Id="rId4" Type="http://schemas.openxmlformats.org/officeDocument/2006/relationships/settings" Target="settings.xml"/><Relationship Id="rId9" Type="http://schemas.openxmlformats.org/officeDocument/2006/relationships/hyperlink" Target="https://www.itu.int/es/ITU-T/ipr/Pages/policy.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576</Words>
  <Characters>3587</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4155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10</cp:revision>
  <cp:lastPrinted>2013-03-08T10:15:00Z</cp:lastPrinted>
  <dcterms:created xsi:type="dcterms:W3CDTF">2024-05-17T08:46:00Z</dcterms:created>
  <dcterms:modified xsi:type="dcterms:W3CDTF">2024-05-22T09:54:00Z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