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65AA1" w14:paraId="3373B1D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D11D0" w14:textId="77777777" w:rsidR="00E53DCE" w:rsidRPr="00665AA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65AA1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5D410CA3" w14:textId="77777777" w:rsidR="00E53DCE" w:rsidRPr="00665AA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238EAC46" w14:textId="77777777" w:rsidR="00E53DCE" w:rsidRPr="00665AA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665AA1" w14:paraId="32D03654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7AC96A" w14:textId="75DECC37" w:rsidR="00E53DCE" w:rsidRPr="00665AA1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665AA1">
              <w:rPr>
                <w:szCs w:val="24"/>
                <w:lang w:val="fr-FR"/>
              </w:rPr>
              <w:t>Circulaire administrative</w:t>
            </w:r>
          </w:p>
          <w:p w14:paraId="198DE3D1" w14:textId="735C3A71" w:rsidR="00E53DCE" w:rsidRPr="00665AA1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665AA1">
              <w:rPr>
                <w:b/>
                <w:bCs/>
                <w:szCs w:val="24"/>
                <w:lang w:val="fr-FR"/>
              </w:rPr>
              <w:t>CACE/</w:t>
            </w:r>
            <w:r w:rsidR="00653A20" w:rsidRPr="00665AA1">
              <w:rPr>
                <w:b/>
                <w:bCs/>
                <w:szCs w:val="24"/>
                <w:lang w:val="fr-FR"/>
              </w:rPr>
              <w:t>1107</w:t>
            </w:r>
          </w:p>
        </w:tc>
        <w:tc>
          <w:tcPr>
            <w:tcW w:w="2835" w:type="dxa"/>
            <w:shd w:val="clear" w:color="auto" w:fill="auto"/>
          </w:tcPr>
          <w:p w14:paraId="73698996" w14:textId="57B568D8" w:rsidR="00E53DCE" w:rsidRPr="00665AA1" w:rsidRDefault="00AA781A" w:rsidP="00304636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665AA1">
              <w:rPr>
                <w:szCs w:val="24"/>
                <w:lang w:val="fr-FR"/>
              </w:rPr>
              <w:t xml:space="preserve">Le </w:t>
            </w:r>
            <w:r w:rsidR="00653A20" w:rsidRPr="00665AA1">
              <w:rPr>
                <w:rFonts w:cs="Arial"/>
                <w:szCs w:val="24"/>
                <w:lang w:val="fr-FR"/>
              </w:rPr>
              <w:t>23 mai</w:t>
            </w:r>
            <w:r w:rsidR="00304636" w:rsidRPr="00665AA1">
              <w:rPr>
                <w:rFonts w:cs="Arial"/>
                <w:szCs w:val="24"/>
                <w:lang w:val="fr-FR"/>
              </w:rPr>
              <w:t xml:space="preserve"> 202</w:t>
            </w:r>
            <w:r w:rsidR="00305156" w:rsidRPr="00665AA1">
              <w:rPr>
                <w:rFonts w:cs="Arial"/>
                <w:szCs w:val="24"/>
                <w:lang w:val="fr-FR"/>
              </w:rPr>
              <w:t>4</w:t>
            </w:r>
          </w:p>
        </w:tc>
      </w:tr>
      <w:tr w:rsidR="00E53DCE" w:rsidRPr="00665AA1" w14:paraId="21CF050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C111A6" w14:textId="77777777" w:rsidR="00E53DCE" w:rsidRPr="00665AA1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665AA1" w14:paraId="2F4E240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0134AA" w14:textId="77777777" w:rsidR="00E53DCE" w:rsidRPr="00665AA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224C54" w14:paraId="007114A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A7338A" w14:textId="203CE5BB" w:rsidR="00E53DCE" w:rsidRPr="00665AA1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665AA1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653A20" w:rsidRPr="00665AA1">
              <w:rPr>
                <w:b/>
                <w:bCs/>
                <w:lang w:val="fr-FR"/>
              </w:rPr>
              <w:t>États Membres de l</w:t>
            </w:r>
            <w:r w:rsidR="006360E8">
              <w:rPr>
                <w:b/>
                <w:bCs/>
                <w:lang w:val="fr-FR"/>
              </w:rPr>
              <w:t>'</w:t>
            </w:r>
            <w:r w:rsidR="00653A20" w:rsidRPr="00665AA1">
              <w:rPr>
                <w:b/>
                <w:bCs/>
                <w:lang w:val="fr-FR"/>
              </w:rPr>
              <w:t>UIT, aux Membres du Secteur des radiocommunications, aux Associés de l</w:t>
            </w:r>
            <w:r w:rsidR="006360E8">
              <w:rPr>
                <w:b/>
                <w:bCs/>
                <w:lang w:val="fr-FR"/>
              </w:rPr>
              <w:t>'</w:t>
            </w:r>
            <w:r w:rsidR="00653A20" w:rsidRPr="00665AA1">
              <w:rPr>
                <w:b/>
                <w:bCs/>
                <w:lang w:val="fr-FR"/>
              </w:rPr>
              <w:t>UIT-R et aux établissements universitaires participant aux travaux de la Commission d</w:t>
            </w:r>
            <w:r w:rsidR="006360E8">
              <w:rPr>
                <w:b/>
                <w:bCs/>
                <w:lang w:val="fr-FR"/>
              </w:rPr>
              <w:t>'</w:t>
            </w:r>
            <w:r w:rsidR="00653A20" w:rsidRPr="00665AA1">
              <w:rPr>
                <w:b/>
                <w:bCs/>
                <w:lang w:val="fr-FR"/>
              </w:rPr>
              <w:t>études 4 des radiocommunications</w:t>
            </w:r>
          </w:p>
        </w:tc>
      </w:tr>
      <w:tr w:rsidR="00E53DCE" w:rsidRPr="00224C54" w14:paraId="6C55931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32AE4E" w14:textId="77777777" w:rsidR="00E53DCE" w:rsidRPr="00665AA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224C54" w14:paraId="26C0E3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F7E960" w14:textId="77777777" w:rsidR="00E53DCE" w:rsidRPr="00665AA1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224C54" w14:paraId="2813E03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0D97891" w14:textId="77777777" w:rsidR="00E53DCE" w:rsidRPr="00665AA1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665AA1">
              <w:rPr>
                <w:lang w:val="fr-FR"/>
              </w:rPr>
              <w:t>Objet</w:t>
            </w:r>
            <w:r w:rsidR="00E53DCE" w:rsidRPr="00665AA1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E858CC5" w14:textId="2909F899" w:rsidR="00653A20" w:rsidRPr="00665AA1" w:rsidRDefault="00653A20" w:rsidP="00653A2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665AA1">
              <w:rPr>
                <w:b/>
                <w:bCs/>
                <w:szCs w:val="24"/>
                <w:lang w:val="fr-FR"/>
              </w:rPr>
              <w:t>Commission d</w:t>
            </w:r>
            <w:r w:rsidR="006360E8">
              <w:rPr>
                <w:b/>
                <w:bCs/>
                <w:szCs w:val="24"/>
                <w:lang w:val="fr-FR"/>
              </w:rPr>
              <w:t>'</w:t>
            </w:r>
            <w:r w:rsidRPr="00665AA1">
              <w:rPr>
                <w:b/>
                <w:bCs/>
                <w:szCs w:val="24"/>
                <w:lang w:val="fr-FR"/>
              </w:rPr>
              <w:t>études 4 des radiocommunications (Services par satellite)</w:t>
            </w:r>
          </w:p>
          <w:p w14:paraId="41F3265F" w14:textId="25F48D77" w:rsidR="00E53DCE" w:rsidRPr="00665AA1" w:rsidRDefault="00653A20" w:rsidP="00403513">
            <w:pPr>
              <w:tabs>
                <w:tab w:val="clear" w:pos="794"/>
                <w:tab w:val="clear" w:pos="1588"/>
                <w:tab w:val="left" w:pos="356"/>
                <w:tab w:val="left" w:pos="1560"/>
              </w:tabs>
              <w:spacing w:before="80"/>
              <w:ind w:left="356" w:hanging="356"/>
              <w:jc w:val="left"/>
              <w:rPr>
                <w:b/>
                <w:bCs/>
                <w:szCs w:val="24"/>
                <w:lang w:val="fr-FR"/>
              </w:rPr>
            </w:pPr>
            <w:r w:rsidRPr="00665AA1">
              <w:rPr>
                <w:b/>
                <w:bCs/>
                <w:szCs w:val="24"/>
                <w:lang w:val="fr-FR"/>
              </w:rPr>
              <w:t>–</w:t>
            </w:r>
            <w:r w:rsidRPr="00665AA1">
              <w:rPr>
                <w:b/>
                <w:bCs/>
                <w:szCs w:val="24"/>
                <w:lang w:val="fr-FR"/>
              </w:rPr>
              <w:tab/>
              <w:t>Proposition concernant l</w:t>
            </w:r>
            <w:r w:rsidR="006360E8">
              <w:rPr>
                <w:b/>
                <w:bCs/>
                <w:szCs w:val="24"/>
                <w:lang w:val="fr-FR"/>
              </w:rPr>
              <w:t>'</w:t>
            </w:r>
            <w:r w:rsidRPr="00665AA1">
              <w:rPr>
                <w:b/>
                <w:bCs/>
                <w:szCs w:val="24"/>
                <w:lang w:val="fr-FR"/>
              </w:rPr>
              <w:t xml:space="preserve">adoption de </w:t>
            </w:r>
            <w:r w:rsidR="007C1FB7" w:rsidRPr="00665AA1">
              <w:rPr>
                <w:b/>
                <w:bCs/>
                <w:szCs w:val="24"/>
                <w:lang w:val="fr-FR"/>
              </w:rPr>
              <w:t>deux</w:t>
            </w:r>
            <w:r w:rsidRPr="00665AA1">
              <w:rPr>
                <w:b/>
                <w:bCs/>
                <w:szCs w:val="24"/>
                <w:lang w:val="fr-FR"/>
              </w:rPr>
              <w:t xml:space="preserve"> projets de Recommandation UIT</w:t>
            </w:r>
            <w:r w:rsidRPr="00665AA1">
              <w:rPr>
                <w:b/>
                <w:bCs/>
                <w:szCs w:val="24"/>
                <w:lang w:val="fr-FR"/>
              </w:rPr>
              <w:noBreakHyphen/>
              <w:t>R révisée et leur approbation simultanée par correspondance conformément au § A 2.6.2.4 de la Résolution UIT-R 1-9 (Procédure d</w:t>
            </w:r>
            <w:r w:rsidR="006360E8">
              <w:rPr>
                <w:b/>
                <w:bCs/>
                <w:szCs w:val="24"/>
                <w:lang w:val="fr-FR"/>
              </w:rPr>
              <w:t>'</w:t>
            </w:r>
            <w:r w:rsidRPr="00665AA1">
              <w:rPr>
                <w:b/>
                <w:bCs/>
                <w:szCs w:val="24"/>
                <w:lang w:val="fr-FR"/>
              </w:rPr>
              <w:t>adoption et d</w:t>
            </w:r>
            <w:r w:rsidR="006360E8">
              <w:rPr>
                <w:b/>
                <w:bCs/>
                <w:szCs w:val="24"/>
                <w:lang w:val="fr-FR"/>
              </w:rPr>
              <w:t>'</w:t>
            </w:r>
            <w:r w:rsidRPr="00665AA1">
              <w:rPr>
                <w:b/>
                <w:bCs/>
                <w:szCs w:val="24"/>
                <w:lang w:val="fr-FR"/>
              </w:rPr>
              <w:t>approbation simultanées par correspondance)</w:t>
            </w:r>
          </w:p>
        </w:tc>
      </w:tr>
      <w:tr w:rsidR="00E53DCE" w:rsidRPr="00224C54" w14:paraId="61BFC63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D8E097C" w14:textId="77777777" w:rsidR="00E53DCE" w:rsidRPr="00665AA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0E898D" w14:textId="77777777" w:rsidR="00E53DCE" w:rsidRPr="00665AA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24C54" w14:paraId="16E0966F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23ACF5" w14:textId="77777777" w:rsidR="00E53DCE" w:rsidRPr="00665AA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4AEF458" w14:textId="77777777" w:rsidR="00E53DCE" w:rsidRPr="00665AA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557C5A" w:rsidRPr="00224C54" w14:paraId="4A6510A4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ABD0B46" w14:textId="77777777" w:rsidR="00557C5A" w:rsidRPr="00665AA1" w:rsidRDefault="00557C5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01663DFF" w14:textId="77777777" w:rsidR="00557C5A" w:rsidRPr="00665AA1" w:rsidRDefault="00557C5A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</w:tbl>
    <w:p w14:paraId="2ABBE52C" w14:textId="16743A40" w:rsidR="00653A20" w:rsidRPr="00665AA1" w:rsidRDefault="00653A20" w:rsidP="00CE3755">
      <w:pPr>
        <w:pStyle w:val="Normalaftertitle"/>
        <w:rPr>
          <w:lang w:val="fr-FR"/>
        </w:rPr>
      </w:pPr>
      <w:r w:rsidRPr="00665AA1">
        <w:rPr>
          <w:lang w:val="fr-FR"/>
        </w:rPr>
        <w:t>À sa réunion tenue le 10 avril 2024, la Commission d</w:t>
      </w:r>
      <w:r w:rsidR="006360E8">
        <w:rPr>
          <w:lang w:val="fr-FR"/>
        </w:rPr>
        <w:t>'</w:t>
      </w:r>
      <w:r w:rsidRPr="00665AA1">
        <w:rPr>
          <w:lang w:val="fr-FR"/>
        </w:rPr>
        <w:t>études 4 des radiocommunications a décidé de demander l</w:t>
      </w:r>
      <w:r w:rsidR="006360E8">
        <w:rPr>
          <w:lang w:val="fr-FR"/>
        </w:rPr>
        <w:t>'</w:t>
      </w:r>
      <w:r w:rsidRPr="00665AA1">
        <w:rPr>
          <w:lang w:val="fr-FR"/>
        </w:rPr>
        <w:t xml:space="preserve">adoption par correspondance de </w:t>
      </w:r>
      <w:r w:rsidR="00665AA1">
        <w:rPr>
          <w:lang w:val="fr-FR"/>
        </w:rPr>
        <w:t>deux</w:t>
      </w:r>
      <w:r w:rsidRPr="00665AA1">
        <w:rPr>
          <w:lang w:val="fr-FR"/>
        </w:rPr>
        <w:t xml:space="preserve"> projets de Recommandation UIT-R révisée (§ A 2.6.2 de la Résolution UIT-R 1-9) et a décidé en outre d</w:t>
      </w:r>
      <w:r w:rsidR="006360E8">
        <w:rPr>
          <w:lang w:val="fr-FR"/>
        </w:rPr>
        <w:t>'</w:t>
      </w:r>
      <w:r w:rsidRPr="00665AA1">
        <w:rPr>
          <w:lang w:val="fr-FR"/>
        </w:rPr>
        <w:t>appliquer la procédure d</w:t>
      </w:r>
      <w:r w:rsidR="006360E8">
        <w:rPr>
          <w:lang w:val="fr-FR"/>
        </w:rPr>
        <w:t>'</w:t>
      </w:r>
      <w:r w:rsidRPr="00665AA1">
        <w:rPr>
          <w:lang w:val="fr-FR"/>
        </w:rPr>
        <w:t>adoption et d</w:t>
      </w:r>
      <w:r w:rsidR="006360E8">
        <w:rPr>
          <w:lang w:val="fr-FR"/>
        </w:rPr>
        <w:t>'</w:t>
      </w:r>
      <w:r w:rsidRPr="00665AA1">
        <w:rPr>
          <w:lang w:val="fr-FR"/>
        </w:rPr>
        <w:t>approbation simultanées par correspondance (PAAS), conformément au § A 2.6.2.4 de la Résolution UIT-R 1-9. Les titres et les résumés des projets de Recommandation sont indiqués dans l</w:t>
      </w:r>
      <w:r w:rsidR="006360E8">
        <w:rPr>
          <w:lang w:val="fr-FR"/>
        </w:rPr>
        <w:t>'</w:t>
      </w:r>
      <w:r w:rsidRPr="00665AA1">
        <w:rPr>
          <w:lang w:val="fr-FR"/>
        </w:rPr>
        <w:t xml:space="preserve">Annexe de la présente lettre. Tout État </w:t>
      </w:r>
      <w:r w:rsidR="00665AA1">
        <w:rPr>
          <w:lang w:val="fr-FR"/>
        </w:rPr>
        <w:t>M</w:t>
      </w:r>
      <w:r w:rsidRPr="00665AA1">
        <w:rPr>
          <w:lang w:val="fr-FR"/>
        </w:rPr>
        <w:t>embre qui aurait une objection à l</w:t>
      </w:r>
      <w:r w:rsidR="006360E8">
        <w:rPr>
          <w:lang w:val="fr-FR"/>
        </w:rPr>
        <w:t>'</w:t>
      </w:r>
      <w:r w:rsidRPr="00665AA1">
        <w:rPr>
          <w:lang w:val="fr-FR"/>
        </w:rPr>
        <w:t>adoption d</w:t>
      </w:r>
      <w:r w:rsidR="006360E8">
        <w:rPr>
          <w:lang w:val="fr-FR"/>
        </w:rPr>
        <w:t>'</w:t>
      </w:r>
      <w:r w:rsidRPr="00665AA1">
        <w:rPr>
          <w:lang w:val="fr-FR"/>
        </w:rPr>
        <w:t>un projet de Recommandation est prié d</w:t>
      </w:r>
      <w:r w:rsidR="006360E8">
        <w:rPr>
          <w:lang w:val="fr-FR"/>
        </w:rPr>
        <w:t>'</w:t>
      </w:r>
      <w:r w:rsidRPr="00665AA1">
        <w:rPr>
          <w:lang w:val="fr-FR"/>
        </w:rPr>
        <w:t>informer le Directeur et le Président de la Commission d</w:t>
      </w:r>
      <w:r w:rsidR="006360E8">
        <w:rPr>
          <w:lang w:val="fr-FR"/>
        </w:rPr>
        <w:t>'</w:t>
      </w:r>
      <w:r w:rsidRPr="00665AA1">
        <w:rPr>
          <w:lang w:val="fr-FR"/>
        </w:rPr>
        <w:t>études des raisons de cette objection.</w:t>
      </w:r>
    </w:p>
    <w:p w14:paraId="05539D5C" w14:textId="27BBB9BA" w:rsidR="00653A20" w:rsidRPr="00665AA1" w:rsidRDefault="00653A20" w:rsidP="00CE3755">
      <w:pPr>
        <w:rPr>
          <w:szCs w:val="24"/>
          <w:lang w:val="fr-FR"/>
        </w:rPr>
      </w:pPr>
      <w:r w:rsidRPr="00665AA1">
        <w:rPr>
          <w:szCs w:val="24"/>
          <w:lang w:val="fr-FR"/>
        </w:rPr>
        <w:t>La période d</w:t>
      </w:r>
      <w:r w:rsidR="006360E8">
        <w:rPr>
          <w:szCs w:val="24"/>
          <w:lang w:val="fr-FR"/>
        </w:rPr>
        <w:t>'</w:t>
      </w:r>
      <w:r w:rsidRPr="00665AA1">
        <w:rPr>
          <w:szCs w:val="24"/>
          <w:lang w:val="fr-FR"/>
        </w:rPr>
        <w:t>examen aura une durée de deux mois s</w:t>
      </w:r>
      <w:r w:rsidR="006360E8">
        <w:rPr>
          <w:szCs w:val="24"/>
          <w:lang w:val="fr-FR"/>
        </w:rPr>
        <w:t>'</w:t>
      </w:r>
      <w:r w:rsidRPr="00665AA1">
        <w:rPr>
          <w:szCs w:val="24"/>
          <w:lang w:val="fr-FR"/>
        </w:rPr>
        <w:t xml:space="preserve">achevant le </w:t>
      </w:r>
      <w:r w:rsidRPr="00665AA1">
        <w:rPr>
          <w:szCs w:val="24"/>
          <w:u w:val="single"/>
          <w:lang w:val="fr-FR"/>
        </w:rPr>
        <w:t>23 juillet 2024</w:t>
      </w:r>
      <w:r w:rsidRPr="00665AA1">
        <w:rPr>
          <w:szCs w:val="24"/>
          <w:lang w:val="fr-FR"/>
        </w:rPr>
        <w:t>. Si, au cours de cette période, aucun État Membre ne soulève d</w:t>
      </w:r>
      <w:r w:rsidR="006360E8">
        <w:rPr>
          <w:szCs w:val="24"/>
          <w:lang w:val="fr-FR"/>
        </w:rPr>
        <w:t>'</w:t>
      </w:r>
      <w:r w:rsidRPr="00665AA1">
        <w:rPr>
          <w:szCs w:val="24"/>
          <w:lang w:val="fr-FR"/>
        </w:rPr>
        <w:t>objection, les projets de Recommandations seront considérés comme adoptés par la Commission d</w:t>
      </w:r>
      <w:r w:rsidR="006360E8">
        <w:rPr>
          <w:szCs w:val="24"/>
          <w:lang w:val="fr-FR"/>
        </w:rPr>
        <w:t>'</w:t>
      </w:r>
      <w:r w:rsidRPr="00665AA1">
        <w:rPr>
          <w:szCs w:val="24"/>
          <w:lang w:val="fr-FR"/>
        </w:rPr>
        <w:t xml:space="preserve">études 4. En outre, la procédure PAAS ayant été suivie, les projets de Recommandation seront aussi considérés comme ayant été approuvés. </w:t>
      </w:r>
    </w:p>
    <w:p w14:paraId="001156D6" w14:textId="18D0D375" w:rsidR="00E53DCE" w:rsidRPr="00665AA1" w:rsidRDefault="00653A20" w:rsidP="00CE3755">
      <w:pPr>
        <w:rPr>
          <w:szCs w:val="24"/>
          <w:lang w:val="fr-FR"/>
        </w:rPr>
      </w:pPr>
      <w:r w:rsidRPr="00665AA1">
        <w:rPr>
          <w:szCs w:val="24"/>
          <w:lang w:val="fr-FR"/>
        </w:rPr>
        <w:t xml:space="preserve">Après la date limite susmentionnée, les résultats des procédures susmentionnées seront annoncés par voie de circulaire administrative et les Recommandations approuvées seront publiées dans les meilleurs délais (voir </w:t>
      </w:r>
      <w:hyperlink r:id="rId8" w:history="1">
        <w:r w:rsidRPr="00665AA1">
          <w:rPr>
            <w:rStyle w:val="Hyperlink"/>
            <w:szCs w:val="24"/>
            <w:lang w:val="fr-FR"/>
          </w:rPr>
          <w:t>http://www.itu.int/pub/R-REC</w:t>
        </w:r>
      </w:hyperlink>
      <w:r w:rsidRPr="00665AA1">
        <w:rPr>
          <w:szCs w:val="24"/>
          <w:lang w:val="fr-FR"/>
        </w:rPr>
        <w:t>).</w:t>
      </w:r>
    </w:p>
    <w:p w14:paraId="343D0145" w14:textId="7B1B0335" w:rsidR="00D21694" w:rsidRPr="00557C5A" w:rsidRDefault="00653A20" w:rsidP="00557C5A">
      <w:pPr>
        <w:keepNext/>
        <w:keepLines/>
        <w:rPr>
          <w:rFonts w:asciiTheme="minorHAnsi" w:hAnsiTheme="minorHAnsi" w:cstheme="minorHAnsi"/>
          <w:spacing w:val="-4"/>
          <w:szCs w:val="24"/>
          <w:lang w:val="fr-FR"/>
        </w:rPr>
      </w:pPr>
      <w:r w:rsidRPr="00665AA1">
        <w:rPr>
          <w:rFonts w:asciiTheme="minorHAnsi" w:hAnsiTheme="minorHAnsi" w:cstheme="minorHAnsi"/>
          <w:szCs w:val="24"/>
          <w:lang w:val="fr-FR"/>
        </w:rPr>
        <w:lastRenderedPageBreak/>
        <w:t>Toute organisation membre de l</w:t>
      </w:r>
      <w:r w:rsidR="006360E8">
        <w:rPr>
          <w:rFonts w:asciiTheme="minorHAnsi" w:hAnsiTheme="minorHAnsi" w:cstheme="minorHAnsi"/>
          <w:szCs w:val="24"/>
          <w:lang w:val="fr-FR"/>
        </w:rPr>
        <w:t>'</w:t>
      </w:r>
      <w:r w:rsidRPr="00665AA1">
        <w:rPr>
          <w:rFonts w:asciiTheme="minorHAnsi" w:hAnsiTheme="minorHAnsi" w:cstheme="minorHAnsi"/>
          <w:szCs w:val="24"/>
          <w:lang w:val="fr-FR"/>
        </w:rPr>
        <w:t>UIT ayant connaissance d</w:t>
      </w:r>
      <w:r w:rsidR="006360E8">
        <w:rPr>
          <w:rFonts w:asciiTheme="minorHAnsi" w:hAnsiTheme="minorHAnsi" w:cstheme="minorHAnsi"/>
          <w:szCs w:val="24"/>
          <w:lang w:val="fr-FR"/>
        </w:rPr>
        <w:t>'</w:t>
      </w:r>
      <w:r w:rsidRPr="00665AA1">
        <w:rPr>
          <w:rFonts w:asciiTheme="minorHAnsi" w:hAnsiTheme="minorHAnsi" w:cstheme="minorHAnsi"/>
          <w:szCs w:val="24"/>
          <w:lang w:val="fr-FR"/>
        </w:rPr>
        <w:t>un brevet détenu en son sein ou par d</w:t>
      </w:r>
      <w:r w:rsidR="006360E8">
        <w:rPr>
          <w:rFonts w:asciiTheme="minorHAnsi" w:hAnsiTheme="minorHAnsi" w:cstheme="minorHAnsi"/>
          <w:szCs w:val="24"/>
          <w:lang w:val="fr-FR"/>
        </w:rPr>
        <w:t>'</w:t>
      </w:r>
      <w:r w:rsidRPr="00665AA1">
        <w:rPr>
          <w:rFonts w:asciiTheme="minorHAnsi" w:hAnsiTheme="minorHAnsi" w:cstheme="minorHAnsi"/>
          <w:szCs w:val="24"/>
          <w:lang w:val="fr-FR"/>
        </w:rPr>
        <w:t xml:space="preserve">autres organismes, et susceptible de se rapporter complètement ou en partie à des éléments des projets de Recommandations mentionnés dans la présente lettre, est priée de transmettre lesdites informations au secrétariat dans les meilleurs délais. La politique commune en matière de brevets </w:t>
      </w:r>
      <w:r w:rsidRPr="00557C5A">
        <w:rPr>
          <w:rFonts w:asciiTheme="minorHAnsi" w:hAnsiTheme="minorHAnsi" w:cstheme="minorHAnsi"/>
          <w:spacing w:val="-4"/>
          <w:szCs w:val="24"/>
          <w:lang w:val="fr-FR"/>
        </w:rPr>
        <w:t>de l</w:t>
      </w:r>
      <w:r w:rsidR="006360E8" w:rsidRPr="00557C5A">
        <w:rPr>
          <w:rFonts w:asciiTheme="minorHAnsi" w:hAnsiTheme="minorHAnsi" w:cstheme="minorHAnsi"/>
          <w:spacing w:val="-4"/>
          <w:szCs w:val="24"/>
          <w:lang w:val="fr-FR"/>
        </w:rPr>
        <w:t>'</w:t>
      </w:r>
      <w:r w:rsidRPr="00557C5A">
        <w:rPr>
          <w:rFonts w:asciiTheme="minorHAnsi" w:hAnsiTheme="minorHAnsi" w:cstheme="minorHAnsi"/>
          <w:spacing w:val="-4"/>
          <w:szCs w:val="24"/>
          <w:lang w:val="fr-FR"/>
        </w:rPr>
        <w:t xml:space="preserve">UIT-T/UIT-R/ISO/CEI est disponible à </w:t>
      </w:r>
      <w:proofErr w:type="gramStart"/>
      <w:r w:rsidRPr="00557C5A">
        <w:rPr>
          <w:rFonts w:asciiTheme="minorHAnsi" w:hAnsiTheme="minorHAnsi" w:cstheme="minorHAnsi"/>
          <w:spacing w:val="-4"/>
          <w:szCs w:val="24"/>
          <w:lang w:val="fr-FR"/>
        </w:rPr>
        <w:t>l</w:t>
      </w:r>
      <w:r w:rsidR="006360E8" w:rsidRPr="00557C5A">
        <w:rPr>
          <w:rFonts w:asciiTheme="minorHAnsi" w:hAnsiTheme="minorHAnsi" w:cstheme="minorHAnsi"/>
          <w:spacing w:val="-4"/>
          <w:szCs w:val="24"/>
          <w:lang w:val="fr-FR"/>
        </w:rPr>
        <w:t>'</w:t>
      </w:r>
      <w:r w:rsidRPr="00557C5A">
        <w:rPr>
          <w:rFonts w:asciiTheme="minorHAnsi" w:hAnsiTheme="minorHAnsi" w:cstheme="minorHAnsi"/>
          <w:spacing w:val="-4"/>
          <w:szCs w:val="24"/>
          <w:lang w:val="fr-FR"/>
        </w:rPr>
        <w:t>adresse:</w:t>
      </w:r>
      <w:proofErr w:type="gramEnd"/>
      <w:r w:rsidRPr="00557C5A">
        <w:rPr>
          <w:rFonts w:asciiTheme="minorHAnsi" w:hAnsiTheme="minorHAnsi" w:cstheme="minorHAnsi"/>
          <w:spacing w:val="-4"/>
          <w:szCs w:val="24"/>
          <w:lang w:val="fr-FR"/>
        </w:rPr>
        <w:t xml:space="preserve"> </w:t>
      </w:r>
      <w:hyperlink r:id="rId9" w:history="1">
        <w:r w:rsidR="00665AA1" w:rsidRPr="00557C5A">
          <w:rPr>
            <w:rStyle w:val="Hyperlink"/>
            <w:rFonts w:asciiTheme="minorHAnsi" w:hAnsiTheme="minorHAnsi" w:cstheme="minorHAnsi"/>
            <w:spacing w:val="-4"/>
            <w:szCs w:val="24"/>
            <w:lang w:val="fr-FR"/>
          </w:rPr>
          <w:t>http://www.itu.int/en/ITU</w:t>
        </w:r>
        <w:r w:rsidR="00665AA1" w:rsidRPr="00557C5A">
          <w:rPr>
            <w:rStyle w:val="Hyperlink"/>
            <w:rFonts w:asciiTheme="minorHAnsi" w:hAnsiTheme="minorHAnsi" w:cstheme="minorHAnsi"/>
            <w:spacing w:val="-4"/>
            <w:szCs w:val="24"/>
            <w:lang w:val="fr-FR"/>
          </w:rPr>
          <w:noBreakHyphen/>
          <w:t>T/ipr/Pages/policy.aspx</w:t>
        </w:r>
      </w:hyperlink>
      <w:r w:rsidRPr="00557C5A">
        <w:rPr>
          <w:rFonts w:asciiTheme="minorHAnsi" w:hAnsiTheme="minorHAnsi" w:cstheme="minorHAnsi"/>
          <w:spacing w:val="-4"/>
          <w:szCs w:val="24"/>
          <w:lang w:val="fr-FR"/>
        </w:rPr>
        <w:t>.</w:t>
      </w:r>
    </w:p>
    <w:p w14:paraId="18121D7C" w14:textId="0A3428C2" w:rsidR="002569F7" w:rsidRPr="00665AA1" w:rsidRDefault="004F47EA" w:rsidP="00295FE8">
      <w:pPr>
        <w:keepNext/>
        <w:keepLines/>
        <w:spacing w:before="1200" w:line="240" w:lineRule="auto"/>
        <w:jc w:val="left"/>
        <w:rPr>
          <w:szCs w:val="24"/>
          <w:lang w:val="fr-FR"/>
        </w:rPr>
      </w:pPr>
      <w:r w:rsidRPr="00665AA1">
        <w:rPr>
          <w:rFonts w:asciiTheme="minorHAnsi" w:hAnsiTheme="minorHAnsi" w:cstheme="minorHAnsi"/>
          <w:lang w:val="fr-FR"/>
        </w:rPr>
        <w:t>Mario Maniewicz</w:t>
      </w:r>
      <w:r w:rsidR="00E53DCE" w:rsidRPr="00665AA1">
        <w:rPr>
          <w:szCs w:val="24"/>
          <w:lang w:val="fr-FR"/>
        </w:rPr>
        <w:br/>
        <w:t>Directeur</w:t>
      </w:r>
    </w:p>
    <w:p w14:paraId="132E8158" w14:textId="23573A5E" w:rsidR="00653A20" w:rsidRPr="00665AA1" w:rsidRDefault="00653A20" w:rsidP="00295FE8">
      <w:pPr>
        <w:keepNext/>
        <w:keepLines/>
        <w:spacing w:before="2400"/>
        <w:jc w:val="left"/>
        <w:rPr>
          <w:lang w:val="fr-FR"/>
        </w:rPr>
      </w:pPr>
      <w:r w:rsidRPr="00665AA1">
        <w:rPr>
          <w:b/>
          <w:bCs/>
          <w:lang w:val="fr-FR"/>
        </w:rPr>
        <w:t>Annexe</w:t>
      </w:r>
      <w:r w:rsidRPr="00665AA1">
        <w:rPr>
          <w:lang w:val="fr-FR"/>
        </w:rPr>
        <w:t>:</w:t>
      </w:r>
      <w:r w:rsidRPr="00665AA1">
        <w:rPr>
          <w:lang w:val="fr-FR"/>
        </w:rPr>
        <w:tab/>
        <w:t>Titres et résumés des projets de Recommandation</w:t>
      </w:r>
    </w:p>
    <w:p w14:paraId="7A24CFE1" w14:textId="4D339FBF" w:rsidR="00653A20" w:rsidRPr="00665AA1" w:rsidRDefault="00653A20" w:rsidP="00557C5A">
      <w:pPr>
        <w:keepNext/>
        <w:keepLines/>
        <w:tabs>
          <w:tab w:val="clear" w:pos="1588"/>
          <w:tab w:val="left" w:pos="1560"/>
        </w:tabs>
        <w:spacing w:before="960"/>
        <w:jc w:val="left"/>
        <w:rPr>
          <w:lang w:val="fr-FR"/>
        </w:rPr>
      </w:pPr>
      <w:proofErr w:type="gramStart"/>
      <w:r w:rsidRPr="00665AA1">
        <w:rPr>
          <w:b/>
          <w:bCs/>
          <w:lang w:val="fr-FR"/>
        </w:rPr>
        <w:t>Documents</w:t>
      </w:r>
      <w:r w:rsidRPr="00665AA1">
        <w:rPr>
          <w:lang w:val="fr-FR"/>
        </w:rPr>
        <w:t>:</w:t>
      </w:r>
      <w:proofErr w:type="gramEnd"/>
      <w:r w:rsidRPr="00665AA1">
        <w:rPr>
          <w:lang w:val="fr-FR"/>
        </w:rPr>
        <w:tab/>
        <w:t xml:space="preserve">Documents </w:t>
      </w:r>
      <w:hyperlink r:id="rId10" w:history="1">
        <w:r w:rsidRPr="00665AA1">
          <w:rPr>
            <w:rStyle w:val="Hyperlink"/>
            <w:lang w:val="fr-FR"/>
          </w:rPr>
          <w:t>4/12</w:t>
        </w:r>
      </w:hyperlink>
      <w:r w:rsidRPr="00665AA1">
        <w:rPr>
          <w:lang w:val="fr-FR"/>
        </w:rPr>
        <w:t xml:space="preserve">, </w:t>
      </w:r>
      <w:hyperlink r:id="rId11" w:history="1">
        <w:r w:rsidRPr="00665AA1">
          <w:rPr>
            <w:rStyle w:val="Hyperlink"/>
            <w:lang w:val="fr-FR"/>
          </w:rPr>
          <w:t>4/17(Rév.1)</w:t>
        </w:r>
      </w:hyperlink>
    </w:p>
    <w:p w14:paraId="0A01CAEF" w14:textId="618ADDAB" w:rsidR="00C3556B" w:rsidRPr="00665AA1" w:rsidRDefault="00653A20" w:rsidP="00665AA1">
      <w:pPr>
        <w:jc w:val="left"/>
        <w:rPr>
          <w:lang w:val="fr-FR"/>
        </w:rPr>
      </w:pPr>
      <w:r w:rsidRPr="00665AA1">
        <w:rPr>
          <w:lang w:val="fr-FR"/>
        </w:rPr>
        <w:t xml:space="preserve">Ces documents sont disponibles sous forme électronique à </w:t>
      </w:r>
      <w:proofErr w:type="gramStart"/>
      <w:r w:rsidRPr="00665AA1">
        <w:rPr>
          <w:lang w:val="fr-FR"/>
        </w:rPr>
        <w:t>l</w:t>
      </w:r>
      <w:r w:rsidR="006360E8">
        <w:rPr>
          <w:lang w:val="fr-FR"/>
        </w:rPr>
        <w:t>'</w:t>
      </w:r>
      <w:r w:rsidRPr="00665AA1">
        <w:rPr>
          <w:lang w:val="fr-FR"/>
        </w:rPr>
        <w:t>adresse:</w:t>
      </w:r>
      <w:proofErr w:type="gramEnd"/>
      <w:r w:rsidRPr="00665AA1">
        <w:rPr>
          <w:lang w:val="fr-FR"/>
        </w:rPr>
        <w:t xml:space="preserve"> </w:t>
      </w:r>
      <w:hyperlink r:id="rId12" w:history="1">
        <w:r w:rsidR="00665AA1" w:rsidRPr="000A7123">
          <w:rPr>
            <w:rStyle w:val="Hyperlink"/>
            <w:lang w:val="fr-FR"/>
          </w:rPr>
          <w:t>https://www.itu.int/md/R23SG04-C/en</w:t>
        </w:r>
      </w:hyperlink>
    </w:p>
    <w:p w14:paraId="16084414" w14:textId="65F4C476" w:rsidR="00653A20" w:rsidRPr="00665AA1" w:rsidRDefault="00653A20" w:rsidP="00653A20">
      <w:pPr>
        <w:spacing w:before="840"/>
        <w:rPr>
          <w:lang w:val="fr-FR"/>
        </w:rPr>
      </w:pPr>
      <w:r w:rsidRPr="00665AA1">
        <w:rPr>
          <w:lang w:val="fr-FR"/>
        </w:rPr>
        <w:br w:type="page"/>
      </w:r>
    </w:p>
    <w:p w14:paraId="04EC7124" w14:textId="3E6C48DD" w:rsidR="00653A20" w:rsidRPr="00665AA1" w:rsidRDefault="00653A20" w:rsidP="00653A20">
      <w:pPr>
        <w:pStyle w:val="AnnexNoTitle"/>
        <w:rPr>
          <w:rFonts w:asciiTheme="minorHAnsi" w:hAnsiTheme="minorHAnsi" w:cstheme="minorHAnsi"/>
          <w:szCs w:val="24"/>
          <w:lang w:val="fr-FR"/>
        </w:rPr>
      </w:pPr>
      <w:bookmarkStart w:id="0" w:name="lt_pId042"/>
      <w:r w:rsidRPr="00665AA1">
        <w:rPr>
          <w:szCs w:val="24"/>
          <w:lang w:val="fr-FR"/>
        </w:rPr>
        <w:lastRenderedPageBreak/>
        <w:t>Annexe</w:t>
      </w:r>
      <w:r w:rsidR="00E4208E" w:rsidRPr="00665AA1">
        <w:rPr>
          <w:szCs w:val="24"/>
          <w:lang w:val="fr-FR"/>
        </w:rPr>
        <w:br/>
      </w:r>
      <w:r w:rsidR="00E4208E" w:rsidRPr="00665AA1">
        <w:rPr>
          <w:szCs w:val="24"/>
          <w:lang w:val="fr-FR"/>
        </w:rPr>
        <w:br/>
      </w:r>
      <w:r w:rsidRPr="00665AA1">
        <w:rPr>
          <w:szCs w:val="24"/>
          <w:lang w:val="fr-FR"/>
        </w:rPr>
        <w:t>Titres et résumés des projets de Recommandation UIT-R</w:t>
      </w:r>
      <w:bookmarkStart w:id="1" w:name="lt_pId043"/>
      <w:bookmarkEnd w:id="0"/>
      <w:bookmarkEnd w:id="1"/>
    </w:p>
    <w:p w14:paraId="7DBD2D6B" w14:textId="77777777" w:rsidR="00653A20" w:rsidRPr="00665AA1" w:rsidRDefault="00653A20" w:rsidP="00653A20">
      <w:pPr>
        <w:tabs>
          <w:tab w:val="right" w:pos="9639"/>
        </w:tabs>
        <w:spacing w:before="480"/>
        <w:jc w:val="left"/>
        <w:rPr>
          <w:rFonts w:asciiTheme="minorHAnsi" w:hAnsiTheme="minorHAnsi" w:cstheme="minorHAnsi"/>
          <w:szCs w:val="24"/>
          <w:lang w:val="fr-FR"/>
        </w:rPr>
      </w:pPr>
      <w:bookmarkStart w:id="2" w:name="lt_pId044"/>
      <w:bookmarkStart w:id="3" w:name="_Hlk166582155"/>
      <w:r w:rsidRPr="00665AA1">
        <w:rPr>
          <w:u w:val="single"/>
          <w:lang w:val="fr-FR"/>
        </w:rPr>
        <w:t>Projet de révision de la Recommandation UIT-R M.1787-4</w:t>
      </w:r>
      <w:r w:rsidRPr="00665AA1">
        <w:rPr>
          <w:lang w:val="fr-FR"/>
        </w:rPr>
        <w:tab/>
        <w:t>Doc. 4/12</w:t>
      </w:r>
      <w:bookmarkStart w:id="4" w:name="lt_pId045"/>
      <w:bookmarkEnd w:id="2"/>
      <w:bookmarkEnd w:id="4"/>
    </w:p>
    <w:p w14:paraId="5D845CAD" w14:textId="2BFECCCB" w:rsidR="00653A20" w:rsidRPr="00665AA1" w:rsidRDefault="00653A20" w:rsidP="00E4208E">
      <w:pPr>
        <w:pStyle w:val="Rectitle"/>
        <w:rPr>
          <w:sz w:val="24"/>
          <w:szCs w:val="24"/>
          <w:lang w:val="fr-FR"/>
        </w:rPr>
      </w:pPr>
      <w:bookmarkStart w:id="5" w:name="lt_pId046"/>
      <w:r w:rsidRPr="00665AA1">
        <w:rPr>
          <w:sz w:val="24"/>
          <w:szCs w:val="24"/>
          <w:lang w:val="fr-FR"/>
        </w:rPr>
        <w:t>Description des systèmes et réseaux du service de radionavigation par satellite (espace vers Terre et espace-espace) et caractéristiques techniques des stations spatiales d</w:t>
      </w:r>
      <w:r w:rsidR="006360E8">
        <w:rPr>
          <w:sz w:val="24"/>
          <w:szCs w:val="24"/>
          <w:lang w:val="fr-FR"/>
        </w:rPr>
        <w:t>'</w:t>
      </w:r>
      <w:r w:rsidRPr="00665AA1">
        <w:rPr>
          <w:sz w:val="24"/>
          <w:szCs w:val="24"/>
          <w:lang w:val="fr-FR"/>
        </w:rPr>
        <w:t>émission fonctionnant dans les bandes 1 164-1 215 MHz, 1</w:t>
      </w:r>
      <w:r w:rsidR="00E4208E" w:rsidRPr="00665AA1">
        <w:rPr>
          <w:sz w:val="24"/>
          <w:szCs w:val="24"/>
          <w:lang w:val="fr-FR"/>
        </w:rPr>
        <w:t> </w:t>
      </w:r>
      <w:r w:rsidRPr="00665AA1">
        <w:rPr>
          <w:sz w:val="24"/>
          <w:szCs w:val="24"/>
          <w:lang w:val="fr-FR"/>
        </w:rPr>
        <w:t>215-1 300 MHz et 1 559-1 610 MHz</w:t>
      </w:r>
      <w:bookmarkStart w:id="6" w:name="lt_pId047"/>
      <w:bookmarkEnd w:id="5"/>
      <w:bookmarkEnd w:id="6"/>
    </w:p>
    <w:p w14:paraId="39E44DF6" w14:textId="14498677" w:rsidR="00653A20" w:rsidRPr="00665AA1" w:rsidRDefault="00653A20" w:rsidP="00CE3755">
      <w:pPr>
        <w:pStyle w:val="Normalaftertitle"/>
        <w:rPr>
          <w:rStyle w:val="RectitleChar"/>
          <w:rFonts w:asciiTheme="minorHAnsi" w:hAnsiTheme="minorHAnsi" w:cstheme="minorHAnsi"/>
          <w:b w:val="0"/>
          <w:bCs/>
          <w:szCs w:val="24"/>
          <w:lang w:val="fr-FR"/>
        </w:rPr>
      </w:pPr>
      <w:bookmarkStart w:id="7" w:name="lt_pId048"/>
      <w:r w:rsidRPr="00665AA1">
        <w:rPr>
          <w:lang w:val="fr-FR"/>
        </w:rPr>
        <w:t>Cette Recommandation fait uniquement l</w:t>
      </w:r>
      <w:r w:rsidR="006360E8">
        <w:rPr>
          <w:lang w:val="fr-FR"/>
        </w:rPr>
        <w:t>'</w:t>
      </w:r>
      <w:r w:rsidRPr="00665AA1">
        <w:rPr>
          <w:lang w:val="fr-FR"/>
        </w:rPr>
        <w:t>objet d</w:t>
      </w:r>
      <w:r w:rsidR="006360E8">
        <w:rPr>
          <w:lang w:val="fr-FR"/>
        </w:rPr>
        <w:t>'</w:t>
      </w:r>
      <w:r w:rsidRPr="00665AA1">
        <w:rPr>
          <w:lang w:val="fr-FR"/>
        </w:rPr>
        <w:t>une révision dans son Annexe 5, afin de tenir compte des mises à jour des caractéristiques des systèmes correspondants.</w:t>
      </w:r>
      <w:bookmarkEnd w:id="7"/>
    </w:p>
    <w:p w14:paraId="068FAC8A" w14:textId="77777777" w:rsidR="00653A20" w:rsidRPr="00665AA1" w:rsidRDefault="00653A20" w:rsidP="00653A20">
      <w:pPr>
        <w:tabs>
          <w:tab w:val="right" w:pos="9639"/>
        </w:tabs>
        <w:spacing w:before="480"/>
        <w:jc w:val="left"/>
        <w:rPr>
          <w:rFonts w:asciiTheme="minorHAnsi" w:hAnsiTheme="minorHAnsi" w:cstheme="minorHAnsi"/>
          <w:szCs w:val="24"/>
          <w:lang w:val="fr-FR"/>
        </w:rPr>
      </w:pPr>
      <w:bookmarkStart w:id="8" w:name="lt_pId049"/>
      <w:bookmarkEnd w:id="3"/>
      <w:r w:rsidRPr="00665AA1">
        <w:rPr>
          <w:u w:val="single"/>
          <w:lang w:val="fr-FR"/>
        </w:rPr>
        <w:t>Projet de révision de la Recommandation UIT-R S.1328-4</w:t>
      </w:r>
      <w:r w:rsidRPr="00665AA1">
        <w:rPr>
          <w:lang w:val="fr-FR"/>
        </w:rPr>
        <w:tab/>
        <w:t>Doc. 4/17(Rév.1)</w:t>
      </w:r>
      <w:bookmarkStart w:id="9" w:name="lt_pId050"/>
      <w:bookmarkEnd w:id="8"/>
      <w:bookmarkEnd w:id="9"/>
    </w:p>
    <w:p w14:paraId="50DAD943" w14:textId="5CD8837F" w:rsidR="00653A20" w:rsidRPr="00665AA1" w:rsidRDefault="00653A20" w:rsidP="00E4208E">
      <w:pPr>
        <w:pStyle w:val="Rectitle"/>
        <w:rPr>
          <w:sz w:val="24"/>
          <w:szCs w:val="24"/>
          <w:lang w:val="fr-FR"/>
        </w:rPr>
      </w:pPr>
      <w:bookmarkStart w:id="10" w:name="lt_pId051"/>
      <w:r w:rsidRPr="00665AA1">
        <w:rPr>
          <w:sz w:val="24"/>
          <w:szCs w:val="24"/>
          <w:lang w:val="fr-FR"/>
        </w:rPr>
        <w:t xml:space="preserve">Caractéristiques de systèmes à satellites à prendre en compte dans les analyses </w:t>
      </w:r>
      <w:r w:rsidRPr="00665AA1">
        <w:rPr>
          <w:sz w:val="24"/>
          <w:szCs w:val="24"/>
          <w:lang w:val="fr-FR"/>
        </w:rPr>
        <w:br/>
        <w:t>de partage des fréquences dans le service fixe par satellite</w:t>
      </w:r>
      <w:bookmarkStart w:id="11" w:name="lt_pId052"/>
      <w:bookmarkEnd w:id="10"/>
      <w:bookmarkEnd w:id="11"/>
    </w:p>
    <w:p w14:paraId="76CDC2D7" w14:textId="4B51CAC0" w:rsidR="00653A20" w:rsidRPr="00665AA1" w:rsidRDefault="00653A20" w:rsidP="00CE3755">
      <w:pPr>
        <w:pStyle w:val="Normalaftertitle"/>
        <w:rPr>
          <w:lang w:val="fr-FR"/>
        </w:rPr>
      </w:pPr>
      <w:bookmarkStart w:id="12" w:name="lt_pId053"/>
      <w:r w:rsidRPr="00665AA1">
        <w:rPr>
          <w:lang w:val="fr-FR"/>
        </w:rPr>
        <w:t>Dans cette version révisée, les tableaux modèles vierges à utiliser pour la soumission de données nouvelles ou révisées à inclure dans la banque de données électronique des caractéristiques des systèmes à satellites sont modifiés. Cette modification a pour objet l</w:t>
      </w:r>
      <w:r w:rsidR="006360E8">
        <w:rPr>
          <w:lang w:val="fr-FR"/>
        </w:rPr>
        <w:t>'</w:t>
      </w:r>
      <w:r w:rsidRPr="00665AA1">
        <w:rPr>
          <w:lang w:val="fr-FR"/>
        </w:rPr>
        <w:t>adjonction à la description des systèmes (Tableaux 1 et 2 de l</w:t>
      </w:r>
      <w:r w:rsidR="006360E8">
        <w:rPr>
          <w:lang w:val="fr-FR"/>
        </w:rPr>
        <w:t>'</w:t>
      </w:r>
      <w:r w:rsidRPr="00665AA1">
        <w:rPr>
          <w:lang w:val="fr-FR"/>
        </w:rPr>
        <w:t>Annexe 1) d</w:t>
      </w:r>
      <w:r w:rsidR="006360E8">
        <w:rPr>
          <w:lang w:val="fr-FR"/>
        </w:rPr>
        <w:t>'</w:t>
      </w:r>
      <w:r w:rsidRPr="00665AA1">
        <w:rPr>
          <w:lang w:val="fr-FR"/>
        </w:rPr>
        <w:t>un champ de données intitulé «Date de soumission des caractéristiques techniques». Dans l</w:t>
      </w:r>
      <w:r w:rsidR="006360E8">
        <w:rPr>
          <w:lang w:val="fr-FR"/>
        </w:rPr>
        <w:t>'</w:t>
      </w:r>
      <w:r w:rsidRPr="00665AA1">
        <w:rPr>
          <w:lang w:val="fr-FR"/>
        </w:rPr>
        <w:t>Annexe 2, la description du nouveau champ de données est également ajoutée.</w:t>
      </w:r>
      <w:bookmarkStart w:id="13" w:name="lt_pId054"/>
      <w:bookmarkStart w:id="14" w:name="lt_pId055"/>
      <w:bookmarkEnd w:id="12"/>
      <w:bookmarkEnd w:id="13"/>
      <w:bookmarkEnd w:id="14"/>
    </w:p>
    <w:p w14:paraId="0397A576" w14:textId="77777777" w:rsidR="00E4208E" w:rsidRPr="00665AA1" w:rsidRDefault="00E4208E">
      <w:pPr>
        <w:jc w:val="center"/>
        <w:rPr>
          <w:lang w:val="fr-FR"/>
        </w:rPr>
      </w:pPr>
      <w:r w:rsidRPr="00665AA1">
        <w:rPr>
          <w:lang w:val="fr-FR"/>
        </w:rPr>
        <w:t>______________</w:t>
      </w:r>
    </w:p>
    <w:sectPr w:rsidR="00E4208E" w:rsidRPr="00665AA1" w:rsidSect="003F2F3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CE98" w14:textId="77777777" w:rsidR="00304636" w:rsidRDefault="00304636">
      <w:r>
        <w:separator/>
      </w:r>
    </w:p>
  </w:endnote>
  <w:endnote w:type="continuationSeparator" w:id="0">
    <w:p w14:paraId="1BDF746B" w14:textId="77777777" w:rsidR="00304636" w:rsidRDefault="0030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54B3" w14:textId="4E9258DF" w:rsidR="005E42F8" w:rsidRPr="00E87E14" w:rsidRDefault="00305156" w:rsidP="00E87E14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CH"/>
      </w:rPr>
    </w:pPr>
    <w:r w:rsidRPr="004C1B88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4C1B88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4C1B88">
      <w:rPr>
        <w:rFonts w:asciiTheme="minorHAnsi" w:hAnsiTheme="minorHAnsi"/>
        <w:color w:val="4F81BD"/>
        <w:sz w:val="19"/>
        <w:szCs w:val="19"/>
        <w:lang w:val="fr-CH"/>
      </w:rPr>
      <w:br/>
    </w:r>
    <w:proofErr w:type="gramStart"/>
    <w:r w:rsidRPr="004C1B88">
      <w:rPr>
        <w:rFonts w:asciiTheme="minorHAnsi" w:hAnsiTheme="minorHAnsi"/>
        <w:color w:val="4F81BD"/>
        <w:sz w:val="19"/>
        <w:szCs w:val="19"/>
        <w:lang w:val="fr-CH"/>
      </w:rPr>
      <w:t>Tél.:</w:t>
    </w:r>
    <w:proofErr w:type="gramEnd"/>
    <w:r w:rsidRPr="004C1B88">
      <w:rPr>
        <w:rFonts w:asciiTheme="minorHAnsi" w:hAnsiTheme="minorHAnsi"/>
        <w:color w:val="4F81BD"/>
        <w:sz w:val="19"/>
        <w:szCs w:val="19"/>
        <w:lang w:val="fr-CH"/>
      </w:rPr>
      <w:t xml:space="preserve"> +41 22 730 5111 • Courriel: </w:t>
    </w:r>
    <w:r w:rsidR="00224C54">
      <w:fldChar w:fldCharType="begin"/>
    </w:r>
    <w:r w:rsidR="00224C54" w:rsidRPr="00224C54">
      <w:rPr>
        <w:lang w:val="fr-FR"/>
      </w:rPr>
      <w:instrText>HYPERLINK "mailto:itumail@itu.int"</w:instrText>
    </w:r>
    <w:r w:rsidR="00224C54">
      <w:fldChar w:fldCharType="separate"/>
    </w:r>
    <w:r w:rsidR="0071383C" w:rsidRPr="0071383C">
      <w:rPr>
        <w:rStyle w:val="Hyperlink"/>
        <w:rFonts w:asciiTheme="minorHAnsi" w:hAnsiTheme="minorHAnsi"/>
        <w:sz w:val="19"/>
        <w:szCs w:val="19"/>
        <w:lang w:val="fr-FR"/>
      </w:rPr>
      <w:t>itumail@itu.int</w:t>
    </w:r>
    <w:r w:rsidR="00224C54">
      <w:rPr>
        <w:rStyle w:val="Hyperlink"/>
        <w:rFonts w:asciiTheme="minorHAnsi" w:hAnsiTheme="minorHAnsi"/>
        <w:sz w:val="19"/>
        <w:szCs w:val="19"/>
        <w:lang w:val="fr-FR"/>
      </w:rPr>
      <w:fldChar w:fldCharType="end"/>
    </w:r>
    <w:r w:rsidRPr="004C1B88">
      <w:rPr>
        <w:rFonts w:asciiTheme="minorHAnsi" w:hAnsiTheme="minorHAnsi"/>
        <w:sz w:val="19"/>
        <w:szCs w:val="19"/>
        <w:lang w:val="fr-CH"/>
      </w:rPr>
      <w:t xml:space="preserve"> </w:t>
    </w:r>
    <w:r w:rsidRPr="004C1B88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1" w:history="1">
      <w:r w:rsidRPr="004C1B88">
        <w:rPr>
          <w:rStyle w:val="Hyperlink"/>
          <w:sz w:val="19"/>
          <w:szCs w:val="19"/>
          <w:lang w:val="fr-CH"/>
        </w:rPr>
        <w:t>www.itu.int</w:t>
      </w:r>
    </w:hyperlink>
    <w:r w:rsidRPr="004C1B88">
      <w:rPr>
        <w:color w:val="4F81BD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DEBC" w14:textId="77777777" w:rsidR="00304636" w:rsidRDefault="00304636">
      <w:r>
        <w:t>____________________</w:t>
      </w:r>
    </w:p>
  </w:footnote>
  <w:footnote w:type="continuationSeparator" w:id="0">
    <w:p w14:paraId="4B1D7160" w14:textId="77777777" w:rsidR="00304636" w:rsidRDefault="0030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258D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1931" w14:textId="409C5EB5" w:rsidR="003F2F34" w:rsidRPr="003F2F34" w:rsidRDefault="00E87E14" w:rsidP="003F2F3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3F2F34" w:rsidRPr="003F2F34">
      <w:rPr>
        <w:sz w:val="18"/>
        <w:szCs w:val="16"/>
      </w:rPr>
      <w:fldChar w:fldCharType="begin"/>
    </w:r>
    <w:r w:rsidR="003F2F34" w:rsidRPr="003F2F34">
      <w:rPr>
        <w:sz w:val="18"/>
        <w:szCs w:val="16"/>
      </w:rPr>
      <w:instrText xml:space="preserve"> PAGE </w:instrText>
    </w:r>
    <w:r w:rsidR="003F2F34" w:rsidRPr="003F2F34">
      <w:rPr>
        <w:sz w:val="18"/>
        <w:szCs w:val="16"/>
      </w:rPr>
      <w:fldChar w:fldCharType="separate"/>
    </w:r>
    <w:r w:rsidR="003F2F34">
      <w:rPr>
        <w:noProof/>
        <w:sz w:val="18"/>
        <w:szCs w:val="16"/>
      </w:rPr>
      <w:t>2</w:t>
    </w:r>
    <w:r w:rsidR="003F2F34" w:rsidRPr="003F2F34">
      <w:rPr>
        <w:sz w:val="18"/>
        <w:szCs w:val="16"/>
      </w:rPr>
      <w:fldChar w:fldCharType="end"/>
    </w:r>
    <w:r>
      <w:rPr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C224" w14:textId="0F5688D2" w:rsidR="00E87E14" w:rsidRDefault="00E87E14" w:rsidP="00E87E14">
    <w:pPr>
      <w:pStyle w:val="Header"/>
      <w:tabs>
        <w:tab w:val="clear" w:pos="794"/>
        <w:tab w:val="clear" w:pos="4820"/>
        <w:tab w:val="clear" w:pos="9639"/>
        <w:tab w:val="left" w:pos="9900"/>
      </w:tabs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2DE4DAB6" wp14:editId="3FA746D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142382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197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A2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4C54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5FE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0515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2F34"/>
    <w:rsid w:val="00400573"/>
    <w:rsid w:val="004007A3"/>
    <w:rsid w:val="0040351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B88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57C5A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E6F17"/>
    <w:rsid w:val="005F3CB6"/>
    <w:rsid w:val="005F657C"/>
    <w:rsid w:val="00602D53"/>
    <w:rsid w:val="006047E5"/>
    <w:rsid w:val="006360E8"/>
    <w:rsid w:val="00642050"/>
    <w:rsid w:val="0064371D"/>
    <w:rsid w:val="00650543"/>
    <w:rsid w:val="00650B2A"/>
    <w:rsid w:val="00651777"/>
    <w:rsid w:val="00653A20"/>
    <w:rsid w:val="006550F8"/>
    <w:rsid w:val="00665AA1"/>
    <w:rsid w:val="006829F3"/>
    <w:rsid w:val="006A2A04"/>
    <w:rsid w:val="006A518B"/>
    <w:rsid w:val="006B0590"/>
    <w:rsid w:val="006B49DA"/>
    <w:rsid w:val="006C53F8"/>
    <w:rsid w:val="006C7CDE"/>
    <w:rsid w:val="006E0A3F"/>
    <w:rsid w:val="0071383C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1FB7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42FC8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07A1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3755"/>
    <w:rsid w:val="00CE463D"/>
    <w:rsid w:val="00D10BA0"/>
    <w:rsid w:val="00D21694"/>
    <w:rsid w:val="00D24EB5"/>
    <w:rsid w:val="00D35AB9"/>
    <w:rsid w:val="00D41571"/>
    <w:rsid w:val="00D416A0"/>
    <w:rsid w:val="00D4349C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08E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7E14"/>
    <w:rsid w:val="00E915AF"/>
    <w:rsid w:val="00E96415"/>
    <w:rsid w:val="00EA15B3"/>
    <w:rsid w:val="00EA2C83"/>
    <w:rsid w:val="00EB2358"/>
    <w:rsid w:val="00EB3EB8"/>
    <w:rsid w:val="00EB647C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77B6AD5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1B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53A20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uiPriority w:val="99"/>
    <w:rsid w:val="00653A2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653A20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E420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SG04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4-C-0017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23-SG04-C-0012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754E-7621-4B8E-A469-3744FF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560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14</cp:revision>
  <cp:lastPrinted>2013-03-08T10:15:00Z</cp:lastPrinted>
  <dcterms:created xsi:type="dcterms:W3CDTF">2024-05-17T13:58:00Z</dcterms:created>
  <dcterms:modified xsi:type="dcterms:W3CDTF">2024-05-22T09:44:00Z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