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A5874" w14:paraId="3E45D2B7" w14:textId="77777777" w:rsidTr="00306452">
        <w:trPr>
          <w:jc w:val="center"/>
        </w:trPr>
        <w:tc>
          <w:tcPr>
            <w:tcW w:w="9889" w:type="dxa"/>
            <w:gridSpan w:val="3"/>
            <w:shd w:val="clear" w:color="auto" w:fill="auto"/>
          </w:tcPr>
          <w:p w14:paraId="3E80E0F7" w14:textId="77777777" w:rsidR="00E53DCE" w:rsidRPr="007A5874" w:rsidRDefault="00A96D3A" w:rsidP="006160CB">
            <w:pPr>
              <w:spacing w:before="0"/>
              <w:jc w:val="left"/>
              <w:rPr>
                <w:rFonts w:cstheme="minorHAnsi"/>
                <w:b/>
                <w:bCs/>
                <w:color w:val="808080"/>
                <w:sz w:val="28"/>
                <w:szCs w:val="28"/>
                <w:lang w:val="es-ES"/>
              </w:rPr>
            </w:pPr>
            <w:r w:rsidRPr="007A5874">
              <w:rPr>
                <w:rFonts w:cstheme="minorHAnsi"/>
                <w:b/>
                <w:bCs/>
                <w:color w:val="808080"/>
                <w:sz w:val="28"/>
                <w:szCs w:val="28"/>
                <w:lang w:val="es-ES"/>
              </w:rPr>
              <w:t>Oficina de Radiocomunicaciones (BR)</w:t>
            </w:r>
          </w:p>
          <w:p w14:paraId="71432BA9" w14:textId="77777777" w:rsidR="00E53DCE" w:rsidRPr="007A5874" w:rsidRDefault="00E53DCE" w:rsidP="006160CB">
            <w:pPr>
              <w:spacing w:before="0"/>
              <w:jc w:val="left"/>
              <w:rPr>
                <w:rFonts w:cstheme="minorHAnsi"/>
                <w:b/>
                <w:bCs/>
                <w:color w:val="808080"/>
                <w:sz w:val="28"/>
                <w:szCs w:val="28"/>
                <w:lang w:val="es-ES"/>
              </w:rPr>
            </w:pPr>
          </w:p>
          <w:p w14:paraId="38EEDA9F" w14:textId="77777777" w:rsidR="00E53DCE" w:rsidRPr="007A5874" w:rsidRDefault="00E53DCE" w:rsidP="006160CB">
            <w:pPr>
              <w:spacing w:before="0"/>
              <w:jc w:val="left"/>
              <w:rPr>
                <w:rFonts w:cs="Times New Roman Bold"/>
                <w:b/>
                <w:bCs/>
                <w:color w:val="808080"/>
                <w:sz w:val="28"/>
                <w:szCs w:val="28"/>
                <w:lang w:val="es-ES"/>
              </w:rPr>
            </w:pPr>
          </w:p>
        </w:tc>
      </w:tr>
      <w:tr w:rsidR="00E53DCE" w:rsidRPr="007A5874" w14:paraId="50861DF5" w14:textId="77777777" w:rsidTr="00306452">
        <w:trPr>
          <w:jc w:val="center"/>
        </w:trPr>
        <w:tc>
          <w:tcPr>
            <w:tcW w:w="7054" w:type="dxa"/>
            <w:gridSpan w:val="2"/>
            <w:shd w:val="clear" w:color="auto" w:fill="auto"/>
          </w:tcPr>
          <w:p w14:paraId="17B17EDD" w14:textId="77777777" w:rsidR="00E53DCE" w:rsidRPr="007A5874" w:rsidRDefault="00A96D3A" w:rsidP="006160CB">
            <w:pPr>
              <w:spacing w:before="0"/>
              <w:jc w:val="left"/>
              <w:rPr>
                <w:szCs w:val="24"/>
                <w:lang w:val="es-ES"/>
              </w:rPr>
            </w:pPr>
            <w:r w:rsidRPr="007A5874">
              <w:rPr>
                <w:szCs w:val="24"/>
                <w:lang w:val="es-ES"/>
              </w:rPr>
              <w:t>Circular Administrativa</w:t>
            </w:r>
          </w:p>
          <w:p w14:paraId="0F5CA999" w14:textId="16F1B8D0" w:rsidR="00E53DCE" w:rsidRPr="007A5874" w:rsidRDefault="00E53DCE" w:rsidP="006160CB">
            <w:pPr>
              <w:spacing w:before="0"/>
              <w:jc w:val="left"/>
              <w:rPr>
                <w:b/>
                <w:bCs/>
                <w:szCs w:val="24"/>
                <w:lang w:val="es-ES"/>
              </w:rPr>
            </w:pPr>
            <w:r w:rsidRPr="007A5874">
              <w:rPr>
                <w:b/>
                <w:bCs/>
                <w:szCs w:val="24"/>
                <w:lang w:val="es-ES"/>
              </w:rPr>
              <w:t>CA</w:t>
            </w:r>
            <w:r w:rsidR="00EB61B3" w:rsidRPr="007A5874">
              <w:rPr>
                <w:b/>
                <w:bCs/>
                <w:szCs w:val="24"/>
                <w:lang w:val="es-ES"/>
              </w:rPr>
              <w:t>CE</w:t>
            </w:r>
            <w:r w:rsidRPr="007A5874">
              <w:rPr>
                <w:b/>
                <w:bCs/>
                <w:szCs w:val="24"/>
                <w:lang w:val="es-ES"/>
              </w:rPr>
              <w:t>/</w:t>
            </w:r>
            <w:r w:rsidR="00FD5BBB" w:rsidRPr="007A5874">
              <w:rPr>
                <w:b/>
                <w:bCs/>
                <w:szCs w:val="24"/>
                <w:lang w:val="es-ES"/>
              </w:rPr>
              <w:t>1100</w:t>
            </w:r>
          </w:p>
        </w:tc>
        <w:tc>
          <w:tcPr>
            <w:tcW w:w="2835" w:type="dxa"/>
            <w:shd w:val="clear" w:color="auto" w:fill="auto"/>
          </w:tcPr>
          <w:p w14:paraId="70E306BB" w14:textId="3BE3F986" w:rsidR="00E53DCE" w:rsidRPr="007A5874" w:rsidRDefault="00FC2F13" w:rsidP="006160CB">
            <w:pPr>
              <w:spacing w:before="0"/>
              <w:jc w:val="right"/>
              <w:rPr>
                <w:szCs w:val="24"/>
                <w:highlight w:val="yellow"/>
                <w:lang w:val="es-ES"/>
              </w:rPr>
            </w:pPr>
            <w:r w:rsidRPr="007A5874">
              <w:rPr>
                <w:rFonts w:cs="Arial"/>
                <w:szCs w:val="24"/>
                <w:lang w:val="es-ES"/>
              </w:rPr>
              <w:t>15</w:t>
            </w:r>
            <w:r w:rsidR="00FD5BBB" w:rsidRPr="007A5874">
              <w:rPr>
                <w:rFonts w:cs="Arial"/>
                <w:szCs w:val="24"/>
                <w:lang w:val="es-ES"/>
              </w:rPr>
              <w:t xml:space="preserve"> de enero de 2024</w:t>
            </w:r>
          </w:p>
        </w:tc>
      </w:tr>
      <w:tr w:rsidR="00E53DCE" w:rsidRPr="007A5874" w14:paraId="3766C397" w14:textId="77777777" w:rsidTr="00306452">
        <w:trPr>
          <w:jc w:val="center"/>
        </w:trPr>
        <w:tc>
          <w:tcPr>
            <w:tcW w:w="9889" w:type="dxa"/>
            <w:gridSpan w:val="3"/>
            <w:shd w:val="clear" w:color="auto" w:fill="auto"/>
          </w:tcPr>
          <w:p w14:paraId="44381ABE" w14:textId="77777777" w:rsidR="00E53DCE" w:rsidRPr="007A5874" w:rsidRDefault="00E53DCE" w:rsidP="006160CB">
            <w:pPr>
              <w:spacing w:before="0"/>
              <w:jc w:val="left"/>
              <w:rPr>
                <w:rFonts w:cs="Arial"/>
                <w:szCs w:val="24"/>
                <w:lang w:val="es-ES"/>
              </w:rPr>
            </w:pPr>
          </w:p>
        </w:tc>
      </w:tr>
      <w:tr w:rsidR="00E53DCE" w:rsidRPr="007A5874" w14:paraId="14123F41" w14:textId="77777777" w:rsidTr="00306452">
        <w:trPr>
          <w:jc w:val="center"/>
        </w:trPr>
        <w:tc>
          <w:tcPr>
            <w:tcW w:w="9889" w:type="dxa"/>
            <w:gridSpan w:val="3"/>
            <w:shd w:val="clear" w:color="auto" w:fill="auto"/>
          </w:tcPr>
          <w:p w14:paraId="7C6A4627" w14:textId="77777777" w:rsidR="00E53DCE" w:rsidRPr="007A5874" w:rsidRDefault="00E53DCE" w:rsidP="006160CB">
            <w:pPr>
              <w:spacing w:before="0"/>
              <w:jc w:val="left"/>
              <w:rPr>
                <w:szCs w:val="24"/>
                <w:lang w:val="es-ES"/>
              </w:rPr>
            </w:pPr>
          </w:p>
        </w:tc>
      </w:tr>
      <w:tr w:rsidR="00E53DCE" w:rsidRPr="005B292B" w14:paraId="05E1A4DB" w14:textId="77777777" w:rsidTr="00306452">
        <w:trPr>
          <w:jc w:val="center"/>
        </w:trPr>
        <w:tc>
          <w:tcPr>
            <w:tcW w:w="9889" w:type="dxa"/>
            <w:gridSpan w:val="3"/>
            <w:shd w:val="clear" w:color="auto" w:fill="auto"/>
          </w:tcPr>
          <w:p w14:paraId="1B116879" w14:textId="33E8517B" w:rsidR="00E53DCE" w:rsidRPr="007A5874" w:rsidRDefault="00C1082E" w:rsidP="00C1082E">
            <w:pPr>
              <w:spacing w:before="0"/>
              <w:jc w:val="left"/>
              <w:rPr>
                <w:b/>
                <w:bCs/>
                <w:szCs w:val="24"/>
                <w:lang w:val="es-ES"/>
              </w:rPr>
            </w:pPr>
            <w:r w:rsidRPr="007A5874">
              <w:rPr>
                <w:b/>
                <w:lang w:val="es-ES"/>
              </w:rPr>
              <w:t xml:space="preserve">A las Administraciones de los Estados Miembros de la UIT, a los Miembros del Sector de Radiocomunicaciones, a los Asociados del UIT-R </w:t>
            </w:r>
            <w:r w:rsidR="00071E1A" w:rsidRPr="007A5874">
              <w:rPr>
                <w:b/>
                <w:lang w:val="es-ES"/>
              </w:rPr>
              <w:t xml:space="preserve">y a las Instituciones Académicas de la UIT </w:t>
            </w:r>
            <w:r w:rsidRPr="007A5874">
              <w:rPr>
                <w:b/>
                <w:lang w:val="es-ES"/>
              </w:rPr>
              <w:t xml:space="preserve">que participan en los trabajos de la Comisión de Estudio </w:t>
            </w:r>
            <w:r w:rsidR="004C3B00" w:rsidRPr="007A5874">
              <w:rPr>
                <w:b/>
                <w:lang w:val="es-ES"/>
              </w:rPr>
              <w:t>7</w:t>
            </w:r>
            <w:r w:rsidRPr="007A5874">
              <w:rPr>
                <w:b/>
                <w:lang w:val="es-ES"/>
              </w:rPr>
              <w:t xml:space="preserve"> de Radiocomunicaciones</w:t>
            </w:r>
          </w:p>
        </w:tc>
      </w:tr>
      <w:tr w:rsidR="00E53DCE" w:rsidRPr="005B292B" w14:paraId="4B400F34" w14:textId="77777777" w:rsidTr="00306452">
        <w:trPr>
          <w:jc w:val="center"/>
        </w:trPr>
        <w:tc>
          <w:tcPr>
            <w:tcW w:w="9889" w:type="dxa"/>
            <w:gridSpan w:val="3"/>
            <w:shd w:val="clear" w:color="auto" w:fill="auto"/>
          </w:tcPr>
          <w:p w14:paraId="3C7E1031" w14:textId="77777777" w:rsidR="00E53DCE" w:rsidRPr="007A5874" w:rsidRDefault="00E53DCE" w:rsidP="006160CB">
            <w:pPr>
              <w:spacing w:before="0"/>
              <w:jc w:val="left"/>
              <w:rPr>
                <w:szCs w:val="24"/>
                <w:lang w:val="es-ES"/>
              </w:rPr>
            </w:pPr>
          </w:p>
        </w:tc>
      </w:tr>
      <w:tr w:rsidR="00E53DCE" w:rsidRPr="005B292B" w14:paraId="1170C8DA" w14:textId="77777777" w:rsidTr="00306452">
        <w:trPr>
          <w:jc w:val="center"/>
        </w:trPr>
        <w:tc>
          <w:tcPr>
            <w:tcW w:w="9889" w:type="dxa"/>
            <w:gridSpan w:val="3"/>
            <w:shd w:val="clear" w:color="auto" w:fill="auto"/>
          </w:tcPr>
          <w:p w14:paraId="73940AD7" w14:textId="77777777" w:rsidR="00E53DCE" w:rsidRPr="007A5874" w:rsidRDefault="00E53DCE" w:rsidP="006160CB">
            <w:pPr>
              <w:spacing w:before="0"/>
              <w:jc w:val="left"/>
              <w:rPr>
                <w:szCs w:val="24"/>
                <w:lang w:val="es-ES"/>
              </w:rPr>
            </w:pPr>
          </w:p>
        </w:tc>
      </w:tr>
      <w:tr w:rsidR="00E53DCE" w:rsidRPr="005B292B" w14:paraId="7C08DDAD" w14:textId="77777777" w:rsidTr="00306452">
        <w:trPr>
          <w:jc w:val="center"/>
        </w:trPr>
        <w:tc>
          <w:tcPr>
            <w:tcW w:w="1526" w:type="dxa"/>
            <w:shd w:val="clear" w:color="auto" w:fill="auto"/>
          </w:tcPr>
          <w:p w14:paraId="2ED618A8" w14:textId="77777777" w:rsidR="00E53DCE" w:rsidRPr="007A5874" w:rsidRDefault="00EB61B3" w:rsidP="006160CB">
            <w:pPr>
              <w:tabs>
                <w:tab w:val="clear" w:pos="1588"/>
                <w:tab w:val="left" w:pos="1560"/>
              </w:tabs>
              <w:spacing w:before="0"/>
              <w:jc w:val="left"/>
              <w:rPr>
                <w:szCs w:val="24"/>
                <w:lang w:val="es-ES"/>
              </w:rPr>
            </w:pPr>
            <w:r w:rsidRPr="007A5874">
              <w:rPr>
                <w:szCs w:val="24"/>
                <w:lang w:val="es-ES"/>
              </w:rPr>
              <w:t>Asunto</w:t>
            </w:r>
            <w:r w:rsidR="00A96D3A" w:rsidRPr="007A5874">
              <w:rPr>
                <w:szCs w:val="24"/>
                <w:lang w:val="es-ES"/>
              </w:rPr>
              <w:t>:</w:t>
            </w:r>
          </w:p>
        </w:tc>
        <w:tc>
          <w:tcPr>
            <w:tcW w:w="8363" w:type="dxa"/>
            <w:gridSpan w:val="2"/>
            <w:vMerge w:val="restart"/>
            <w:shd w:val="clear" w:color="auto" w:fill="auto"/>
          </w:tcPr>
          <w:p w14:paraId="64749DB2" w14:textId="774E0B76" w:rsidR="00555A7B" w:rsidRPr="007A5874" w:rsidRDefault="00555A7B" w:rsidP="00555A7B">
            <w:pPr>
              <w:spacing w:before="0"/>
              <w:jc w:val="left"/>
              <w:rPr>
                <w:b/>
                <w:bCs/>
                <w:szCs w:val="24"/>
                <w:lang w:val="es-ES"/>
              </w:rPr>
            </w:pPr>
            <w:r w:rsidRPr="007A5874">
              <w:rPr>
                <w:b/>
                <w:bCs/>
                <w:szCs w:val="24"/>
                <w:lang w:val="es-ES"/>
              </w:rPr>
              <w:t xml:space="preserve">Comisión de Estudio </w:t>
            </w:r>
            <w:r w:rsidR="004C3B00" w:rsidRPr="007A5874">
              <w:rPr>
                <w:rStyle w:val="Style1"/>
                <w:szCs w:val="24"/>
                <w:lang w:val="es-ES"/>
              </w:rPr>
              <w:t>7</w:t>
            </w:r>
            <w:r w:rsidRPr="007A5874">
              <w:rPr>
                <w:b/>
                <w:bCs/>
                <w:szCs w:val="24"/>
                <w:lang w:val="es-ES"/>
              </w:rPr>
              <w:t xml:space="preserve"> de Radiocomunicaciones </w:t>
            </w:r>
            <w:r w:rsidR="004C3B00" w:rsidRPr="007A5874">
              <w:rPr>
                <w:rStyle w:val="Style2"/>
                <w:szCs w:val="24"/>
                <w:lang w:val="es-ES"/>
              </w:rPr>
              <w:t>(Servicios científicos)</w:t>
            </w:r>
          </w:p>
          <w:p w14:paraId="1CE0EDA0" w14:textId="25432DAA" w:rsidR="00E53DCE" w:rsidRPr="007A5874" w:rsidRDefault="00C1082E" w:rsidP="00E95F5C">
            <w:pPr>
              <w:spacing w:before="120"/>
              <w:ind w:left="794" w:hanging="794"/>
              <w:jc w:val="left"/>
              <w:rPr>
                <w:b/>
                <w:bCs/>
                <w:szCs w:val="24"/>
                <w:lang w:val="es-ES"/>
              </w:rPr>
            </w:pPr>
            <w:r w:rsidRPr="007A5874">
              <w:rPr>
                <w:b/>
                <w:bCs/>
                <w:lang w:val="es-ES"/>
              </w:rPr>
              <w:t>–</w:t>
            </w:r>
            <w:r w:rsidRPr="007A5874">
              <w:rPr>
                <w:b/>
                <w:bCs/>
                <w:lang w:val="es-ES"/>
              </w:rPr>
              <w:tab/>
              <w:t xml:space="preserve">Adopción de </w:t>
            </w:r>
            <w:r w:rsidR="004C3B00" w:rsidRPr="007A5874">
              <w:rPr>
                <w:b/>
                <w:bCs/>
                <w:lang w:val="es-ES"/>
              </w:rPr>
              <w:t>4</w:t>
            </w:r>
            <w:r w:rsidRPr="007A5874">
              <w:rPr>
                <w:b/>
                <w:bCs/>
                <w:lang w:val="es-ES"/>
              </w:rPr>
              <w:t xml:space="preserve"> Recomendaci</w:t>
            </w:r>
            <w:r w:rsidR="004C3B00" w:rsidRPr="007A5874">
              <w:rPr>
                <w:b/>
                <w:bCs/>
                <w:lang w:val="es-ES"/>
              </w:rPr>
              <w:t>o</w:t>
            </w:r>
            <w:r w:rsidRPr="007A5874">
              <w:rPr>
                <w:b/>
                <w:bCs/>
                <w:lang w:val="es-ES"/>
              </w:rPr>
              <w:t xml:space="preserve">nes </w:t>
            </w:r>
            <w:r w:rsidR="002E6B72" w:rsidRPr="007A5874">
              <w:rPr>
                <w:b/>
                <w:bCs/>
                <w:lang w:val="es-ES"/>
              </w:rPr>
              <w:t xml:space="preserve">UIT-R </w:t>
            </w:r>
            <w:r w:rsidRPr="007A5874">
              <w:rPr>
                <w:b/>
                <w:bCs/>
                <w:lang w:val="es-ES"/>
              </w:rPr>
              <w:t>revisadas y su aprobación simultánea por correspondencia de conformidad con el § A2.6.2.4 de la Resolución UIT</w:t>
            </w:r>
            <w:r w:rsidRPr="007A5874">
              <w:rPr>
                <w:b/>
                <w:bCs/>
                <w:lang w:val="es-ES"/>
              </w:rPr>
              <w:noBreakHyphen/>
              <w:t>R 1</w:t>
            </w:r>
            <w:r w:rsidRPr="007A5874">
              <w:rPr>
                <w:b/>
                <w:bCs/>
                <w:lang w:val="es-ES"/>
              </w:rPr>
              <w:noBreakHyphen/>
            </w:r>
            <w:r w:rsidR="00071E1A" w:rsidRPr="007A5874">
              <w:rPr>
                <w:b/>
                <w:bCs/>
                <w:lang w:val="es-ES"/>
              </w:rPr>
              <w:t>9</w:t>
            </w:r>
            <w:r w:rsidRPr="007A5874">
              <w:rPr>
                <w:b/>
                <w:bCs/>
                <w:lang w:val="es-ES"/>
              </w:rPr>
              <w:t xml:space="preserve"> (Procedimiento de adopción y aprobación simultáneas por correspondencia)</w:t>
            </w:r>
          </w:p>
        </w:tc>
      </w:tr>
      <w:tr w:rsidR="00E53DCE" w:rsidRPr="005B292B" w14:paraId="7E45AADF" w14:textId="77777777" w:rsidTr="00306452">
        <w:trPr>
          <w:jc w:val="center"/>
        </w:trPr>
        <w:tc>
          <w:tcPr>
            <w:tcW w:w="1526" w:type="dxa"/>
            <w:shd w:val="clear" w:color="auto" w:fill="auto"/>
          </w:tcPr>
          <w:p w14:paraId="7B2D2BC8" w14:textId="77777777" w:rsidR="00E53DCE" w:rsidRPr="007A5874"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EF59444" w14:textId="77777777" w:rsidR="00E53DCE" w:rsidRPr="007A5874" w:rsidRDefault="00E53DCE" w:rsidP="006160CB">
            <w:pPr>
              <w:tabs>
                <w:tab w:val="clear" w:pos="1588"/>
                <w:tab w:val="left" w:pos="1560"/>
              </w:tabs>
              <w:spacing w:before="0"/>
              <w:rPr>
                <w:b/>
                <w:bCs/>
                <w:szCs w:val="24"/>
                <w:lang w:val="es-ES"/>
              </w:rPr>
            </w:pPr>
          </w:p>
        </w:tc>
      </w:tr>
      <w:tr w:rsidR="00E53DCE" w:rsidRPr="005B292B" w14:paraId="75987B89" w14:textId="77777777" w:rsidTr="00306452">
        <w:trPr>
          <w:jc w:val="center"/>
        </w:trPr>
        <w:tc>
          <w:tcPr>
            <w:tcW w:w="1526" w:type="dxa"/>
            <w:shd w:val="clear" w:color="auto" w:fill="auto"/>
          </w:tcPr>
          <w:p w14:paraId="51B939BA" w14:textId="77777777" w:rsidR="00E53DCE" w:rsidRPr="007A5874"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9E87334" w14:textId="77777777" w:rsidR="00E53DCE" w:rsidRPr="007A5874" w:rsidRDefault="00E53DCE" w:rsidP="006160CB">
            <w:pPr>
              <w:tabs>
                <w:tab w:val="clear" w:pos="1588"/>
                <w:tab w:val="left" w:pos="1560"/>
              </w:tabs>
              <w:spacing w:before="0"/>
              <w:rPr>
                <w:b/>
                <w:bCs/>
                <w:szCs w:val="24"/>
                <w:lang w:val="es-ES"/>
              </w:rPr>
            </w:pPr>
          </w:p>
        </w:tc>
      </w:tr>
      <w:tr w:rsidR="00E53DCE" w:rsidRPr="005B292B" w14:paraId="1D9878B5" w14:textId="77777777" w:rsidTr="00306452">
        <w:trPr>
          <w:jc w:val="center"/>
        </w:trPr>
        <w:tc>
          <w:tcPr>
            <w:tcW w:w="9889" w:type="dxa"/>
            <w:gridSpan w:val="3"/>
            <w:shd w:val="clear" w:color="auto" w:fill="auto"/>
          </w:tcPr>
          <w:p w14:paraId="75C83B51" w14:textId="77777777" w:rsidR="00E53DCE" w:rsidRPr="007A5874" w:rsidRDefault="00E53DCE" w:rsidP="00E53DCE">
            <w:pPr>
              <w:tabs>
                <w:tab w:val="clear" w:pos="1588"/>
                <w:tab w:val="left" w:pos="1560"/>
              </w:tabs>
              <w:spacing w:before="0"/>
              <w:jc w:val="left"/>
              <w:rPr>
                <w:szCs w:val="24"/>
                <w:lang w:val="es-ES"/>
              </w:rPr>
            </w:pPr>
          </w:p>
        </w:tc>
      </w:tr>
    </w:tbl>
    <w:p w14:paraId="7D5B68FA" w14:textId="4D461428" w:rsidR="00C1082E" w:rsidRPr="007A5874" w:rsidRDefault="00C1082E" w:rsidP="0006144F">
      <w:pPr>
        <w:pStyle w:val="Normalaftertitle"/>
        <w:spacing w:before="360"/>
        <w:rPr>
          <w:lang w:val="es-ES"/>
        </w:rPr>
      </w:pPr>
      <w:r w:rsidRPr="007A5874">
        <w:rPr>
          <w:lang w:val="es-ES"/>
        </w:rPr>
        <w:t xml:space="preserve">Mediante la Circular Administrativa </w:t>
      </w:r>
      <w:hyperlink r:id="rId8" w:history="1">
        <w:r w:rsidRPr="007A5874">
          <w:rPr>
            <w:rStyle w:val="Hyperlink"/>
            <w:lang w:val="es-ES"/>
          </w:rPr>
          <w:t>CACE/</w:t>
        </w:r>
        <w:r w:rsidR="004C3B00" w:rsidRPr="007A5874">
          <w:rPr>
            <w:rStyle w:val="Hyperlink"/>
            <w:lang w:val="es-ES"/>
          </w:rPr>
          <w:t>1086</w:t>
        </w:r>
      </w:hyperlink>
      <w:r w:rsidRPr="007A5874">
        <w:rPr>
          <w:lang w:val="es-ES"/>
        </w:rPr>
        <w:t xml:space="preserve"> de </w:t>
      </w:r>
      <w:r w:rsidR="004C3B00" w:rsidRPr="007A5874">
        <w:rPr>
          <w:lang w:val="es-ES"/>
        </w:rPr>
        <w:t>30 de octubre</w:t>
      </w:r>
      <w:r w:rsidRPr="007A5874">
        <w:rPr>
          <w:lang w:val="es-ES"/>
        </w:rPr>
        <w:t xml:space="preserve"> de 20</w:t>
      </w:r>
      <w:r w:rsidR="004C3B00" w:rsidRPr="007A5874">
        <w:rPr>
          <w:lang w:val="es-ES"/>
        </w:rPr>
        <w:t>23</w:t>
      </w:r>
      <w:r w:rsidRPr="007A5874">
        <w:rPr>
          <w:lang w:val="es-ES"/>
        </w:rPr>
        <w:t>, se presentaron para adopción</w:t>
      </w:r>
      <w:r w:rsidR="0006144F" w:rsidRPr="007A5874">
        <w:rPr>
          <w:lang w:val="es-ES"/>
        </w:rPr>
        <w:t xml:space="preserve"> </w:t>
      </w:r>
      <w:r w:rsidRPr="007A5874">
        <w:rPr>
          <w:lang w:val="es-ES"/>
        </w:rPr>
        <w:t>y aprobación simultáneas por correspondencia (PAAS), con arreglo al procedim</w:t>
      </w:r>
      <w:r w:rsidR="002847C0" w:rsidRPr="007A5874">
        <w:rPr>
          <w:lang w:val="es-ES"/>
        </w:rPr>
        <w:t>iento de</w:t>
      </w:r>
      <w:r w:rsidR="0006144F" w:rsidRPr="007A5874">
        <w:rPr>
          <w:lang w:val="es-ES"/>
        </w:rPr>
        <w:t xml:space="preserve"> </w:t>
      </w:r>
      <w:r w:rsidR="002847C0" w:rsidRPr="007A5874">
        <w:rPr>
          <w:lang w:val="es-ES"/>
        </w:rPr>
        <w:t>la</w:t>
      </w:r>
      <w:r w:rsidR="0006144F" w:rsidRPr="007A5874">
        <w:rPr>
          <w:lang w:val="es-ES"/>
        </w:rPr>
        <w:t xml:space="preserve"> </w:t>
      </w:r>
      <w:r w:rsidR="002847C0" w:rsidRPr="007A5874">
        <w:rPr>
          <w:lang w:val="es-ES"/>
        </w:rPr>
        <w:t>Resolución UIT</w:t>
      </w:r>
      <w:r w:rsidR="002847C0" w:rsidRPr="007A5874">
        <w:rPr>
          <w:lang w:val="es-ES"/>
        </w:rPr>
        <w:noBreakHyphen/>
        <w:t>R 1-</w:t>
      </w:r>
      <w:r w:rsidR="00FC2F13" w:rsidRPr="007A5874">
        <w:rPr>
          <w:lang w:val="es-ES"/>
        </w:rPr>
        <w:t>8</w:t>
      </w:r>
      <w:r w:rsidRPr="007A5874">
        <w:rPr>
          <w:lang w:val="es-ES"/>
        </w:rPr>
        <w:t xml:space="preserve"> (§ </w:t>
      </w:r>
      <w:r w:rsidR="002847C0" w:rsidRPr="007A5874">
        <w:rPr>
          <w:lang w:val="es-ES"/>
        </w:rPr>
        <w:t>A2.6.2.4</w:t>
      </w:r>
      <w:r w:rsidRPr="007A5874">
        <w:rPr>
          <w:lang w:val="es-ES"/>
        </w:rPr>
        <w:t xml:space="preserve">), </w:t>
      </w:r>
      <w:r w:rsidR="004C3B00" w:rsidRPr="007A5874">
        <w:rPr>
          <w:lang w:val="es-ES"/>
        </w:rPr>
        <w:t>4</w:t>
      </w:r>
      <w:r w:rsidRPr="007A5874">
        <w:rPr>
          <w:lang w:val="es-ES"/>
        </w:rPr>
        <w:t xml:space="preserve"> proyectos de</w:t>
      </w:r>
      <w:r w:rsidR="0006144F" w:rsidRPr="007A5874">
        <w:rPr>
          <w:lang w:val="es-ES"/>
        </w:rPr>
        <w:t xml:space="preserve"> </w:t>
      </w:r>
      <w:r w:rsidRPr="007A5874">
        <w:rPr>
          <w:lang w:val="es-ES"/>
        </w:rPr>
        <w:t>Recomendación</w:t>
      </w:r>
      <w:r w:rsidR="002E6B72" w:rsidRPr="007A5874">
        <w:rPr>
          <w:lang w:val="es-ES"/>
        </w:rPr>
        <w:t xml:space="preserve"> UIT-R</w:t>
      </w:r>
      <w:r w:rsidRPr="007A5874">
        <w:rPr>
          <w:lang w:val="es-ES"/>
        </w:rPr>
        <w:t xml:space="preserve"> revisada.</w:t>
      </w:r>
    </w:p>
    <w:p w14:paraId="36D74BFC" w14:textId="088A6281" w:rsidR="00C1082E" w:rsidRPr="007A5874" w:rsidRDefault="00C1082E" w:rsidP="0006144F">
      <w:pPr>
        <w:rPr>
          <w:lang w:val="es-ES"/>
        </w:rPr>
      </w:pPr>
      <w:r w:rsidRPr="007A5874">
        <w:rPr>
          <w:lang w:val="es-ES"/>
        </w:rPr>
        <w:t>Las condiciones que determinan este procedimiento se cumplieron el</w:t>
      </w:r>
      <w:r w:rsidR="0006144F" w:rsidRPr="007A5874">
        <w:rPr>
          <w:lang w:val="es-ES"/>
        </w:rPr>
        <w:t xml:space="preserve"> </w:t>
      </w:r>
      <w:r w:rsidR="004C3B00" w:rsidRPr="007A5874">
        <w:rPr>
          <w:lang w:val="es-ES"/>
        </w:rPr>
        <w:t>30 de diciembre</w:t>
      </w:r>
      <w:r w:rsidRPr="007A5874">
        <w:rPr>
          <w:lang w:val="es-ES"/>
        </w:rPr>
        <w:t xml:space="preserve"> de</w:t>
      </w:r>
      <w:r w:rsidR="0006144F" w:rsidRPr="007A5874">
        <w:rPr>
          <w:lang w:val="es-ES"/>
        </w:rPr>
        <w:t xml:space="preserve"> </w:t>
      </w:r>
      <w:r w:rsidRPr="007A5874">
        <w:rPr>
          <w:lang w:val="es-ES"/>
        </w:rPr>
        <w:t>20</w:t>
      </w:r>
      <w:r w:rsidR="004C3B00" w:rsidRPr="007A5874">
        <w:rPr>
          <w:lang w:val="es-ES"/>
        </w:rPr>
        <w:t>23</w:t>
      </w:r>
      <w:r w:rsidRPr="007A5874">
        <w:rPr>
          <w:lang w:val="es-ES"/>
        </w:rPr>
        <w:t xml:space="preserve">. </w:t>
      </w:r>
    </w:p>
    <w:p w14:paraId="7C8AE47A" w14:textId="18072A38" w:rsidR="00C1082E" w:rsidRPr="007A5874" w:rsidRDefault="00C1082E" w:rsidP="0006144F">
      <w:pPr>
        <w:rPr>
          <w:lang w:val="es-ES"/>
        </w:rPr>
      </w:pPr>
      <w:r w:rsidRPr="007A5874">
        <w:rPr>
          <w:lang w:val="es-ES"/>
        </w:rPr>
        <w:t>Las Recomendaci</w:t>
      </w:r>
      <w:r w:rsidR="004C3B00" w:rsidRPr="007A5874">
        <w:rPr>
          <w:lang w:val="es-ES"/>
        </w:rPr>
        <w:t>o</w:t>
      </w:r>
      <w:r w:rsidRPr="007A5874">
        <w:rPr>
          <w:lang w:val="es-ES"/>
        </w:rPr>
        <w:t>nes aprobadas serán publicadas por la UIT, y en el Anexo a la presente Circular figuran sus títulos, con sus números asignados.</w:t>
      </w:r>
    </w:p>
    <w:p w14:paraId="120FF500" w14:textId="4642DBE5" w:rsidR="00C1082E" w:rsidRPr="007A5874" w:rsidRDefault="00636330" w:rsidP="005B292B">
      <w:pPr>
        <w:tabs>
          <w:tab w:val="left" w:pos="4820"/>
        </w:tabs>
        <w:spacing w:before="1200"/>
        <w:jc w:val="left"/>
        <w:rPr>
          <w:bCs/>
          <w:lang w:val="es-ES"/>
        </w:rPr>
      </w:pPr>
      <w:r w:rsidRPr="007A5874">
        <w:rPr>
          <w:bCs/>
          <w:lang w:val="es-ES"/>
        </w:rPr>
        <w:t>Mario Maniewicz</w:t>
      </w:r>
      <w:r w:rsidR="005F5351" w:rsidRPr="007A5874">
        <w:rPr>
          <w:bCs/>
          <w:lang w:val="es-ES"/>
        </w:rPr>
        <w:br/>
      </w:r>
      <w:r w:rsidR="00C1082E" w:rsidRPr="007A5874">
        <w:rPr>
          <w:bCs/>
          <w:lang w:val="es-ES"/>
        </w:rPr>
        <w:t>Director</w:t>
      </w:r>
    </w:p>
    <w:p w14:paraId="0936CD48" w14:textId="4EC365FC" w:rsidR="00C1082E" w:rsidRPr="007A5874" w:rsidRDefault="00C1082E" w:rsidP="00DB6E88">
      <w:pPr>
        <w:tabs>
          <w:tab w:val="left" w:pos="4820"/>
        </w:tabs>
        <w:spacing w:before="2400"/>
        <w:rPr>
          <w:bCs/>
          <w:lang w:val="es-ES"/>
        </w:rPr>
      </w:pPr>
      <w:r w:rsidRPr="007A5874">
        <w:rPr>
          <w:b/>
          <w:lang w:val="es-ES"/>
        </w:rPr>
        <w:t>Anexo:</w:t>
      </w:r>
      <w:r w:rsidRPr="007A5874">
        <w:rPr>
          <w:bCs/>
          <w:lang w:val="es-ES"/>
        </w:rPr>
        <w:t xml:space="preserve"> </w:t>
      </w:r>
      <w:r w:rsidR="004C3B00" w:rsidRPr="007A5874">
        <w:rPr>
          <w:bCs/>
          <w:lang w:val="es-ES"/>
        </w:rPr>
        <w:t>1</w:t>
      </w:r>
    </w:p>
    <w:p w14:paraId="0D2615AE" w14:textId="77777777" w:rsidR="00636330" w:rsidRPr="007A5874" w:rsidRDefault="0063633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
        </w:rPr>
      </w:pPr>
      <w:r w:rsidRPr="007A5874">
        <w:rPr>
          <w:lang w:val="es-ES"/>
        </w:rPr>
        <w:br w:type="page"/>
      </w:r>
    </w:p>
    <w:p w14:paraId="5D7A448C" w14:textId="6F2C85DD" w:rsidR="00C1082E" w:rsidRPr="007A5874" w:rsidRDefault="00C1082E" w:rsidP="005F5351">
      <w:pPr>
        <w:pStyle w:val="AnnexNoTitle"/>
        <w:spacing w:before="480" w:after="480"/>
        <w:rPr>
          <w:sz w:val="28"/>
          <w:szCs w:val="28"/>
          <w:lang w:val="es-ES"/>
        </w:rPr>
      </w:pPr>
      <w:r w:rsidRPr="007A5874">
        <w:rPr>
          <w:sz w:val="28"/>
          <w:szCs w:val="28"/>
          <w:lang w:val="es-ES"/>
        </w:rPr>
        <w:lastRenderedPageBreak/>
        <w:t>Anexo</w:t>
      </w:r>
      <w:r w:rsidRPr="007A5874">
        <w:rPr>
          <w:sz w:val="28"/>
          <w:szCs w:val="28"/>
          <w:lang w:val="es-ES"/>
        </w:rPr>
        <w:br/>
      </w:r>
      <w:r w:rsidRPr="007A5874">
        <w:rPr>
          <w:sz w:val="28"/>
          <w:szCs w:val="28"/>
          <w:lang w:val="es-ES"/>
        </w:rPr>
        <w:br/>
        <w:t>Títulos de las Recomendaci</w:t>
      </w:r>
      <w:r w:rsidR="004C3B00" w:rsidRPr="007A5874">
        <w:rPr>
          <w:sz w:val="28"/>
          <w:szCs w:val="28"/>
          <w:lang w:val="es-ES"/>
        </w:rPr>
        <w:t>o</w:t>
      </w:r>
      <w:r w:rsidRPr="007A5874">
        <w:rPr>
          <w:sz w:val="28"/>
          <w:szCs w:val="28"/>
          <w:lang w:val="es-ES"/>
        </w:rPr>
        <w:t xml:space="preserve">nes </w:t>
      </w:r>
      <w:r w:rsidR="002E6B72" w:rsidRPr="007A5874">
        <w:rPr>
          <w:sz w:val="28"/>
          <w:szCs w:val="28"/>
          <w:lang w:val="es-ES"/>
        </w:rPr>
        <w:t xml:space="preserve">UIT-R </w:t>
      </w:r>
      <w:r w:rsidRPr="007A5874">
        <w:rPr>
          <w:sz w:val="28"/>
          <w:szCs w:val="28"/>
          <w:lang w:val="es-ES"/>
        </w:rPr>
        <w:t>aprobadas</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5272"/>
        <w:gridCol w:w="1814"/>
      </w:tblGrid>
      <w:tr w:rsidR="00636330" w:rsidRPr="007A5874" w14:paraId="16DB6BCF" w14:textId="3917E11B" w:rsidTr="006870B9">
        <w:trPr>
          <w:jc w:val="center"/>
        </w:trPr>
        <w:tc>
          <w:tcPr>
            <w:tcW w:w="2324" w:type="dxa"/>
            <w:vAlign w:val="center"/>
          </w:tcPr>
          <w:p w14:paraId="328AF499" w14:textId="77777777" w:rsidR="00636330" w:rsidRPr="007A5874" w:rsidRDefault="00636330" w:rsidP="009A56D8">
            <w:pPr>
              <w:pStyle w:val="Tablehead"/>
              <w:rPr>
                <w:lang w:val="es-ES"/>
              </w:rPr>
            </w:pPr>
            <w:r w:rsidRPr="007A5874">
              <w:rPr>
                <w:rFonts w:eastAsia="SimSun"/>
                <w:lang w:val="es-ES"/>
              </w:rPr>
              <w:t>Recomendación</w:t>
            </w:r>
            <w:r w:rsidRPr="007A5874">
              <w:rPr>
                <w:lang w:val="es-ES"/>
              </w:rPr>
              <w:br/>
              <w:t>UIT-R</w:t>
            </w:r>
          </w:p>
        </w:tc>
        <w:tc>
          <w:tcPr>
            <w:tcW w:w="5272" w:type="dxa"/>
            <w:vAlign w:val="center"/>
          </w:tcPr>
          <w:p w14:paraId="17D66488" w14:textId="77777777" w:rsidR="00636330" w:rsidRPr="007A5874" w:rsidRDefault="00636330" w:rsidP="009A56D8">
            <w:pPr>
              <w:pStyle w:val="Tablehead"/>
              <w:rPr>
                <w:lang w:val="es-ES"/>
              </w:rPr>
            </w:pPr>
            <w:r w:rsidRPr="007A5874">
              <w:rPr>
                <w:lang w:val="es-ES"/>
              </w:rPr>
              <w:t>Título</w:t>
            </w:r>
          </w:p>
        </w:tc>
        <w:tc>
          <w:tcPr>
            <w:tcW w:w="1814" w:type="dxa"/>
            <w:vAlign w:val="center"/>
          </w:tcPr>
          <w:p w14:paraId="642393A9" w14:textId="43BD16AE" w:rsidR="00636330" w:rsidRPr="007A5874" w:rsidRDefault="00636330" w:rsidP="009A56D8">
            <w:pPr>
              <w:pStyle w:val="Tablehead"/>
              <w:rPr>
                <w:lang w:val="es-ES"/>
              </w:rPr>
            </w:pPr>
            <w:r w:rsidRPr="007A5874">
              <w:rPr>
                <w:lang w:val="es-ES"/>
              </w:rPr>
              <w:t>Doc. Núm.</w:t>
            </w:r>
          </w:p>
        </w:tc>
      </w:tr>
      <w:tr w:rsidR="004C3B00" w:rsidRPr="007A5874" w14:paraId="3D4D0FEC" w14:textId="43E4A5D7" w:rsidTr="006870B9">
        <w:trPr>
          <w:jc w:val="center"/>
        </w:trPr>
        <w:tc>
          <w:tcPr>
            <w:tcW w:w="2324" w:type="dxa"/>
            <w:vAlign w:val="center"/>
          </w:tcPr>
          <w:p w14:paraId="7AC392BA" w14:textId="0AA7DE1F" w:rsidR="004C3B00" w:rsidRPr="007A5874" w:rsidRDefault="004C3B00" w:rsidP="004C3B00">
            <w:pPr>
              <w:pStyle w:val="Tabletext"/>
              <w:jc w:val="center"/>
              <w:rPr>
                <w:lang w:val="es-ES"/>
              </w:rPr>
            </w:pPr>
            <w:r w:rsidRPr="007A5874">
              <w:rPr>
                <w:rFonts w:asciiTheme="minorHAnsi" w:hAnsiTheme="minorHAnsi" w:cstheme="minorHAnsi"/>
                <w:szCs w:val="24"/>
                <w:lang w:val="es-ES"/>
              </w:rPr>
              <w:t>RS.1263-3</w:t>
            </w:r>
          </w:p>
        </w:tc>
        <w:tc>
          <w:tcPr>
            <w:tcW w:w="5272" w:type="dxa"/>
          </w:tcPr>
          <w:p w14:paraId="3BE0E20E" w14:textId="32438196" w:rsidR="004C3B00" w:rsidRPr="007A5874" w:rsidRDefault="004C3B00" w:rsidP="004C3B00">
            <w:pPr>
              <w:pStyle w:val="Tabletext"/>
              <w:rPr>
                <w:lang w:val="es-ES"/>
              </w:rPr>
            </w:pPr>
            <w:r w:rsidRPr="007A5874">
              <w:rPr>
                <w:lang w:val="es-ES"/>
              </w:rPr>
              <w:t>Criterios de interferencia para las ayudas a la meteorología en las bandas 400,15 406 MHz y 1 668,4-1 700 MHz</w:t>
            </w:r>
          </w:p>
        </w:tc>
        <w:tc>
          <w:tcPr>
            <w:tcW w:w="1814" w:type="dxa"/>
            <w:vAlign w:val="center"/>
          </w:tcPr>
          <w:p w14:paraId="35BB1514" w14:textId="2B748F0B" w:rsidR="004C3B00" w:rsidRPr="007A5874" w:rsidRDefault="004C3B00" w:rsidP="004C3B00">
            <w:pPr>
              <w:pStyle w:val="Tabletext"/>
              <w:jc w:val="center"/>
              <w:rPr>
                <w:lang w:val="es-ES"/>
              </w:rPr>
            </w:pPr>
            <w:r w:rsidRPr="007A5874">
              <w:rPr>
                <w:rFonts w:asciiTheme="minorHAnsi" w:hAnsiTheme="minorHAnsi" w:cstheme="minorHAnsi"/>
                <w:szCs w:val="24"/>
                <w:lang w:val="es-ES"/>
              </w:rPr>
              <w:t>7/82</w:t>
            </w:r>
          </w:p>
        </w:tc>
      </w:tr>
      <w:tr w:rsidR="004C3B00" w:rsidRPr="007A5874" w14:paraId="7F86E41F" w14:textId="77777777" w:rsidTr="006870B9">
        <w:trPr>
          <w:jc w:val="center"/>
        </w:trPr>
        <w:tc>
          <w:tcPr>
            <w:tcW w:w="2324" w:type="dxa"/>
            <w:vAlign w:val="center"/>
          </w:tcPr>
          <w:p w14:paraId="6E53433F" w14:textId="6500F36C" w:rsidR="004C3B00" w:rsidRPr="007A5874" w:rsidRDefault="004C3B00" w:rsidP="004C3B00">
            <w:pPr>
              <w:pStyle w:val="Tabletext"/>
              <w:jc w:val="center"/>
              <w:rPr>
                <w:lang w:val="es-ES"/>
              </w:rPr>
            </w:pPr>
            <w:r w:rsidRPr="007A5874">
              <w:rPr>
                <w:rFonts w:asciiTheme="minorHAnsi" w:hAnsiTheme="minorHAnsi" w:cstheme="minorHAnsi"/>
                <w:lang w:val="es-ES"/>
              </w:rPr>
              <w:t>RS.1813-2</w:t>
            </w:r>
          </w:p>
        </w:tc>
        <w:tc>
          <w:tcPr>
            <w:tcW w:w="5272" w:type="dxa"/>
          </w:tcPr>
          <w:p w14:paraId="0B47C805" w14:textId="69593485" w:rsidR="004C3B00" w:rsidRPr="007A5874" w:rsidRDefault="004C3B00" w:rsidP="004C3B00">
            <w:pPr>
              <w:pStyle w:val="Tabletext"/>
              <w:rPr>
                <w:lang w:val="es-ES"/>
              </w:rPr>
            </w:pPr>
            <w:r w:rsidRPr="007A5874">
              <w:rPr>
                <w:lang w:val="es-ES"/>
              </w:rPr>
              <w:t>Diagrama de antena de referencia para sensores pasivos que funcionan en el servicio de exploración de la Tierra por satélite (pasivo) que deben utilizarse en los análisis de compatibilidad en la gama de frecuencias 1,4-450 GHz</w:t>
            </w:r>
          </w:p>
        </w:tc>
        <w:tc>
          <w:tcPr>
            <w:tcW w:w="1814" w:type="dxa"/>
            <w:vAlign w:val="center"/>
          </w:tcPr>
          <w:p w14:paraId="5BD117B2" w14:textId="31A0558A" w:rsidR="004C3B00" w:rsidRPr="007A5874" w:rsidRDefault="004C3B00" w:rsidP="004C3B00">
            <w:pPr>
              <w:pStyle w:val="Tabletext"/>
              <w:jc w:val="center"/>
              <w:rPr>
                <w:lang w:val="es-ES"/>
              </w:rPr>
            </w:pPr>
            <w:r w:rsidRPr="007A5874">
              <w:rPr>
                <w:rFonts w:asciiTheme="minorHAnsi" w:hAnsiTheme="minorHAnsi" w:cstheme="minorHAnsi"/>
                <w:lang w:val="es-ES"/>
              </w:rPr>
              <w:t>7/84(Rev.1)</w:t>
            </w:r>
          </w:p>
        </w:tc>
      </w:tr>
      <w:tr w:rsidR="004C3B00" w:rsidRPr="007A5874" w14:paraId="73EEEE24" w14:textId="77777777" w:rsidTr="006870B9">
        <w:trPr>
          <w:jc w:val="center"/>
        </w:trPr>
        <w:tc>
          <w:tcPr>
            <w:tcW w:w="2324" w:type="dxa"/>
            <w:vAlign w:val="center"/>
          </w:tcPr>
          <w:p w14:paraId="64218579" w14:textId="70875DDC" w:rsidR="004C3B00" w:rsidRPr="007A5874" w:rsidRDefault="004C3B00" w:rsidP="004C3B00">
            <w:pPr>
              <w:pStyle w:val="Tabletext"/>
              <w:jc w:val="center"/>
              <w:rPr>
                <w:lang w:val="es-ES"/>
              </w:rPr>
            </w:pPr>
            <w:r w:rsidRPr="007A5874">
              <w:rPr>
                <w:rFonts w:asciiTheme="minorHAnsi" w:hAnsiTheme="minorHAnsi" w:cstheme="minorHAnsi"/>
                <w:lang w:val="es-ES"/>
              </w:rPr>
              <w:t>RS.2105-2</w:t>
            </w:r>
          </w:p>
        </w:tc>
        <w:tc>
          <w:tcPr>
            <w:tcW w:w="5272" w:type="dxa"/>
          </w:tcPr>
          <w:p w14:paraId="750A6213" w14:textId="0C156192" w:rsidR="004C3B00" w:rsidRPr="007A5874" w:rsidRDefault="004C3B00" w:rsidP="004C3B00">
            <w:pPr>
              <w:pStyle w:val="Tabletext"/>
              <w:rPr>
                <w:lang w:val="es-ES"/>
              </w:rPr>
            </w:pPr>
            <w:r w:rsidRPr="007A5874">
              <w:rPr>
                <w:lang w:val="es-ES"/>
              </w:rPr>
              <w:t>Características técnicas y operativas típicas de los sistemas del servicio de exploración de la Tierra por satélite (activo) que utilizan atribuciones entre 432 MHz y 238 GHz</w:t>
            </w:r>
          </w:p>
        </w:tc>
        <w:tc>
          <w:tcPr>
            <w:tcW w:w="1814" w:type="dxa"/>
            <w:vAlign w:val="center"/>
          </w:tcPr>
          <w:p w14:paraId="2A615B0E" w14:textId="6EFE5FFA" w:rsidR="004C3B00" w:rsidRPr="007A5874" w:rsidRDefault="004C3B00" w:rsidP="004C3B00">
            <w:pPr>
              <w:pStyle w:val="Tabletext"/>
              <w:jc w:val="center"/>
              <w:rPr>
                <w:lang w:val="es-ES"/>
              </w:rPr>
            </w:pPr>
            <w:r w:rsidRPr="007A5874">
              <w:rPr>
                <w:rFonts w:asciiTheme="minorHAnsi" w:hAnsiTheme="minorHAnsi" w:cstheme="minorHAnsi"/>
                <w:lang w:val="es-ES"/>
              </w:rPr>
              <w:t>7/94(Rev.1)</w:t>
            </w:r>
          </w:p>
        </w:tc>
      </w:tr>
      <w:tr w:rsidR="004C3B00" w:rsidRPr="007A5874" w14:paraId="49E00492" w14:textId="77777777" w:rsidTr="006870B9">
        <w:trPr>
          <w:jc w:val="center"/>
        </w:trPr>
        <w:tc>
          <w:tcPr>
            <w:tcW w:w="2324" w:type="dxa"/>
            <w:vAlign w:val="center"/>
          </w:tcPr>
          <w:p w14:paraId="79302595" w14:textId="1428A2C8" w:rsidR="004C3B00" w:rsidRPr="007A5874" w:rsidRDefault="004C3B00" w:rsidP="004C3B00">
            <w:pPr>
              <w:pStyle w:val="Tabletext"/>
              <w:jc w:val="center"/>
              <w:rPr>
                <w:lang w:val="es-ES"/>
              </w:rPr>
            </w:pPr>
            <w:r w:rsidRPr="007A5874">
              <w:rPr>
                <w:rFonts w:asciiTheme="minorHAnsi" w:hAnsiTheme="minorHAnsi" w:cstheme="minorHAnsi"/>
                <w:lang w:val="es-ES"/>
              </w:rPr>
              <w:t>RS.1166-5</w:t>
            </w:r>
          </w:p>
        </w:tc>
        <w:tc>
          <w:tcPr>
            <w:tcW w:w="5272" w:type="dxa"/>
          </w:tcPr>
          <w:p w14:paraId="471ECCE6" w14:textId="4D1B7993" w:rsidR="004C3B00" w:rsidRPr="007A5874" w:rsidRDefault="004C3B00" w:rsidP="004C3B00">
            <w:pPr>
              <w:pStyle w:val="Tabletext"/>
              <w:rPr>
                <w:lang w:val="es-ES"/>
              </w:rPr>
            </w:pPr>
            <w:r w:rsidRPr="007A5874">
              <w:rPr>
                <w:lang w:val="es-ES"/>
              </w:rPr>
              <w:t>Criterios de calidad de funcionamiento y de interferencia para sensores activos a bordo de vehículos espaciales</w:t>
            </w:r>
          </w:p>
        </w:tc>
        <w:tc>
          <w:tcPr>
            <w:tcW w:w="1814" w:type="dxa"/>
            <w:vAlign w:val="center"/>
          </w:tcPr>
          <w:p w14:paraId="03A7727E" w14:textId="2FB4F9A6" w:rsidR="004C3B00" w:rsidRPr="007A5874" w:rsidRDefault="004C3B00" w:rsidP="004C3B00">
            <w:pPr>
              <w:pStyle w:val="Tabletext"/>
              <w:jc w:val="center"/>
              <w:rPr>
                <w:lang w:val="es-ES"/>
              </w:rPr>
            </w:pPr>
            <w:r w:rsidRPr="007A5874">
              <w:rPr>
                <w:rFonts w:asciiTheme="minorHAnsi" w:hAnsiTheme="minorHAnsi" w:cstheme="minorHAnsi"/>
                <w:lang w:val="es-ES"/>
              </w:rPr>
              <w:t>7/95(Rev.1)</w:t>
            </w:r>
          </w:p>
        </w:tc>
      </w:tr>
    </w:tbl>
    <w:p w14:paraId="6894573D" w14:textId="77777777" w:rsidR="00D41B80" w:rsidRPr="007A5874" w:rsidRDefault="00D41B80" w:rsidP="00D41B80">
      <w:pPr>
        <w:pStyle w:val="Reasons"/>
        <w:rPr>
          <w:lang w:val="es-ES"/>
        </w:rPr>
      </w:pPr>
    </w:p>
    <w:p w14:paraId="0470C49D" w14:textId="77777777" w:rsidR="00C1082E" w:rsidRPr="007A5874" w:rsidRDefault="00C1082E" w:rsidP="00C1082E">
      <w:pPr>
        <w:jc w:val="center"/>
        <w:rPr>
          <w:lang w:val="es-ES"/>
        </w:rPr>
      </w:pPr>
      <w:r w:rsidRPr="007A5874">
        <w:rPr>
          <w:lang w:val="es-ES"/>
        </w:rPr>
        <w:t>______________</w:t>
      </w:r>
    </w:p>
    <w:sectPr w:rsidR="00C1082E" w:rsidRPr="007A5874"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530D" w14:textId="77777777" w:rsidR="00EB61B3" w:rsidRDefault="00EB61B3">
      <w:r>
        <w:separator/>
      </w:r>
    </w:p>
  </w:endnote>
  <w:endnote w:type="continuationSeparator" w:id="0">
    <w:p w14:paraId="33654232" w14:textId="77777777" w:rsidR="00EB61B3" w:rsidRDefault="00E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F52A" w14:textId="219AD946" w:rsidR="00A80EFE" w:rsidRPr="0095061C" w:rsidRDefault="00220D18" w:rsidP="00220D18">
    <w:pPr>
      <w:pStyle w:val="FirstFooter"/>
      <w:spacing w:line="240" w:lineRule="auto"/>
      <w:ind w:left="-397" w:right="-397"/>
      <w:jc w:val="center"/>
      <w:rPr>
        <w:color w:val="4F81BD" w:themeColor="accent1"/>
        <w:sz w:val="19"/>
        <w:szCs w:val="19"/>
        <w:lang w:val="es-ES"/>
      </w:rPr>
    </w:pPr>
    <w:r w:rsidRPr="0095061C">
      <w:rPr>
        <w:color w:val="4F81BD" w:themeColor="accent1"/>
        <w:sz w:val="19"/>
        <w:szCs w:val="19"/>
        <w:lang w:val="es-ES"/>
      </w:rPr>
      <w:t>Unión Internacional de Telecomunicaciones • Place des Nations, CH</w:t>
    </w:r>
    <w:r w:rsidRPr="0095061C">
      <w:rPr>
        <w:color w:val="4F81BD" w:themeColor="accent1"/>
        <w:sz w:val="19"/>
        <w:szCs w:val="19"/>
        <w:lang w:val="es-ES"/>
      </w:rPr>
      <w:noBreakHyphen/>
      <w:t xml:space="preserve">1211 Ginebra 20, Suiza • </w:t>
    </w:r>
    <w:r w:rsidRPr="0095061C">
      <w:rPr>
        <w:color w:val="4F81BD" w:themeColor="accent1"/>
        <w:sz w:val="19"/>
        <w:szCs w:val="19"/>
        <w:lang w:val="es-ES"/>
      </w:rPr>
      <w:br/>
      <w:t>Tel</w:t>
    </w:r>
    <w:r w:rsidR="00B552D7" w:rsidRPr="0095061C">
      <w:rPr>
        <w:color w:val="4F81BD" w:themeColor="accent1"/>
        <w:sz w:val="19"/>
        <w:szCs w:val="19"/>
        <w:lang w:val="es-ES"/>
      </w:rPr>
      <w:t>.</w:t>
    </w:r>
    <w:r w:rsidRPr="0095061C">
      <w:rPr>
        <w:color w:val="4F81BD" w:themeColor="accent1"/>
        <w:sz w:val="19"/>
        <w:szCs w:val="19"/>
        <w:lang w:val="es-ES"/>
      </w:rPr>
      <w:t xml:space="preserve">: +41 22 730 5111 • Correo-e: </w:t>
    </w:r>
    <w:hyperlink r:id="rId1" w:history="1">
      <w:r w:rsidR="00FC2F13" w:rsidRPr="00FC2F13">
        <w:rPr>
          <w:rStyle w:val="Hyperlink"/>
          <w:sz w:val="19"/>
          <w:szCs w:val="19"/>
          <w:lang w:val="es-ES"/>
        </w:rPr>
        <w:t>itumail@itu.int</w:t>
      </w:r>
    </w:hyperlink>
    <w:r w:rsidRPr="0095061C">
      <w:rPr>
        <w:color w:val="4F81BD" w:themeColor="accent1"/>
        <w:sz w:val="19"/>
        <w:szCs w:val="19"/>
        <w:lang w:val="es-ES"/>
      </w:rPr>
      <w:t xml:space="preserve"> </w:t>
    </w:r>
    <w:r w:rsidRPr="0095061C">
      <w:rPr>
        <w:color w:val="4F81BD"/>
        <w:sz w:val="19"/>
        <w:szCs w:val="19"/>
        <w:lang w:val="es-ES"/>
      </w:rPr>
      <w:t xml:space="preserve">• Fax: +41 22 733 7256 • </w:t>
    </w:r>
    <w:hyperlink r:id="rId2" w:history="1">
      <w:r w:rsidR="00FC2F13" w:rsidRPr="00FC2F13">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F20E" w14:textId="77777777" w:rsidR="00EB61B3" w:rsidRDefault="00EB61B3">
      <w:r>
        <w:t>____________________</w:t>
      </w:r>
    </w:p>
  </w:footnote>
  <w:footnote w:type="continuationSeparator" w:id="0">
    <w:p w14:paraId="283E2E1D" w14:textId="77777777" w:rsidR="00EB61B3" w:rsidRDefault="00E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1C29" w14:textId="05F37BEF" w:rsidR="00E915AF" w:rsidRPr="00D239B4" w:rsidRDefault="00D97EF5" w:rsidP="00220D18">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06144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54AA"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573419">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AFB9" w14:textId="47E85F9A" w:rsidR="00071E1A" w:rsidRDefault="00071E1A" w:rsidP="00071E1A">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0C851B8F" wp14:editId="697EFE22">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67907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2927">
    <w:abstractNumId w:val="6"/>
  </w:num>
  <w:num w:numId="3" w16cid:durableId="1659727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B61B3"/>
    <w:rsid w:val="00006A31"/>
    <w:rsid w:val="00006C82"/>
    <w:rsid w:val="00010E30"/>
    <w:rsid w:val="00015C76"/>
    <w:rsid w:val="00026CF8"/>
    <w:rsid w:val="00030BD7"/>
    <w:rsid w:val="00031E64"/>
    <w:rsid w:val="00034340"/>
    <w:rsid w:val="00035CB3"/>
    <w:rsid w:val="00045A8D"/>
    <w:rsid w:val="0005167A"/>
    <w:rsid w:val="00054E5D"/>
    <w:rsid w:val="0006144F"/>
    <w:rsid w:val="00070258"/>
    <w:rsid w:val="00071E1A"/>
    <w:rsid w:val="0007323C"/>
    <w:rsid w:val="000810FE"/>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D18"/>
    <w:rsid w:val="002302B3"/>
    <w:rsid w:val="00230C66"/>
    <w:rsid w:val="00235A29"/>
    <w:rsid w:val="00241526"/>
    <w:rsid w:val="002443A2"/>
    <w:rsid w:val="00253B27"/>
    <w:rsid w:val="00266E74"/>
    <w:rsid w:val="00283C3B"/>
    <w:rsid w:val="002847C0"/>
    <w:rsid w:val="002861E6"/>
    <w:rsid w:val="00287D18"/>
    <w:rsid w:val="00296099"/>
    <w:rsid w:val="002A2618"/>
    <w:rsid w:val="002A5DD7"/>
    <w:rsid w:val="002B0CAC"/>
    <w:rsid w:val="002D5A15"/>
    <w:rsid w:val="002D5BDD"/>
    <w:rsid w:val="002E3D27"/>
    <w:rsid w:val="002E6B72"/>
    <w:rsid w:val="002F0890"/>
    <w:rsid w:val="002F2531"/>
    <w:rsid w:val="002F4967"/>
    <w:rsid w:val="00306452"/>
    <w:rsid w:val="00316935"/>
    <w:rsid w:val="003266ED"/>
    <w:rsid w:val="00326C68"/>
    <w:rsid w:val="0033029C"/>
    <w:rsid w:val="00331519"/>
    <w:rsid w:val="003370B8"/>
    <w:rsid w:val="00345D38"/>
    <w:rsid w:val="00352097"/>
    <w:rsid w:val="003666FF"/>
    <w:rsid w:val="0037309C"/>
    <w:rsid w:val="00380A6E"/>
    <w:rsid w:val="003836D4"/>
    <w:rsid w:val="00385135"/>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58E5"/>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3B00"/>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5A7B"/>
    <w:rsid w:val="005638CF"/>
    <w:rsid w:val="0056741E"/>
    <w:rsid w:val="0057325A"/>
    <w:rsid w:val="00573419"/>
    <w:rsid w:val="0057469A"/>
    <w:rsid w:val="00580814"/>
    <w:rsid w:val="00583A0B"/>
    <w:rsid w:val="005A03A3"/>
    <w:rsid w:val="005A2B92"/>
    <w:rsid w:val="005A3F66"/>
    <w:rsid w:val="005A79E9"/>
    <w:rsid w:val="005B214C"/>
    <w:rsid w:val="005B292B"/>
    <w:rsid w:val="005B4CDA"/>
    <w:rsid w:val="005D3669"/>
    <w:rsid w:val="005E5EB3"/>
    <w:rsid w:val="005F3CB6"/>
    <w:rsid w:val="005F5351"/>
    <w:rsid w:val="005F657C"/>
    <w:rsid w:val="00602D53"/>
    <w:rsid w:val="006047E5"/>
    <w:rsid w:val="00606A8C"/>
    <w:rsid w:val="00636330"/>
    <w:rsid w:val="0064371D"/>
    <w:rsid w:val="00650543"/>
    <w:rsid w:val="00650B2A"/>
    <w:rsid w:val="00651777"/>
    <w:rsid w:val="006550F8"/>
    <w:rsid w:val="006829F3"/>
    <w:rsid w:val="006870B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A5874"/>
    <w:rsid w:val="007A63F2"/>
    <w:rsid w:val="007B3DB1"/>
    <w:rsid w:val="007D183E"/>
    <w:rsid w:val="007D43D0"/>
    <w:rsid w:val="007E1833"/>
    <w:rsid w:val="007E3F13"/>
    <w:rsid w:val="007F751A"/>
    <w:rsid w:val="00800012"/>
    <w:rsid w:val="0080261F"/>
    <w:rsid w:val="00805A02"/>
    <w:rsid w:val="00806160"/>
    <w:rsid w:val="008143A4"/>
    <w:rsid w:val="0081513E"/>
    <w:rsid w:val="00816B1D"/>
    <w:rsid w:val="0083280B"/>
    <w:rsid w:val="00854131"/>
    <w:rsid w:val="0085652D"/>
    <w:rsid w:val="00875324"/>
    <w:rsid w:val="0087694B"/>
    <w:rsid w:val="00880F4D"/>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47F17"/>
    <w:rsid w:val="0095061C"/>
    <w:rsid w:val="009518B3"/>
    <w:rsid w:val="00963D9D"/>
    <w:rsid w:val="00964F2B"/>
    <w:rsid w:val="0098013E"/>
    <w:rsid w:val="00981B54"/>
    <w:rsid w:val="009842C3"/>
    <w:rsid w:val="009A009A"/>
    <w:rsid w:val="009A56D8"/>
    <w:rsid w:val="009A6BB6"/>
    <w:rsid w:val="009B3F43"/>
    <w:rsid w:val="009B5CFA"/>
    <w:rsid w:val="009C161F"/>
    <w:rsid w:val="009C56B4"/>
    <w:rsid w:val="009D0A4D"/>
    <w:rsid w:val="009D51A2"/>
    <w:rsid w:val="009E04A8"/>
    <w:rsid w:val="009E4595"/>
    <w:rsid w:val="009E4AEC"/>
    <w:rsid w:val="009E5BD8"/>
    <w:rsid w:val="009E681E"/>
    <w:rsid w:val="00A119E6"/>
    <w:rsid w:val="00A20FBC"/>
    <w:rsid w:val="00A22FF5"/>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52D7"/>
    <w:rsid w:val="00B579B0"/>
    <w:rsid w:val="00B57D11"/>
    <w:rsid w:val="00B649D7"/>
    <w:rsid w:val="00B81C2F"/>
    <w:rsid w:val="00B90743"/>
    <w:rsid w:val="00B90C45"/>
    <w:rsid w:val="00B933BE"/>
    <w:rsid w:val="00BB66D4"/>
    <w:rsid w:val="00BD6738"/>
    <w:rsid w:val="00BD7E5E"/>
    <w:rsid w:val="00BE63DB"/>
    <w:rsid w:val="00BE6574"/>
    <w:rsid w:val="00C07319"/>
    <w:rsid w:val="00C1082E"/>
    <w:rsid w:val="00C12697"/>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1B80"/>
    <w:rsid w:val="00D44043"/>
    <w:rsid w:val="00D47672"/>
    <w:rsid w:val="00D5123C"/>
    <w:rsid w:val="00D55560"/>
    <w:rsid w:val="00D61C5A"/>
    <w:rsid w:val="00D63BFF"/>
    <w:rsid w:val="00D6790C"/>
    <w:rsid w:val="00D73277"/>
    <w:rsid w:val="00D76586"/>
    <w:rsid w:val="00D82657"/>
    <w:rsid w:val="00D87E20"/>
    <w:rsid w:val="00D97EF5"/>
    <w:rsid w:val="00DA4037"/>
    <w:rsid w:val="00DB6E88"/>
    <w:rsid w:val="00DE66A5"/>
    <w:rsid w:val="00DF2B50"/>
    <w:rsid w:val="00E01059"/>
    <w:rsid w:val="00E04C86"/>
    <w:rsid w:val="00E111A2"/>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5F5C"/>
    <w:rsid w:val="00E96415"/>
    <w:rsid w:val="00EA15B3"/>
    <w:rsid w:val="00EB2358"/>
    <w:rsid w:val="00EB3EB8"/>
    <w:rsid w:val="00EB61B3"/>
    <w:rsid w:val="00EC00EF"/>
    <w:rsid w:val="00EC02FE"/>
    <w:rsid w:val="00EC4A96"/>
    <w:rsid w:val="00EE03A0"/>
    <w:rsid w:val="00EF6AD5"/>
    <w:rsid w:val="00EF72BE"/>
    <w:rsid w:val="00F424BF"/>
    <w:rsid w:val="00F44FC3"/>
    <w:rsid w:val="00F46107"/>
    <w:rsid w:val="00F468C5"/>
    <w:rsid w:val="00F52F39"/>
    <w:rsid w:val="00F6184F"/>
    <w:rsid w:val="00F8310E"/>
    <w:rsid w:val="00F914DD"/>
    <w:rsid w:val="00FA2358"/>
    <w:rsid w:val="00FB2592"/>
    <w:rsid w:val="00FB2810"/>
    <w:rsid w:val="00FB7A2C"/>
    <w:rsid w:val="00FC2947"/>
    <w:rsid w:val="00FC2F13"/>
    <w:rsid w:val="00FD5BBB"/>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ACF0C6"/>
  <w15:docId w15:val="{7741DD46-A985-4CEA-B950-02B75EA1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C1082E"/>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C108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636330"/>
    <w:rPr>
      <w:sz w:val="24"/>
      <w:szCs w:val="22"/>
      <w:lang w:val="en-US" w:eastAsia="en-US"/>
    </w:rPr>
  </w:style>
  <w:style w:type="character" w:customStyle="1" w:styleId="UnresolvedMention1">
    <w:name w:val="Unresolved Mention1"/>
    <w:basedOn w:val="DefaultParagraphFont"/>
    <w:uiPriority w:val="99"/>
    <w:semiHidden/>
    <w:unhideWhenUsed/>
    <w:rsid w:val="009A56D8"/>
    <w:rPr>
      <w:color w:val="605E5C"/>
      <w:shd w:val="clear" w:color="auto" w:fill="E1DFDD"/>
    </w:rPr>
  </w:style>
  <w:style w:type="character" w:customStyle="1" w:styleId="Style1">
    <w:name w:val="Style1"/>
    <w:basedOn w:val="DefaultParagraphFont"/>
    <w:uiPriority w:val="1"/>
    <w:rsid w:val="000810FE"/>
    <w:rPr>
      <w:rFonts w:asciiTheme="minorHAnsi" w:hAnsiTheme="minorHAnsi"/>
      <w:b/>
      <w:sz w:val="24"/>
    </w:rPr>
  </w:style>
  <w:style w:type="character" w:customStyle="1" w:styleId="Style2">
    <w:name w:val="Style2"/>
    <w:basedOn w:val="DefaultParagraphFont"/>
    <w:uiPriority w:val="1"/>
    <w:rsid w:val="000810FE"/>
    <w:rPr>
      <w:rFonts w:ascii="Calibri" w:hAnsi="Calibri"/>
      <w:b/>
      <w:sz w:val="24"/>
    </w:rPr>
  </w:style>
  <w:style w:type="character" w:styleId="UnresolvedMention">
    <w:name w:val="Unresolved Mention"/>
    <w:basedOn w:val="DefaultParagraphFont"/>
    <w:uiPriority w:val="99"/>
    <w:semiHidden/>
    <w:unhideWhenUsed/>
    <w:rsid w:val="00964F2B"/>
    <w:rPr>
      <w:color w:val="605E5C"/>
      <w:shd w:val="clear" w:color="auto" w:fill="E1DFDD"/>
    </w:rPr>
  </w:style>
  <w:style w:type="paragraph" w:styleId="Revision">
    <w:name w:val="Revision"/>
    <w:hidden/>
    <w:uiPriority w:val="99"/>
    <w:semiHidden/>
    <w:rsid w:val="00071E1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XXX/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EDAA-7E9A-4C43-B026-95E01F35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TotalTime>
  <Pages>2</Pages>
  <Words>295</Words>
  <Characters>1799</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8</cp:revision>
  <cp:lastPrinted>2020-02-03T09:15:00Z</cp:lastPrinted>
  <dcterms:created xsi:type="dcterms:W3CDTF">2024-01-02T11:12:00Z</dcterms:created>
  <dcterms:modified xsi:type="dcterms:W3CDTF">2024-01-12T14:38:00Z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