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93432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99AD73" w14:textId="77777777" w:rsidR="00E53DCE" w:rsidRPr="00593432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59343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AF4B5BC" w14:textId="77777777" w:rsidR="00E53DCE" w:rsidRPr="00593432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593432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CE5AF4D" w14:textId="153C5F02" w:rsidR="00E53DCE" w:rsidRPr="00593432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593432">
              <w:rPr>
                <w:szCs w:val="24"/>
                <w:lang w:val="fr-FR"/>
              </w:rPr>
              <w:t>Circulaire administrative</w:t>
            </w:r>
          </w:p>
          <w:p w14:paraId="12830B32" w14:textId="0FDACE89" w:rsidR="00E53DCE" w:rsidRPr="00593432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593432">
              <w:rPr>
                <w:b/>
                <w:bCs/>
                <w:szCs w:val="24"/>
                <w:lang w:val="fr-FR"/>
              </w:rPr>
              <w:t>CACE</w:t>
            </w:r>
            <w:r w:rsidR="00593432" w:rsidRPr="00593432">
              <w:rPr>
                <w:b/>
                <w:bCs/>
                <w:szCs w:val="24"/>
                <w:lang w:val="fr-FR"/>
              </w:rPr>
              <w:t>/1097</w:t>
            </w:r>
          </w:p>
        </w:tc>
        <w:tc>
          <w:tcPr>
            <w:tcW w:w="2835" w:type="dxa"/>
            <w:shd w:val="clear" w:color="auto" w:fill="auto"/>
          </w:tcPr>
          <w:p w14:paraId="48513822" w14:textId="27594726" w:rsidR="00E53DCE" w:rsidRPr="00593432" w:rsidRDefault="00AA781A" w:rsidP="006160CB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593432">
              <w:rPr>
                <w:szCs w:val="24"/>
                <w:lang w:val="fr-FR"/>
              </w:rPr>
              <w:t xml:space="preserve">Le </w:t>
            </w:r>
            <w:r w:rsidR="00D76C79" w:rsidRPr="00593432">
              <w:rPr>
                <w:szCs w:val="24"/>
                <w:lang w:val="fr-FR"/>
              </w:rPr>
              <w:t>21 décembre</w:t>
            </w:r>
            <w:r w:rsidR="00CA6627" w:rsidRPr="00593432">
              <w:rPr>
                <w:szCs w:val="24"/>
                <w:lang w:val="fr-FR"/>
              </w:rPr>
              <w:t xml:space="preserve"> 2023</w:t>
            </w:r>
          </w:p>
        </w:tc>
      </w:tr>
      <w:tr w:rsidR="00E53DCE" w:rsidRPr="00593432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593432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593432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593432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9579E8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5C2A8A" w14:textId="41AFD744" w:rsidR="00E53DCE" w:rsidRPr="00593432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593432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455975" w:rsidRPr="00593432">
              <w:rPr>
                <w:b/>
                <w:bCs/>
                <w:szCs w:val="24"/>
                <w:lang w:val="fr-FR"/>
              </w:rPr>
              <w:t>É</w:t>
            </w:r>
            <w:r w:rsidRPr="00593432">
              <w:rPr>
                <w:b/>
                <w:bCs/>
                <w:szCs w:val="24"/>
                <w:lang w:val="fr-FR"/>
              </w:rPr>
              <w:t>tats Membres de l'UIT</w:t>
            </w:r>
            <w:r w:rsidR="00D76C79" w:rsidRPr="00593432">
              <w:rPr>
                <w:b/>
                <w:bCs/>
                <w:szCs w:val="24"/>
                <w:lang w:val="fr-FR"/>
              </w:rPr>
              <w:t>,</w:t>
            </w:r>
            <w:r w:rsidR="00D76C79" w:rsidRPr="00593432">
              <w:rPr>
                <w:lang w:val="fr-FR"/>
              </w:rPr>
              <w:t xml:space="preserve"> </w:t>
            </w:r>
            <w:r w:rsidR="00D76C79" w:rsidRPr="00593432">
              <w:rPr>
                <w:b/>
                <w:bCs/>
                <w:szCs w:val="24"/>
                <w:lang w:val="fr-FR"/>
              </w:rPr>
              <w:t>aux Membres du Secteur des radiocommunications, aux Associés de l'UIT-R et aux établissements universitaires participant aux travaux de la Commission d'études 5 des radiocommunications</w:t>
            </w:r>
          </w:p>
        </w:tc>
      </w:tr>
      <w:tr w:rsidR="00E53DCE" w:rsidRPr="009579E8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593432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9579E8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593432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9579E8" w14:paraId="49EAAF8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BC73171" w14:textId="77777777" w:rsidR="00E53DCE" w:rsidRPr="0059343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593432">
              <w:rPr>
                <w:lang w:val="fr-FR"/>
              </w:rPr>
              <w:t>Objet</w:t>
            </w:r>
            <w:r w:rsidR="00E53DCE" w:rsidRPr="00593432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E11FA8B" w14:textId="77777777" w:rsidR="00D76C79" w:rsidRPr="00593432" w:rsidRDefault="00D76C79" w:rsidP="00D76C7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593432">
              <w:rPr>
                <w:b/>
                <w:bCs/>
                <w:szCs w:val="24"/>
                <w:lang w:val="fr-FR"/>
              </w:rPr>
              <w:t>Commission d'études 5 des radiocommunications (Services de Terre)</w:t>
            </w:r>
          </w:p>
          <w:p w14:paraId="22C584E8" w14:textId="3CD4332B" w:rsidR="00D76C79" w:rsidRPr="00593432" w:rsidRDefault="00D76C79" w:rsidP="009579E8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593432">
              <w:rPr>
                <w:b/>
                <w:bCs/>
                <w:szCs w:val="24"/>
                <w:lang w:val="fr-FR"/>
              </w:rPr>
              <w:t>–</w:t>
            </w:r>
            <w:r w:rsidRPr="00593432">
              <w:rPr>
                <w:b/>
                <w:bCs/>
                <w:szCs w:val="24"/>
                <w:lang w:val="fr-FR"/>
              </w:rPr>
              <w:tab/>
              <w:t xml:space="preserve">Approbation de deux nouvelles </w:t>
            </w:r>
            <w:r w:rsidR="009579E8" w:rsidRPr="00593432">
              <w:rPr>
                <w:b/>
                <w:bCs/>
                <w:szCs w:val="24"/>
                <w:lang w:val="fr-FR"/>
              </w:rPr>
              <w:t xml:space="preserve">Recommandations </w:t>
            </w:r>
            <w:r w:rsidRPr="00593432">
              <w:rPr>
                <w:b/>
                <w:bCs/>
                <w:szCs w:val="24"/>
                <w:lang w:val="fr-FR"/>
              </w:rPr>
              <w:t>UIT-R et de dix </w:t>
            </w:r>
            <w:r w:rsidR="009579E8" w:rsidRPr="00593432">
              <w:rPr>
                <w:b/>
                <w:bCs/>
                <w:szCs w:val="24"/>
                <w:lang w:val="fr-FR"/>
              </w:rPr>
              <w:t xml:space="preserve">Recommandations </w:t>
            </w:r>
            <w:r w:rsidRPr="00593432">
              <w:rPr>
                <w:b/>
                <w:bCs/>
                <w:szCs w:val="24"/>
                <w:lang w:val="fr-FR"/>
              </w:rPr>
              <w:t>UIT-R révisées</w:t>
            </w:r>
          </w:p>
          <w:p w14:paraId="43C078E5" w14:textId="468BB5CA" w:rsidR="00E53DCE" w:rsidRPr="00593432" w:rsidRDefault="00D76C79" w:rsidP="009579E8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b/>
                <w:bCs/>
                <w:szCs w:val="24"/>
                <w:lang w:val="fr-FR"/>
              </w:rPr>
            </w:pPr>
            <w:r w:rsidRPr="00593432">
              <w:rPr>
                <w:b/>
                <w:bCs/>
                <w:szCs w:val="24"/>
                <w:lang w:val="fr-FR"/>
              </w:rPr>
              <w:t>–</w:t>
            </w:r>
            <w:r w:rsidRPr="00593432">
              <w:rPr>
                <w:b/>
                <w:bCs/>
                <w:szCs w:val="24"/>
                <w:lang w:val="fr-FR"/>
              </w:rPr>
              <w:tab/>
              <w:t xml:space="preserve">Suppression d'une </w:t>
            </w:r>
            <w:r w:rsidR="009579E8" w:rsidRPr="00593432">
              <w:rPr>
                <w:b/>
                <w:bCs/>
                <w:szCs w:val="24"/>
                <w:lang w:val="fr-FR"/>
              </w:rPr>
              <w:t xml:space="preserve">Recommandation </w:t>
            </w:r>
            <w:r w:rsidRPr="00593432">
              <w:rPr>
                <w:b/>
                <w:bCs/>
                <w:szCs w:val="24"/>
                <w:lang w:val="fr-FR"/>
              </w:rPr>
              <w:t>UIT-R</w:t>
            </w:r>
          </w:p>
        </w:tc>
      </w:tr>
      <w:tr w:rsidR="00E53DCE" w:rsidRPr="009579E8" w14:paraId="7637D6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B5D7D34" w14:textId="77777777" w:rsidR="00E53DCE" w:rsidRPr="0059343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C990A95" w14:textId="77777777" w:rsidR="00E53DCE" w:rsidRPr="0059343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579E8" w14:paraId="544E4BBD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71B044A" w14:textId="77777777" w:rsidR="00E53DCE" w:rsidRPr="0059343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806FD0" w14:textId="77777777" w:rsidR="00E53DCE" w:rsidRPr="0059343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579E8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77777777" w:rsidR="00E53DCE" w:rsidRPr="0059343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9579E8" w14:paraId="020DBE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497B58" w14:textId="77777777" w:rsidR="00E53DCE" w:rsidRPr="0059343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5E331B40" w14:textId="278DAC4B" w:rsidR="00D76C79" w:rsidRPr="00593432" w:rsidRDefault="00D76C79" w:rsidP="009579E8">
      <w:pPr>
        <w:rPr>
          <w:lang w:val="fr-FR"/>
        </w:rPr>
      </w:pPr>
      <w:r w:rsidRPr="00593432">
        <w:rPr>
          <w:lang w:val="fr-FR"/>
        </w:rPr>
        <w:t xml:space="preserve">Dans la Circulaire administrative </w:t>
      </w:r>
      <w:hyperlink r:id="rId8" w:history="1">
        <w:r w:rsidRPr="00593432">
          <w:rPr>
            <w:rStyle w:val="Hyperlink"/>
            <w:lang w:val="fr-FR"/>
          </w:rPr>
          <w:t>CACE/1083</w:t>
        </w:r>
      </w:hyperlink>
      <w:r w:rsidRPr="00593432">
        <w:rPr>
          <w:lang w:val="fr-FR"/>
        </w:rPr>
        <w:t xml:space="preserve"> datée du 13 octobre 2023, trois projets de nouvelle </w:t>
      </w:r>
      <w:r w:rsidR="009579E8" w:rsidRPr="00593432">
        <w:rPr>
          <w:lang w:val="fr-FR"/>
        </w:rPr>
        <w:t xml:space="preserve">Recommandation </w:t>
      </w:r>
      <w:r w:rsidRPr="00593432">
        <w:rPr>
          <w:lang w:val="fr-FR"/>
        </w:rPr>
        <w:t xml:space="preserve">UIT-R et dix projets de </w:t>
      </w:r>
      <w:r w:rsidR="009579E8" w:rsidRPr="00593432">
        <w:rPr>
          <w:lang w:val="fr-FR"/>
        </w:rPr>
        <w:t xml:space="preserve">Recommandation </w:t>
      </w:r>
      <w:r w:rsidRPr="00593432">
        <w:rPr>
          <w:lang w:val="fr-FR"/>
        </w:rPr>
        <w:t xml:space="preserve">UIT-R révisée ont été soumis pour approbation, conformément à la procédure prévue dans la Résolution UIT-R 1-9 (§ A2.6.2.3). En outre, la Commission d'études a proposé la suppression d'une </w:t>
      </w:r>
      <w:r w:rsidR="009579E8" w:rsidRPr="00593432">
        <w:rPr>
          <w:lang w:val="fr-FR"/>
        </w:rPr>
        <w:t xml:space="preserve">Recommandation </w:t>
      </w:r>
      <w:r w:rsidRPr="00593432">
        <w:rPr>
          <w:lang w:val="fr-FR"/>
        </w:rPr>
        <w:t>UIT-R.</w:t>
      </w:r>
    </w:p>
    <w:p w14:paraId="69A93D8A" w14:textId="66921224" w:rsidR="00D76C79" w:rsidRPr="00593432" w:rsidRDefault="00D76C79" w:rsidP="009579E8">
      <w:pPr>
        <w:rPr>
          <w:lang w:val="fr-FR"/>
        </w:rPr>
      </w:pPr>
      <w:r w:rsidRPr="00593432">
        <w:rPr>
          <w:lang w:val="fr-FR"/>
        </w:rPr>
        <w:t xml:space="preserve">Le 16 novembre 2023, l'Assemblée des radiocommunications de 2023 (AR-23) a approuvé la Recommandation UIT-R </w:t>
      </w:r>
      <w:proofErr w:type="gramStart"/>
      <w:r w:rsidRPr="00593432">
        <w:rPr>
          <w:lang w:val="fr-FR"/>
        </w:rPr>
        <w:t>M.[</w:t>
      </w:r>
      <w:proofErr w:type="gramEnd"/>
      <w:r w:rsidRPr="00593432">
        <w:rPr>
          <w:lang w:val="fr-FR"/>
        </w:rPr>
        <w:t xml:space="preserve">IMT.FRAMEWORK FOR 2030 AND BEYOND], maintenant publiée comme Recommandation </w:t>
      </w:r>
      <w:hyperlink r:id="rId9" w:history="1">
        <w:r w:rsidRPr="00593432">
          <w:rPr>
            <w:rStyle w:val="Hyperlink"/>
            <w:lang w:val="fr-FR"/>
          </w:rPr>
          <w:t>UIT-R M.2160</w:t>
        </w:r>
      </w:hyperlink>
      <w:r w:rsidRPr="00593432">
        <w:rPr>
          <w:lang w:val="fr-FR"/>
        </w:rPr>
        <w:t xml:space="preserve"> (voir la Circulaire </w:t>
      </w:r>
      <w:hyperlink r:id="rId10" w:history="1">
        <w:r w:rsidRPr="00593432">
          <w:rPr>
            <w:rStyle w:val="Hyperlink"/>
            <w:lang w:val="fr-FR"/>
          </w:rPr>
          <w:t>CACE/1090</w:t>
        </w:r>
      </w:hyperlink>
      <w:r w:rsidRPr="00593432">
        <w:rPr>
          <w:lang w:val="fr-FR"/>
        </w:rPr>
        <w:t>).</w:t>
      </w:r>
    </w:p>
    <w:p w14:paraId="1CAAC86D" w14:textId="44FB0B42" w:rsidR="00D76C79" w:rsidRPr="00593432" w:rsidRDefault="00D76C79" w:rsidP="009579E8">
      <w:pPr>
        <w:rPr>
          <w:lang w:val="fr-FR"/>
        </w:rPr>
      </w:pPr>
      <w:r w:rsidRPr="00593432">
        <w:rPr>
          <w:lang w:val="fr-FR"/>
        </w:rPr>
        <w:t xml:space="preserve">Les conditions régissant cette procédure pour les autres </w:t>
      </w:r>
      <w:r w:rsidR="009579E8" w:rsidRPr="00593432">
        <w:rPr>
          <w:lang w:val="fr-FR"/>
        </w:rPr>
        <w:t xml:space="preserve">Recommandations </w:t>
      </w:r>
      <w:r w:rsidRPr="00593432">
        <w:rPr>
          <w:lang w:val="fr-FR"/>
        </w:rPr>
        <w:t>ont été remplies le</w:t>
      </w:r>
      <w:r w:rsidR="00593432" w:rsidRPr="00593432">
        <w:rPr>
          <w:lang w:val="fr-FR"/>
        </w:rPr>
        <w:t xml:space="preserve"> </w:t>
      </w:r>
      <w:r w:rsidRPr="00593432">
        <w:rPr>
          <w:lang w:val="fr-FR"/>
        </w:rPr>
        <w:t>13 </w:t>
      </w:r>
      <w:r w:rsidR="009579E8">
        <w:rPr>
          <w:lang w:val="fr-FR"/>
        </w:rPr>
        <w:t>décembre</w:t>
      </w:r>
      <w:r w:rsidRPr="00593432">
        <w:rPr>
          <w:lang w:val="fr-FR"/>
        </w:rPr>
        <w:t xml:space="preserve"> 2023.</w:t>
      </w:r>
    </w:p>
    <w:p w14:paraId="28409655" w14:textId="6AB8A4FF" w:rsidR="00D35AB9" w:rsidRPr="00593432" w:rsidRDefault="00D76C79" w:rsidP="009579E8">
      <w:pPr>
        <w:rPr>
          <w:lang w:val="fr-FR"/>
        </w:rPr>
      </w:pPr>
      <w:r w:rsidRPr="00593432">
        <w:rPr>
          <w:lang w:val="fr-FR"/>
        </w:rPr>
        <w:t xml:space="preserve">Les </w:t>
      </w:r>
      <w:r w:rsidR="009579E8" w:rsidRPr="00593432">
        <w:rPr>
          <w:lang w:val="fr-FR"/>
        </w:rPr>
        <w:t xml:space="preserve">Recommandations </w:t>
      </w:r>
      <w:r w:rsidRPr="00593432">
        <w:rPr>
          <w:lang w:val="fr-FR"/>
        </w:rPr>
        <w:t>approuvées seront publiées par l'UIT et vous trouverez dans l'Annexe 1 leurs</w:t>
      </w:r>
      <w:r w:rsidR="00593585">
        <w:rPr>
          <w:lang w:val="fr-FR"/>
        </w:rPr>
        <w:t> </w:t>
      </w:r>
      <w:r w:rsidRPr="00593432">
        <w:rPr>
          <w:lang w:val="fr-FR"/>
        </w:rPr>
        <w:t xml:space="preserve">titres ainsi que les numéros qui leur ont été attribués. L'Annexe 2 contient la </w:t>
      </w:r>
      <w:r w:rsidR="009579E8" w:rsidRPr="00593432">
        <w:rPr>
          <w:lang w:val="fr-FR"/>
        </w:rPr>
        <w:t xml:space="preserve">Recommandation </w:t>
      </w:r>
      <w:r w:rsidRPr="00593432">
        <w:rPr>
          <w:lang w:val="fr-FR"/>
        </w:rPr>
        <w:t>supprimée.</w:t>
      </w:r>
    </w:p>
    <w:p w14:paraId="50D403EF" w14:textId="1EA040FE" w:rsidR="002569F7" w:rsidRPr="00593432" w:rsidRDefault="004F47EA" w:rsidP="009579E8">
      <w:pPr>
        <w:spacing w:before="1320" w:line="240" w:lineRule="auto"/>
        <w:jc w:val="left"/>
        <w:rPr>
          <w:szCs w:val="24"/>
          <w:lang w:val="fr-FR"/>
        </w:rPr>
      </w:pPr>
      <w:r w:rsidRPr="00593432">
        <w:rPr>
          <w:rFonts w:asciiTheme="minorHAnsi" w:hAnsiTheme="minorHAnsi" w:cstheme="minorHAnsi"/>
          <w:lang w:val="fr-FR"/>
        </w:rPr>
        <w:t>Mario Maniewicz</w:t>
      </w:r>
      <w:r w:rsidR="00E53DCE" w:rsidRPr="00593432">
        <w:rPr>
          <w:szCs w:val="24"/>
          <w:lang w:val="fr-FR"/>
        </w:rPr>
        <w:br/>
        <w:t>Directeur</w:t>
      </w:r>
    </w:p>
    <w:p w14:paraId="04EA0D58" w14:textId="1457DFA7" w:rsidR="00D76C79" w:rsidRPr="00593432" w:rsidRDefault="00D76C79" w:rsidP="009579E8">
      <w:pPr>
        <w:spacing w:before="1800" w:line="240" w:lineRule="auto"/>
        <w:jc w:val="left"/>
        <w:rPr>
          <w:szCs w:val="24"/>
          <w:lang w:val="fr-FR"/>
        </w:rPr>
      </w:pPr>
      <w:r w:rsidRPr="00593432">
        <w:rPr>
          <w:b/>
          <w:bCs/>
          <w:szCs w:val="24"/>
          <w:lang w:val="fr-FR"/>
        </w:rPr>
        <w:t>Annexes</w:t>
      </w:r>
      <w:r w:rsidRPr="00593432">
        <w:rPr>
          <w:szCs w:val="24"/>
          <w:lang w:val="fr-FR"/>
        </w:rPr>
        <w:t>:</w:t>
      </w:r>
      <w:r w:rsidR="00E833BB" w:rsidRPr="00593432">
        <w:rPr>
          <w:szCs w:val="24"/>
          <w:lang w:val="fr-FR"/>
        </w:rPr>
        <w:tab/>
      </w:r>
      <w:r w:rsidRPr="00593432">
        <w:rPr>
          <w:szCs w:val="24"/>
          <w:lang w:val="fr-FR"/>
        </w:rPr>
        <w:t>2</w:t>
      </w:r>
    </w:p>
    <w:p w14:paraId="65DE96A4" w14:textId="274603FF" w:rsidR="00CA6627" w:rsidRPr="00593432" w:rsidRDefault="00CA66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fr-FR"/>
        </w:rPr>
      </w:pPr>
      <w:r w:rsidRPr="00593432">
        <w:rPr>
          <w:szCs w:val="24"/>
          <w:lang w:val="fr-FR"/>
        </w:rPr>
        <w:br w:type="page"/>
      </w:r>
    </w:p>
    <w:p w14:paraId="44140F20" w14:textId="1D92CA0A" w:rsidR="00CA6627" w:rsidRPr="00593432" w:rsidRDefault="00D76C79" w:rsidP="00D76C79">
      <w:pPr>
        <w:pStyle w:val="AnnexNoTitle"/>
        <w:rPr>
          <w:sz w:val="28"/>
          <w:szCs w:val="28"/>
          <w:lang w:val="fr-FR"/>
        </w:rPr>
      </w:pPr>
      <w:r w:rsidRPr="00593432">
        <w:rPr>
          <w:sz w:val="28"/>
          <w:szCs w:val="28"/>
          <w:lang w:val="fr-FR"/>
        </w:rPr>
        <w:lastRenderedPageBreak/>
        <w:t>Annexe 1</w:t>
      </w:r>
      <w:r w:rsidRPr="00593432">
        <w:rPr>
          <w:sz w:val="28"/>
          <w:szCs w:val="28"/>
          <w:lang w:val="fr-FR"/>
        </w:rPr>
        <w:br/>
      </w:r>
      <w:r w:rsidRPr="00593432">
        <w:rPr>
          <w:sz w:val="28"/>
          <w:szCs w:val="28"/>
          <w:lang w:val="fr-FR"/>
        </w:rPr>
        <w:br/>
        <w:t xml:space="preserve">Titres des </w:t>
      </w:r>
      <w:r w:rsidR="009579E8" w:rsidRPr="00593432">
        <w:rPr>
          <w:sz w:val="28"/>
          <w:szCs w:val="28"/>
          <w:lang w:val="fr-FR"/>
        </w:rPr>
        <w:t xml:space="preserve">Recommandations </w:t>
      </w:r>
      <w:r w:rsidRPr="00593432">
        <w:rPr>
          <w:sz w:val="28"/>
          <w:szCs w:val="28"/>
          <w:lang w:val="fr-FR"/>
        </w:rPr>
        <w:t>UIT-R approuvées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1899"/>
        <w:gridCol w:w="6215"/>
        <w:gridCol w:w="1525"/>
      </w:tblGrid>
      <w:tr w:rsidR="00D76C79" w:rsidRPr="00593432" w14:paraId="3FD6602E" w14:textId="77777777" w:rsidTr="00327A4C">
        <w:tc>
          <w:tcPr>
            <w:tcW w:w="1899" w:type="dxa"/>
            <w:vAlign w:val="center"/>
          </w:tcPr>
          <w:p w14:paraId="6DBDCFD7" w14:textId="77777777" w:rsidR="00D76C79" w:rsidRPr="00593432" w:rsidRDefault="00D76C79" w:rsidP="00593432">
            <w:pPr>
              <w:pStyle w:val="Tablehead"/>
              <w:rPr>
                <w:lang w:val="fr-FR"/>
              </w:rPr>
            </w:pPr>
            <w:r w:rsidRPr="00593432">
              <w:rPr>
                <w:bCs/>
                <w:lang w:val="fr-FR"/>
              </w:rPr>
              <w:t>Recommandation UIT-R</w:t>
            </w:r>
          </w:p>
        </w:tc>
        <w:tc>
          <w:tcPr>
            <w:tcW w:w="6215" w:type="dxa"/>
            <w:vAlign w:val="center"/>
          </w:tcPr>
          <w:p w14:paraId="25DB6E75" w14:textId="77777777" w:rsidR="00D76C79" w:rsidRPr="00593432" w:rsidRDefault="00D76C79" w:rsidP="00327A4C">
            <w:pPr>
              <w:pStyle w:val="Tablehead"/>
              <w:rPr>
                <w:lang w:val="fr-FR"/>
              </w:rPr>
            </w:pPr>
            <w:r w:rsidRPr="00593432">
              <w:rPr>
                <w:bCs/>
                <w:lang w:val="fr-FR"/>
              </w:rPr>
              <w:t>Titre</w:t>
            </w:r>
          </w:p>
        </w:tc>
        <w:tc>
          <w:tcPr>
            <w:tcW w:w="1525" w:type="dxa"/>
            <w:vAlign w:val="center"/>
          </w:tcPr>
          <w:p w14:paraId="6E294203" w14:textId="77777777" w:rsidR="00D76C79" w:rsidRPr="00593432" w:rsidRDefault="00D76C79" w:rsidP="00593432">
            <w:pPr>
              <w:pStyle w:val="Tablehead"/>
              <w:rPr>
                <w:lang w:val="fr-FR"/>
              </w:rPr>
            </w:pPr>
            <w:r w:rsidRPr="00593432">
              <w:rPr>
                <w:bCs/>
                <w:lang w:val="fr-FR"/>
              </w:rPr>
              <w:t>N° de document</w:t>
            </w:r>
          </w:p>
        </w:tc>
      </w:tr>
      <w:tr w:rsidR="00D76C79" w:rsidRPr="00593432" w14:paraId="53497C5A" w14:textId="77777777" w:rsidTr="00327A4C">
        <w:tc>
          <w:tcPr>
            <w:tcW w:w="1899" w:type="dxa"/>
          </w:tcPr>
          <w:p w14:paraId="1E349E8D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F.1568-2</w:t>
            </w:r>
          </w:p>
        </w:tc>
        <w:tc>
          <w:tcPr>
            <w:tcW w:w="6215" w:type="dxa"/>
          </w:tcPr>
          <w:p w14:paraId="63B358E5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Dispositions de blocs de radiofréquences pour les systèmes d'accès hertzien fixe dans la gamme 10,15-10,3/10,5-10,65 GHz</w:t>
            </w:r>
          </w:p>
        </w:tc>
        <w:tc>
          <w:tcPr>
            <w:tcW w:w="1525" w:type="dxa"/>
          </w:tcPr>
          <w:p w14:paraId="72662294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5/124</w:t>
            </w:r>
          </w:p>
        </w:tc>
      </w:tr>
      <w:tr w:rsidR="00D76C79" w:rsidRPr="00593432" w14:paraId="6CAEB1F8" w14:textId="77777777" w:rsidTr="00327A4C">
        <w:tc>
          <w:tcPr>
            <w:tcW w:w="1899" w:type="dxa"/>
          </w:tcPr>
          <w:p w14:paraId="45347AD0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F.746-11</w:t>
            </w:r>
          </w:p>
        </w:tc>
        <w:tc>
          <w:tcPr>
            <w:tcW w:w="6215" w:type="dxa"/>
          </w:tcPr>
          <w:p w14:paraId="0958498B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Disposition radioélectrique pour les systèmes du service fixe</w:t>
            </w:r>
          </w:p>
        </w:tc>
        <w:tc>
          <w:tcPr>
            <w:tcW w:w="1525" w:type="dxa"/>
          </w:tcPr>
          <w:p w14:paraId="1B0A1405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5/126(Rév.1)</w:t>
            </w:r>
          </w:p>
        </w:tc>
      </w:tr>
      <w:tr w:rsidR="00D76C79" w:rsidRPr="00593432" w14:paraId="5541CE9F" w14:textId="77777777" w:rsidTr="00327A4C">
        <w:tc>
          <w:tcPr>
            <w:tcW w:w="1899" w:type="dxa"/>
          </w:tcPr>
          <w:p w14:paraId="04EE731B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M.2121-1</w:t>
            </w:r>
          </w:p>
        </w:tc>
        <w:tc>
          <w:tcPr>
            <w:tcW w:w="6215" w:type="dxa"/>
          </w:tcPr>
          <w:p w14:paraId="4AC27799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Harmonisation des bandes de fréquences pour les systèmes de transport intelligents dans le service mobile</w:t>
            </w:r>
          </w:p>
        </w:tc>
        <w:tc>
          <w:tcPr>
            <w:tcW w:w="1525" w:type="dxa"/>
          </w:tcPr>
          <w:p w14:paraId="2173098B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5/128(Rév.1)</w:t>
            </w:r>
          </w:p>
        </w:tc>
      </w:tr>
      <w:tr w:rsidR="00D76C79" w:rsidRPr="00593432" w14:paraId="39F7571A" w14:textId="77777777" w:rsidTr="00327A4C">
        <w:tc>
          <w:tcPr>
            <w:tcW w:w="1899" w:type="dxa"/>
          </w:tcPr>
          <w:p w14:paraId="58A07B48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M.2150-2</w:t>
            </w:r>
          </w:p>
        </w:tc>
        <w:tc>
          <w:tcPr>
            <w:tcW w:w="6215" w:type="dxa"/>
          </w:tcPr>
          <w:p w14:paraId="1FA66AFA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Spécifications détaillées des interfaces radioélectriques de Terre des télécommunications mobiles internationales 2020 (IMT-2020)</w:t>
            </w:r>
          </w:p>
        </w:tc>
        <w:tc>
          <w:tcPr>
            <w:tcW w:w="1525" w:type="dxa"/>
          </w:tcPr>
          <w:p w14:paraId="4E62A8EC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5/132</w:t>
            </w:r>
          </w:p>
        </w:tc>
      </w:tr>
      <w:tr w:rsidR="00D76C79" w:rsidRPr="00593432" w14:paraId="12EB84BA" w14:textId="77777777" w:rsidTr="00327A4C">
        <w:tc>
          <w:tcPr>
            <w:tcW w:w="1899" w:type="dxa"/>
          </w:tcPr>
          <w:p w14:paraId="60D55377" w14:textId="77777777" w:rsidR="00D76C79" w:rsidRPr="00593432" w:rsidRDefault="00D76C79" w:rsidP="00593432">
            <w:pPr>
              <w:pStyle w:val="Tabletext"/>
              <w:jc w:val="center"/>
              <w:rPr>
                <w:rStyle w:val="href"/>
                <w:lang w:val="fr-FR"/>
              </w:rPr>
            </w:pPr>
            <w:r w:rsidRPr="00593432">
              <w:rPr>
                <w:lang w:val="fr-FR"/>
              </w:rPr>
              <w:t>M.2012-6</w:t>
            </w:r>
          </w:p>
        </w:tc>
        <w:tc>
          <w:tcPr>
            <w:tcW w:w="6215" w:type="dxa"/>
          </w:tcPr>
          <w:p w14:paraId="72EFDFF5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Spécifications détaillées des interfaces radioélectriques de Terre des télécommunications mobiles internationales évoluées (IMT évoluées)</w:t>
            </w:r>
          </w:p>
        </w:tc>
        <w:tc>
          <w:tcPr>
            <w:tcW w:w="1525" w:type="dxa"/>
          </w:tcPr>
          <w:p w14:paraId="776FB123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5/133</w:t>
            </w:r>
          </w:p>
        </w:tc>
      </w:tr>
      <w:tr w:rsidR="00D76C79" w:rsidRPr="00593432" w14:paraId="59CE6313" w14:textId="77777777" w:rsidTr="00327A4C">
        <w:tc>
          <w:tcPr>
            <w:tcW w:w="1899" w:type="dxa"/>
          </w:tcPr>
          <w:p w14:paraId="704F9488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M.1036-7</w:t>
            </w:r>
          </w:p>
        </w:tc>
        <w:tc>
          <w:tcPr>
            <w:tcW w:w="6215" w:type="dxa"/>
          </w:tcPr>
          <w:p w14:paraId="380211C1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Dispositions de fréquences applicables à la mise en œuvre de la composante de Terre des Télécommunications mobiles internationales (IMT) dans les bandes identifiées pour les IMT dans le Règlement des radiocommunications</w:t>
            </w:r>
          </w:p>
        </w:tc>
        <w:tc>
          <w:tcPr>
            <w:tcW w:w="1525" w:type="dxa"/>
          </w:tcPr>
          <w:p w14:paraId="426FE5C4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5/134</w:t>
            </w:r>
          </w:p>
        </w:tc>
      </w:tr>
      <w:tr w:rsidR="00D76C79" w:rsidRPr="00593432" w14:paraId="64F5115D" w14:textId="77777777" w:rsidTr="00327A4C">
        <w:tc>
          <w:tcPr>
            <w:tcW w:w="1899" w:type="dxa"/>
          </w:tcPr>
          <w:p w14:paraId="5DBBA5B2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M.2161-0</w:t>
            </w:r>
          </w:p>
        </w:tc>
        <w:tc>
          <w:tcPr>
            <w:tcW w:w="6215" w:type="dxa"/>
          </w:tcPr>
          <w:p w14:paraId="02D076AF" w14:textId="2630B58D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Lignes directrices visant à aider les administrations à réduire les brouillages dans la bande causés par les stations terriennes du SFS fonctionnant dans les bandes de fréquences 24,65-25,25 GHz, 27</w:t>
            </w:r>
            <w:r w:rsidR="00E833BB" w:rsidRPr="00593432">
              <w:rPr>
                <w:lang w:val="fr-FR"/>
              </w:rPr>
              <w:noBreakHyphen/>
            </w:r>
            <w:r w:rsidRPr="00593432">
              <w:rPr>
                <w:lang w:val="fr-FR"/>
              </w:rPr>
              <w:t>27,5</w:t>
            </w:r>
            <w:r w:rsidR="00E833BB" w:rsidRPr="00593432">
              <w:rPr>
                <w:lang w:val="fr-FR"/>
              </w:rPr>
              <w:t> </w:t>
            </w:r>
            <w:r w:rsidRPr="00593432">
              <w:rPr>
                <w:lang w:val="fr-FR"/>
              </w:rPr>
              <w:t>GHz, 42,5-43,5 GHz et 47,2-48,2 GHz aux stations IMT</w:t>
            </w:r>
          </w:p>
        </w:tc>
        <w:tc>
          <w:tcPr>
            <w:tcW w:w="1525" w:type="dxa"/>
          </w:tcPr>
          <w:p w14:paraId="1265C2F6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5/135</w:t>
            </w:r>
          </w:p>
        </w:tc>
      </w:tr>
      <w:tr w:rsidR="00D76C79" w:rsidRPr="00593432" w14:paraId="5FEC7064" w14:textId="77777777" w:rsidTr="00327A4C">
        <w:tc>
          <w:tcPr>
            <w:tcW w:w="1899" w:type="dxa"/>
          </w:tcPr>
          <w:p w14:paraId="28A7FDE5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M.2070-2</w:t>
            </w:r>
          </w:p>
        </w:tc>
        <w:tc>
          <w:tcPr>
            <w:tcW w:w="6215" w:type="dxa"/>
          </w:tcPr>
          <w:p w14:paraId="4FC3FD40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Caractéristiques des rayonnements non désirés des stations de base utilisant les interfaces radioélectriques de Terre des IMT évoluées</w:t>
            </w:r>
          </w:p>
        </w:tc>
        <w:tc>
          <w:tcPr>
            <w:tcW w:w="1525" w:type="dxa"/>
          </w:tcPr>
          <w:p w14:paraId="2CD76FE5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5/136(Rév.1)</w:t>
            </w:r>
          </w:p>
        </w:tc>
      </w:tr>
      <w:tr w:rsidR="00D76C79" w:rsidRPr="00593432" w14:paraId="65C34E12" w14:textId="77777777" w:rsidTr="00327A4C">
        <w:tc>
          <w:tcPr>
            <w:tcW w:w="1899" w:type="dxa"/>
          </w:tcPr>
          <w:p w14:paraId="0CA0A21E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M.2071-2</w:t>
            </w:r>
          </w:p>
        </w:tc>
        <w:tc>
          <w:tcPr>
            <w:tcW w:w="6215" w:type="dxa"/>
          </w:tcPr>
          <w:p w14:paraId="0978210F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Caractéristiques des rayonnements non désirés des stations de base utilisant les interfaces radioélectriques de Terre des IMT évoluées</w:t>
            </w:r>
          </w:p>
        </w:tc>
        <w:tc>
          <w:tcPr>
            <w:tcW w:w="1525" w:type="dxa"/>
          </w:tcPr>
          <w:p w14:paraId="6098ECDA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5/137</w:t>
            </w:r>
          </w:p>
        </w:tc>
      </w:tr>
      <w:tr w:rsidR="00D76C79" w:rsidRPr="00593432" w14:paraId="42D96840" w14:textId="77777777" w:rsidTr="00327A4C">
        <w:tc>
          <w:tcPr>
            <w:tcW w:w="1899" w:type="dxa"/>
          </w:tcPr>
          <w:p w14:paraId="1096F171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M.2162-0</w:t>
            </w:r>
          </w:p>
        </w:tc>
        <w:tc>
          <w:tcPr>
            <w:tcW w:w="6215" w:type="dxa"/>
          </w:tcPr>
          <w:p w14:paraId="09B93AEB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Caractéristiques techniques et opérationnelles des systèmes de radiorepérage fonctionnant dans la gamme de fréquences 92-100 GHz et des systèmes de radionavigation fonctionnant dans la gamme de fréquences 95-100 GHz</w:t>
            </w:r>
          </w:p>
        </w:tc>
        <w:tc>
          <w:tcPr>
            <w:tcW w:w="1525" w:type="dxa"/>
          </w:tcPr>
          <w:p w14:paraId="22160C0F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5/152</w:t>
            </w:r>
          </w:p>
        </w:tc>
      </w:tr>
      <w:tr w:rsidR="00D76C79" w:rsidRPr="00593432" w14:paraId="6EFB73E7" w14:textId="77777777" w:rsidTr="00327A4C">
        <w:tc>
          <w:tcPr>
            <w:tcW w:w="1899" w:type="dxa"/>
          </w:tcPr>
          <w:p w14:paraId="2981400F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M.493-16</w:t>
            </w:r>
          </w:p>
        </w:tc>
        <w:tc>
          <w:tcPr>
            <w:tcW w:w="6215" w:type="dxa"/>
          </w:tcPr>
          <w:p w14:paraId="5E834D00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Système d'appel sélectif numérique à utiliser dans le service mobile maritime</w:t>
            </w:r>
          </w:p>
        </w:tc>
        <w:tc>
          <w:tcPr>
            <w:tcW w:w="1525" w:type="dxa"/>
          </w:tcPr>
          <w:p w14:paraId="6E2DD2C3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5/155(Rév.1)</w:t>
            </w:r>
          </w:p>
        </w:tc>
      </w:tr>
      <w:tr w:rsidR="00D76C79" w:rsidRPr="00593432" w14:paraId="12EC813D" w14:textId="77777777" w:rsidTr="00327A4C">
        <w:tc>
          <w:tcPr>
            <w:tcW w:w="1899" w:type="dxa"/>
          </w:tcPr>
          <w:p w14:paraId="3F9A68DE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M.1851-2</w:t>
            </w:r>
          </w:p>
        </w:tc>
        <w:tc>
          <w:tcPr>
            <w:tcW w:w="6215" w:type="dxa"/>
          </w:tcPr>
          <w:p w14:paraId="21B5E18B" w14:textId="77777777" w:rsidR="00D76C79" w:rsidRPr="00593432" w:rsidRDefault="00D76C79" w:rsidP="00E833BB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Modèles mathématiques pour les diagrammes d'antenne des systèmes radar du service de radiorepérage à utiliser dans les analyses de brouillage</w:t>
            </w:r>
          </w:p>
        </w:tc>
        <w:tc>
          <w:tcPr>
            <w:tcW w:w="1525" w:type="dxa"/>
          </w:tcPr>
          <w:p w14:paraId="599A639E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5/158</w:t>
            </w:r>
          </w:p>
        </w:tc>
      </w:tr>
    </w:tbl>
    <w:p w14:paraId="1AF08338" w14:textId="1807DE56" w:rsidR="00D76C79" w:rsidRPr="00593432" w:rsidRDefault="00D76C79" w:rsidP="00D76C79">
      <w:pPr>
        <w:pStyle w:val="AnnexNoTitle"/>
        <w:rPr>
          <w:sz w:val="28"/>
          <w:szCs w:val="28"/>
          <w:lang w:val="fr-FR"/>
        </w:rPr>
      </w:pPr>
      <w:r w:rsidRPr="00593432">
        <w:rPr>
          <w:lang w:val="fr-FR"/>
        </w:rPr>
        <w:br w:type="page"/>
      </w:r>
      <w:r w:rsidRPr="00593432">
        <w:rPr>
          <w:sz w:val="28"/>
          <w:szCs w:val="28"/>
          <w:lang w:val="fr-FR"/>
        </w:rPr>
        <w:lastRenderedPageBreak/>
        <w:t>Annexe 2</w:t>
      </w:r>
      <w:r w:rsidRPr="00593432">
        <w:rPr>
          <w:sz w:val="28"/>
          <w:szCs w:val="28"/>
          <w:lang w:val="fr-FR"/>
        </w:rPr>
        <w:br/>
      </w:r>
      <w:r w:rsidRPr="00593432">
        <w:rPr>
          <w:sz w:val="28"/>
          <w:szCs w:val="28"/>
          <w:lang w:val="fr-FR"/>
        </w:rPr>
        <w:br/>
        <w:t>Recommandation UIT-R supprimée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54"/>
        <w:gridCol w:w="1989"/>
      </w:tblGrid>
      <w:tr w:rsidR="00D76C79" w:rsidRPr="00593432" w14:paraId="68C7ACCC" w14:textId="77777777" w:rsidTr="009579E8">
        <w:trPr>
          <w:jc w:val="center"/>
        </w:trPr>
        <w:tc>
          <w:tcPr>
            <w:tcW w:w="1696" w:type="dxa"/>
            <w:vAlign w:val="center"/>
          </w:tcPr>
          <w:p w14:paraId="17E6B172" w14:textId="77777777" w:rsidR="00D76C79" w:rsidRPr="00593432" w:rsidRDefault="00D76C79" w:rsidP="00327A4C">
            <w:pPr>
              <w:pStyle w:val="Tablehead"/>
              <w:rPr>
                <w:lang w:val="fr-FR"/>
              </w:rPr>
            </w:pPr>
            <w:r w:rsidRPr="00593432">
              <w:rPr>
                <w:bCs/>
                <w:lang w:val="fr-FR"/>
              </w:rPr>
              <w:t>Recommandation UIT-R</w:t>
            </w:r>
          </w:p>
        </w:tc>
        <w:tc>
          <w:tcPr>
            <w:tcW w:w="5954" w:type="dxa"/>
            <w:vAlign w:val="center"/>
          </w:tcPr>
          <w:p w14:paraId="08321B70" w14:textId="77777777" w:rsidR="00D76C79" w:rsidRPr="00593432" w:rsidRDefault="00D76C79" w:rsidP="00327A4C">
            <w:pPr>
              <w:pStyle w:val="Tablehead"/>
              <w:rPr>
                <w:lang w:val="fr-FR"/>
              </w:rPr>
            </w:pPr>
            <w:r w:rsidRPr="00593432">
              <w:rPr>
                <w:bCs/>
                <w:lang w:val="fr-FR"/>
              </w:rPr>
              <w:t>Titre</w:t>
            </w:r>
          </w:p>
        </w:tc>
        <w:tc>
          <w:tcPr>
            <w:tcW w:w="1989" w:type="dxa"/>
          </w:tcPr>
          <w:p w14:paraId="055353EF" w14:textId="77777777" w:rsidR="00D76C79" w:rsidRPr="00593432" w:rsidRDefault="00D76C79" w:rsidP="00327A4C">
            <w:pPr>
              <w:pStyle w:val="Tablehead"/>
              <w:rPr>
                <w:bCs/>
                <w:lang w:val="fr-FR"/>
              </w:rPr>
            </w:pPr>
            <w:r w:rsidRPr="00593432">
              <w:rPr>
                <w:bCs/>
                <w:lang w:val="fr-FR"/>
              </w:rPr>
              <w:t>N° de document</w:t>
            </w:r>
          </w:p>
        </w:tc>
      </w:tr>
      <w:tr w:rsidR="00D76C79" w:rsidRPr="00593432" w14:paraId="4DF3F6F1" w14:textId="77777777" w:rsidTr="009579E8">
        <w:trPr>
          <w:jc w:val="center"/>
        </w:trPr>
        <w:tc>
          <w:tcPr>
            <w:tcW w:w="1696" w:type="dxa"/>
          </w:tcPr>
          <w:p w14:paraId="4F3CF80F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M.1075</w:t>
            </w:r>
          </w:p>
        </w:tc>
        <w:tc>
          <w:tcPr>
            <w:tcW w:w="5954" w:type="dxa"/>
          </w:tcPr>
          <w:p w14:paraId="71052B24" w14:textId="77777777" w:rsidR="00D76C79" w:rsidRPr="00593432" w:rsidRDefault="00D76C79" w:rsidP="00D76C79">
            <w:pPr>
              <w:pStyle w:val="Tabletext"/>
              <w:rPr>
                <w:lang w:val="fr-FR"/>
              </w:rPr>
            </w:pPr>
            <w:r w:rsidRPr="00593432">
              <w:rPr>
                <w:lang w:val="fr-FR"/>
              </w:rPr>
              <w:t>Systèmes à lignes d'alimentation à fuites dans les services mobiles terrestres</w:t>
            </w:r>
          </w:p>
        </w:tc>
        <w:tc>
          <w:tcPr>
            <w:tcW w:w="1989" w:type="dxa"/>
          </w:tcPr>
          <w:p w14:paraId="6E550028" w14:textId="77777777" w:rsidR="00D76C79" w:rsidRPr="00593432" w:rsidRDefault="00D76C79" w:rsidP="00593432">
            <w:pPr>
              <w:pStyle w:val="Tabletext"/>
              <w:jc w:val="center"/>
              <w:rPr>
                <w:lang w:val="fr-FR"/>
              </w:rPr>
            </w:pPr>
            <w:r w:rsidRPr="00593432">
              <w:rPr>
                <w:lang w:val="fr-FR"/>
              </w:rPr>
              <w:t>5/138</w:t>
            </w:r>
          </w:p>
        </w:tc>
      </w:tr>
    </w:tbl>
    <w:p w14:paraId="127FC5D7" w14:textId="77777777" w:rsidR="00D76C79" w:rsidRPr="00593432" w:rsidRDefault="00D76C79">
      <w:pPr>
        <w:jc w:val="center"/>
        <w:rPr>
          <w:lang w:val="fr-FR"/>
        </w:rPr>
      </w:pPr>
      <w:r w:rsidRPr="00593432">
        <w:rPr>
          <w:lang w:val="fr-FR"/>
        </w:rPr>
        <w:t>______________</w:t>
      </w:r>
    </w:p>
    <w:sectPr w:rsidR="00D76C79" w:rsidRPr="00593432" w:rsidSect="003F2F3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0596" w14:textId="77777777" w:rsidR="002E27C4" w:rsidRDefault="002E27C4">
      <w:r>
        <w:separator/>
      </w:r>
    </w:p>
  </w:endnote>
  <w:endnote w:type="continuationSeparator" w:id="0">
    <w:p w14:paraId="31E963E9" w14:textId="77777777" w:rsidR="002E27C4" w:rsidRDefault="002E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42D" w14:textId="4F861771" w:rsidR="00D0704E" w:rsidRPr="00D0704E" w:rsidRDefault="00D0704E" w:rsidP="00D0704E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D0704E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</w:t>
    </w:r>
    <w:r w:rsidR="00D76C79">
      <w:rPr>
        <w:rFonts w:asciiTheme="minorHAnsi" w:hAnsiTheme="minorHAnsi"/>
        <w:color w:val="4F81BD"/>
        <w:sz w:val="19"/>
        <w:szCs w:val="19"/>
        <w:lang w:val="fr-CH"/>
      </w:rPr>
      <w:t>Télécopie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: +41 22 733 7256 • </w:t>
    </w:r>
    <w:hyperlink r:id="rId2" w:history="1">
      <w:r w:rsidRPr="00D0704E">
        <w:rPr>
          <w:rStyle w:val="Hyperlink"/>
          <w:sz w:val="19"/>
          <w:szCs w:val="19"/>
          <w:lang w:val="fr-CH"/>
        </w:rPr>
        <w:t>www.itu.int</w:t>
      </w:r>
    </w:hyperlink>
    <w:r w:rsidRPr="00D0704E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01D5" w14:textId="77777777" w:rsidR="002E27C4" w:rsidRDefault="002E27C4">
      <w:r>
        <w:t>____________________</w:t>
      </w:r>
    </w:p>
  </w:footnote>
  <w:footnote w:type="continuationSeparator" w:id="0">
    <w:p w14:paraId="5815AE35" w14:textId="77777777" w:rsidR="002E27C4" w:rsidRDefault="002E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14D" w14:textId="18315711" w:rsidR="003F2F34" w:rsidRPr="003F2F34" w:rsidRDefault="00593585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F2F34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64F56775" w:rsidR="004F47EA" w:rsidRDefault="002E27C4" w:rsidP="002E27C4">
          <w:pPr>
            <w:pStyle w:val="Header"/>
            <w:spacing w:line="360" w:lineRule="auto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7435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82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2E27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7C4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16F7A"/>
    <w:rsid w:val="004228FA"/>
    <w:rsid w:val="004326DB"/>
    <w:rsid w:val="0043682E"/>
    <w:rsid w:val="00447ECB"/>
    <w:rsid w:val="00455975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432"/>
    <w:rsid w:val="00593585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1B3A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579E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2CAC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6627"/>
    <w:rsid w:val="00CB3771"/>
    <w:rsid w:val="00CB44BF"/>
    <w:rsid w:val="00CB5153"/>
    <w:rsid w:val="00CE076A"/>
    <w:rsid w:val="00CE463D"/>
    <w:rsid w:val="00D0704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76C79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33BB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6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76C79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locked/>
    <w:rsid w:val="00D76C7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6C79"/>
    <w:rPr>
      <w:b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6C7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D76C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00-CACE-CIR-1090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M.2160/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1E5D-DA07-4269-B1F3-D5E80C59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494</Words>
  <Characters>3432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6</cp:revision>
  <cp:lastPrinted>2013-03-08T10:15:00Z</cp:lastPrinted>
  <dcterms:created xsi:type="dcterms:W3CDTF">2023-12-18T09:35:00Z</dcterms:created>
  <dcterms:modified xsi:type="dcterms:W3CDTF">2023-12-18T12:43:00Z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