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249569B1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5235D5">
              <w:rPr>
                <w:b/>
                <w:bCs/>
                <w:szCs w:val="24"/>
                <w:lang w:val="es-ES_tradnl"/>
              </w:rPr>
              <w:t>1086</w:t>
            </w:r>
          </w:p>
        </w:tc>
        <w:tc>
          <w:tcPr>
            <w:tcW w:w="2835" w:type="dxa"/>
            <w:shd w:val="clear" w:color="auto" w:fill="auto"/>
          </w:tcPr>
          <w:p w14:paraId="0AD1CB2A" w14:textId="35BB75B8" w:rsidR="00E53DCE" w:rsidRPr="00D00AD1" w:rsidRDefault="005235D5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cs="Arial"/>
                <w:szCs w:val="24"/>
                <w:lang w:val="es-ES"/>
              </w:rPr>
              <w:t>30 de octubre de 2023</w:t>
            </w:r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1107D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49D9E02E" w:rsidR="00E53DCE" w:rsidRPr="00D00AD1" w:rsidRDefault="002E6646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5235D5">
              <w:rPr>
                <w:b/>
                <w:bCs/>
                <w:lang w:val="es-ES_tradnl"/>
              </w:rPr>
              <w:t>7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31107D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1107D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1107D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54354B4C" w:rsidR="00DD5D1C" w:rsidRPr="005D3A91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D3A91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5235D5" w:rsidRPr="005D3A91">
              <w:rPr>
                <w:rStyle w:val="Style1"/>
                <w:szCs w:val="24"/>
                <w:lang w:val="es-ES"/>
              </w:rPr>
              <w:t>7</w:t>
            </w:r>
            <w:r w:rsidRPr="005D3A91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5235D5" w:rsidRPr="005D3A91">
              <w:rPr>
                <w:rStyle w:val="Style2"/>
                <w:szCs w:val="24"/>
                <w:lang w:val="es-ES"/>
              </w:rPr>
              <w:t>(Servicios científicos)</w:t>
            </w:r>
          </w:p>
          <w:p w14:paraId="2320FFB2" w14:textId="079A9283" w:rsidR="002E6646" w:rsidRPr="00D00AD1" w:rsidRDefault="002E6646" w:rsidP="005235D5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5D3A91">
              <w:rPr>
                <w:b/>
                <w:bCs/>
                <w:lang w:val="es-ES"/>
              </w:rPr>
              <w:t>–</w:t>
            </w:r>
            <w:r w:rsidRPr="005D3A91">
              <w:rPr>
                <w:b/>
                <w:bCs/>
                <w:lang w:val="es-ES"/>
              </w:rPr>
              <w:tab/>
              <w:t xml:space="preserve">Propuesta de adopción de </w:t>
            </w:r>
            <w:r w:rsidR="005235D5" w:rsidRPr="005D3A91">
              <w:rPr>
                <w:b/>
                <w:bCs/>
                <w:lang w:val="es-ES"/>
              </w:rPr>
              <w:t xml:space="preserve">4 </w:t>
            </w:r>
            <w:r w:rsidRPr="005D3A91">
              <w:rPr>
                <w:b/>
                <w:bCs/>
                <w:lang w:val="es-ES"/>
              </w:rPr>
              <w:t xml:space="preserve">proyectos de </w:t>
            </w:r>
            <w:r w:rsidR="005F011A" w:rsidRPr="005D3A91">
              <w:rPr>
                <w:b/>
                <w:bCs/>
                <w:lang w:val="es-ES"/>
              </w:rPr>
              <w:t>Recomendación</w:t>
            </w:r>
            <w:r w:rsidRPr="005D3A91">
              <w:rPr>
                <w:b/>
                <w:bCs/>
                <w:lang w:val="es-ES"/>
              </w:rPr>
              <w:t xml:space="preserve"> UIT-R revisada y su aprobación simultánea por correspondencia de conformidad con el § A2.6.2.4 de la Resolución UIT</w:t>
            </w:r>
            <w:r w:rsidRPr="005D3A91">
              <w:rPr>
                <w:b/>
                <w:bCs/>
                <w:lang w:val="es-ES"/>
              </w:rPr>
              <w:noBreakHyphen/>
              <w:t>R 1</w:t>
            </w:r>
            <w:r w:rsidRPr="005D3A91">
              <w:rPr>
                <w:b/>
                <w:bCs/>
                <w:lang w:val="es-ES"/>
              </w:rPr>
              <w:noBreakHyphen/>
            </w:r>
            <w:r w:rsidR="005F011A" w:rsidRPr="005D3A91">
              <w:rPr>
                <w:b/>
                <w:bCs/>
                <w:lang w:val="es-ES"/>
              </w:rPr>
              <w:t>8</w:t>
            </w:r>
            <w:r w:rsidRPr="005D3A91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</w:tc>
      </w:tr>
      <w:tr w:rsidR="00E53DCE" w:rsidRPr="0031107D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1107D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1107D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1107D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0157F6A" w14:textId="61524568" w:rsidR="00BD4DC1" w:rsidRDefault="002E6646" w:rsidP="00DE3CEB">
      <w:pPr>
        <w:rPr>
          <w:lang w:val="es-ES_tradnl"/>
        </w:rPr>
      </w:pPr>
      <w:r w:rsidRPr="005235D5">
        <w:rPr>
          <w:lang w:val="es-ES_tradnl"/>
        </w:rPr>
        <w:t xml:space="preserve">En la reunión de la Comisión de Estudio </w:t>
      </w:r>
      <w:r w:rsidR="005235D5" w:rsidRPr="005235D5">
        <w:rPr>
          <w:lang w:val="es-ES_tradnl"/>
        </w:rPr>
        <w:t>7</w:t>
      </w:r>
      <w:r w:rsidRPr="005235D5">
        <w:rPr>
          <w:lang w:val="es-ES_tradnl"/>
        </w:rPr>
        <w:t xml:space="preserve"> de Radiocomunicaciones celebrada </w:t>
      </w:r>
      <w:r w:rsidR="005235D5" w:rsidRPr="005235D5">
        <w:rPr>
          <w:lang w:val="es-ES_tradnl"/>
        </w:rPr>
        <w:t xml:space="preserve">el </w:t>
      </w:r>
      <w:r w:rsidR="004E28F8">
        <w:rPr>
          <w:lang w:val="es-ES_tradnl"/>
        </w:rPr>
        <w:t>12</w:t>
      </w:r>
      <w:r w:rsidR="005235D5" w:rsidRPr="005235D5">
        <w:rPr>
          <w:lang w:val="es-ES_tradnl"/>
        </w:rPr>
        <w:t xml:space="preserve"> de octubre de 2023</w:t>
      </w:r>
      <w:r w:rsidRPr="005235D5">
        <w:rPr>
          <w:lang w:val="es-ES_tradnl"/>
        </w:rPr>
        <w:t xml:space="preserve">, la Comisión de Estudio decidió solicitar la adopción de </w:t>
      </w:r>
      <w:r w:rsidR="005235D5" w:rsidRPr="005235D5">
        <w:rPr>
          <w:lang w:val="es-ES_tradnl"/>
        </w:rPr>
        <w:t>4</w:t>
      </w:r>
      <w:r w:rsidRPr="005235D5">
        <w:rPr>
          <w:lang w:val="es-ES_tradnl"/>
        </w:rPr>
        <w:t xml:space="preserve"> proyectos de </w:t>
      </w:r>
      <w:r w:rsidR="005F011A" w:rsidRPr="005235D5">
        <w:rPr>
          <w:lang w:val="es-ES_tradnl"/>
        </w:rPr>
        <w:t>Recomendación</w:t>
      </w:r>
      <w:r w:rsidRPr="005235D5">
        <w:rPr>
          <w:lang w:val="es-ES_tradnl"/>
        </w:rPr>
        <w:t xml:space="preserve"> UIT-R revisada por correspondencia (§ A2.6.2 de la Resolución UIT</w:t>
      </w:r>
      <w:r w:rsidRPr="005235D5">
        <w:rPr>
          <w:lang w:val="es-ES_tradnl"/>
        </w:rPr>
        <w:noBreakHyphen/>
        <w:t>R 1</w:t>
      </w:r>
      <w:r w:rsidRPr="005235D5">
        <w:rPr>
          <w:lang w:val="es-ES_tradnl"/>
        </w:rPr>
        <w:noBreakHyphen/>
      </w:r>
      <w:r w:rsidR="005F011A" w:rsidRPr="005235D5">
        <w:rPr>
          <w:lang w:val="es-ES_tradnl"/>
        </w:rPr>
        <w:t>8</w:t>
      </w:r>
      <w:r w:rsidRPr="005235D5">
        <w:rPr>
          <w:lang w:val="es-ES_tradnl"/>
        </w:rPr>
        <w:t>) y además decidió aplicar el procedimiento de adopción y aprobación simultáneas por correspondencia (PAAS</w:t>
      </w:r>
      <w:r w:rsidR="00DE3CEB" w:rsidRPr="005235D5">
        <w:rPr>
          <w:lang w:val="es-ES_tradnl"/>
        </w:rPr>
        <w:t xml:space="preserve">, </w:t>
      </w:r>
      <w:r w:rsidRPr="005235D5">
        <w:rPr>
          <w:lang w:val="es-ES_tradnl"/>
        </w:rPr>
        <w:t>§ A2.6.2.4 de la Resolución UIT</w:t>
      </w:r>
      <w:r w:rsidRPr="005235D5">
        <w:rPr>
          <w:lang w:val="es-ES_tradnl"/>
        </w:rPr>
        <w:noBreakHyphen/>
        <w:t>R 1</w:t>
      </w:r>
      <w:r w:rsidRPr="005235D5">
        <w:rPr>
          <w:lang w:val="es-ES_tradnl"/>
        </w:rPr>
        <w:noBreakHyphen/>
      </w:r>
      <w:r w:rsidR="005F011A" w:rsidRPr="005235D5">
        <w:rPr>
          <w:lang w:val="es-ES_tradnl"/>
        </w:rPr>
        <w:t>8</w:t>
      </w:r>
      <w:r w:rsidR="00F23AE7" w:rsidRPr="005235D5">
        <w:rPr>
          <w:lang w:val="es-ES_tradnl"/>
        </w:rPr>
        <w:t>)</w:t>
      </w:r>
      <w:r w:rsidRPr="005235D5">
        <w:rPr>
          <w:lang w:val="es-ES_tradnl"/>
        </w:rPr>
        <w:t xml:space="preserve">. Los títulos y </w:t>
      </w:r>
      <w:r w:rsidR="005F011A" w:rsidRPr="005235D5">
        <w:rPr>
          <w:lang w:val="es-ES_tradnl"/>
        </w:rPr>
        <w:t>res</w:t>
      </w:r>
      <w:r w:rsidR="001119C8" w:rsidRPr="005235D5">
        <w:rPr>
          <w:lang w:val="es-ES_tradnl"/>
        </w:rPr>
        <w:t>ú</w:t>
      </w:r>
      <w:r w:rsidR="005F011A" w:rsidRPr="005235D5">
        <w:rPr>
          <w:lang w:val="es-ES_tradnl"/>
        </w:rPr>
        <w:t>men</w:t>
      </w:r>
      <w:r w:rsidRPr="005235D5">
        <w:rPr>
          <w:lang w:val="es-ES_tradnl"/>
        </w:rPr>
        <w:t>e</w:t>
      </w:r>
      <w:r w:rsidR="005235D5" w:rsidRPr="005235D5">
        <w:rPr>
          <w:lang w:val="es-ES_tradnl"/>
        </w:rPr>
        <w:t>s</w:t>
      </w:r>
      <w:r w:rsidRPr="005235D5">
        <w:rPr>
          <w:lang w:val="es-ES_tradnl"/>
        </w:rPr>
        <w:t xml:space="preserve"> de los proyectos de </w:t>
      </w:r>
      <w:r w:rsidR="005F011A" w:rsidRPr="005235D5">
        <w:rPr>
          <w:lang w:val="es-ES_tradnl"/>
        </w:rPr>
        <w:t>Recomendación</w:t>
      </w:r>
      <w:r w:rsidRPr="005235D5">
        <w:rPr>
          <w:lang w:val="es-ES_tradnl"/>
        </w:rPr>
        <w:t xml:space="preserve"> aparece</w:t>
      </w:r>
      <w:r w:rsidR="001119C8" w:rsidRPr="005235D5">
        <w:rPr>
          <w:lang w:val="es-ES_tradnl"/>
        </w:rPr>
        <w:t>n</w:t>
      </w:r>
      <w:r w:rsidRPr="005235D5">
        <w:rPr>
          <w:lang w:val="es-ES_tradnl"/>
        </w:rPr>
        <w:t xml:space="preserve"> en el Anexo a la presente Carta. Todo Estado Miembro que </w:t>
      </w:r>
      <w:r w:rsidR="00146F64" w:rsidRPr="005235D5">
        <w:rPr>
          <w:lang w:val="es-ES_tradnl"/>
        </w:rPr>
        <w:t xml:space="preserve">formule una objeción contra la adopción </w:t>
      </w:r>
      <w:r w:rsidRPr="005235D5">
        <w:rPr>
          <w:lang w:val="es-ES_tradnl"/>
        </w:rPr>
        <w:t>de un proyecto de Recomendación debe informar al Director y al Presidente de la Comisión de Estudio de los motivos de dicha objeción.</w:t>
      </w:r>
    </w:p>
    <w:p w14:paraId="171836D8" w14:textId="715A38B8" w:rsidR="002E6646" w:rsidRPr="00D00AD1" w:rsidRDefault="00CD1697" w:rsidP="00BD4DC1">
      <w:pPr>
        <w:rPr>
          <w:lang w:val="es-ES_tradnl"/>
        </w:rPr>
      </w:pPr>
      <w:r w:rsidRPr="005235D5">
        <w:rPr>
          <w:lang w:val="es-ES_tradnl"/>
        </w:rPr>
        <w:t xml:space="preserve">El periodo de consideración se extenderá durante 2 meses finalizando el </w:t>
      </w:r>
      <w:r w:rsidR="005235D5" w:rsidRPr="005235D5">
        <w:rPr>
          <w:u w:val="single"/>
          <w:lang w:val="es-ES_tradnl"/>
        </w:rPr>
        <w:t>30 de diciembre de 2023</w:t>
      </w:r>
      <w:r w:rsidRPr="005235D5">
        <w:rPr>
          <w:lang w:val="es-ES_tradnl"/>
        </w:rPr>
        <w:t xml:space="preserve">. Si durante este periodo no se reciben objeciones de los Estados Miembros, se considerarán adoptados los proyectos de Recomendación por la Comisión de Estudio </w:t>
      </w:r>
      <w:r w:rsidR="005235D5" w:rsidRPr="005235D5">
        <w:rPr>
          <w:lang w:val="es-ES_tradnl"/>
        </w:rPr>
        <w:t>7</w:t>
      </w:r>
      <w:r w:rsidRPr="005235D5">
        <w:rPr>
          <w:lang w:val="es-ES_tradnl"/>
        </w:rPr>
        <w:t>. Además, dado que se ha seguido el procedimiento de PAAS, los proyectos de Recomendación también se considerarán aprobados.</w:t>
      </w:r>
    </w:p>
    <w:p w14:paraId="4480824D" w14:textId="7D227F73" w:rsidR="002E6646" w:rsidRPr="00D00AD1" w:rsidRDefault="002E6646" w:rsidP="00BD4DC1">
      <w:pPr>
        <w:rPr>
          <w:lang w:val="es-ES_tradnl"/>
        </w:rPr>
      </w:pPr>
      <w:r w:rsidRPr="005235D5">
        <w:rPr>
          <w:lang w:val="es-ES_tradnl"/>
        </w:rPr>
        <w:t>Tras la fecha límite mencionada, los resultados</w:t>
      </w:r>
      <w:r w:rsidR="005E40B8" w:rsidRPr="005235D5">
        <w:rPr>
          <w:lang w:val="es-ES_tradnl"/>
        </w:rPr>
        <w:t xml:space="preserve"> de</w:t>
      </w:r>
      <w:r w:rsidRPr="005235D5">
        <w:rPr>
          <w:lang w:val="es-ES_tradnl"/>
        </w:rPr>
        <w:t xml:space="preserve"> </w:t>
      </w:r>
      <w:r w:rsidR="004B6204" w:rsidRPr="005235D5">
        <w:rPr>
          <w:lang w:val="es-ES_tradnl"/>
        </w:rPr>
        <w:t>los procedimientos arriba citados</w:t>
      </w:r>
      <w:r w:rsidRPr="005235D5">
        <w:rPr>
          <w:lang w:val="es-ES_tradnl"/>
        </w:rPr>
        <w:t xml:space="preserve"> se comunicarán mediante Circular Administrativa y se publicarán las Recomendaci</w:t>
      </w:r>
      <w:r w:rsidR="005235D5" w:rsidRPr="005235D5">
        <w:rPr>
          <w:lang w:val="es-ES_tradnl"/>
        </w:rPr>
        <w:t>o</w:t>
      </w:r>
      <w:r w:rsidRPr="005235D5">
        <w:rPr>
          <w:lang w:val="es-ES_tradnl"/>
        </w:rPr>
        <w:t xml:space="preserve">nes aprobadas tan pronto como sea posible (véase </w:t>
      </w:r>
      <w:hyperlink r:id="rId8" w:history="1">
        <w:r w:rsidRPr="005235D5">
          <w:rPr>
            <w:color w:val="0000FF"/>
            <w:u w:val="single"/>
            <w:lang w:val="es-ES_tradnl"/>
          </w:rPr>
          <w:t>http://</w:t>
        </w:r>
        <w:proofErr w:type="spellStart"/>
        <w:r w:rsidRPr="005235D5">
          <w:rPr>
            <w:color w:val="0000FF"/>
            <w:u w:val="single"/>
            <w:lang w:val="es-ES_tradnl"/>
          </w:rPr>
          <w:t>www.itu.int</w:t>
        </w:r>
        <w:proofErr w:type="spellEnd"/>
        <w:r w:rsidRPr="005235D5">
          <w:rPr>
            <w:color w:val="0000FF"/>
            <w:u w:val="single"/>
            <w:lang w:val="es-ES_tradnl"/>
          </w:rPr>
          <w:t>/pub/R-</w:t>
        </w:r>
        <w:proofErr w:type="spellStart"/>
        <w:r w:rsidRPr="005235D5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5235D5">
        <w:rPr>
          <w:lang w:val="es-ES_tradnl"/>
        </w:rPr>
        <w:t>).</w:t>
      </w:r>
    </w:p>
    <w:p w14:paraId="69EC1941" w14:textId="77777777" w:rsidR="005235D5" w:rsidRDefault="005235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11139BB8" w14:textId="7D721D88" w:rsidR="006A124F" w:rsidRPr="005235D5" w:rsidRDefault="002E6646" w:rsidP="005E40B8">
      <w:pPr>
        <w:keepLines/>
        <w:rPr>
          <w:lang w:val="es-ES_tradnl"/>
        </w:rPr>
      </w:pPr>
      <w:r w:rsidRPr="005235D5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</w:t>
      </w:r>
      <w:r w:rsidR="005E40B8" w:rsidRPr="005235D5">
        <w:rPr>
          <w:lang w:val="es-ES_tradnl"/>
        </w:rPr>
        <w:t xml:space="preserve">de los </w:t>
      </w:r>
      <w:r w:rsidRPr="005235D5">
        <w:rPr>
          <w:lang w:val="es-ES_tradnl"/>
        </w:rPr>
        <w:t xml:space="preserve">proyectos de </w:t>
      </w:r>
      <w:r w:rsidR="00475DD1" w:rsidRPr="005235D5">
        <w:rPr>
          <w:lang w:val="es-ES_tradnl"/>
        </w:rPr>
        <w:t>Recomendación</w:t>
      </w:r>
      <w:r w:rsidRPr="005235D5">
        <w:rPr>
          <w:lang w:val="es-ES_tradnl"/>
        </w:rPr>
        <w:t xml:space="preserve"> mencionados en esta carta, que comunique dicha información a la Secretaría tan pronto como sea posible. La Política común en materia de patentes para UIT</w:t>
      </w:r>
      <w:r w:rsidR="00A33D80" w:rsidRPr="005235D5">
        <w:rPr>
          <w:lang w:val="es-ES_tradnl"/>
        </w:rPr>
        <w:noBreakHyphen/>
      </w:r>
      <w:r w:rsidRPr="005235D5">
        <w:rPr>
          <w:lang w:val="es-ES_tradnl"/>
        </w:rPr>
        <w:t>T/UIT</w:t>
      </w:r>
      <w:r w:rsidR="00A33D80" w:rsidRPr="005235D5">
        <w:rPr>
          <w:lang w:val="es-ES_tradnl"/>
        </w:rPr>
        <w:noBreakHyphen/>
      </w:r>
      <w:r w:rsidRPr="005235D5">
        <w:rPr>
          <w:lang w:val="es-ES_tradnl"/>
        </w:rPr>
        <w:t>R/ISO/CEI puede consultarse en</w:t>
      </w:r>
      <w:r w:rsidR="006A124F" w:rsidRPr="005235D5">
        <w:rPr>
          <w:lang w:val="es-ES_tradnl"/>
        </w:rPr>
        <w:t xml:space="preserve"> </w:t>
      </w:r>
      <w:hyperlink r:id="rId9" w:history="1">
        <w:r w:rsidR="006A124F" w:rsidRPr="005235D5">
          <w:rPr>
            <w:rStyle w:val="Hyperlink"/>
            <w:lang w:val="es-ES_tradnl"/>
          </w:rPr>
          <w:t>http://</w:t>
        </w:r>
        <w:proofErr w:type="spellStart"/>
        <w:r w:rsidR="006A124F" w:rsidRPr="005235D5">
          <w:rPr>
            <w:rStyle w:val="Hyperlink"/>
            <w:lang w:val="es-ES_tradnl"/>
          </w:rPr>
          <w:t>www.itu.int</w:t>
        </w:r>
        <w:proofErr w:type="spellEnd"/>
        <w:r w:rsidR="006A124F" w:rsidRPr="005235D5">
          <w:rPr>
            <w:rStyle w:val="Hyperlink"/>
            <w:lang w:val="es-ES_tradnl"/>
          </w:rPr>
          <w:t>/en/ITU-T/</w:t>
        </w:r>
        <w:proofErr w:type="spellStart"/>
        <w:r w:rsidR="006A124F" w:rsidRPr="005235D5">
          <w:rPr>
            <w:rStyle w:val="Hyperlink"/>
            <w:lang w:val="es-ES_tradnl"/>
          </w:rPr>
          <w:t>ipr</w:t>
        </w:r>
        <w:proofErr w:type="spellEnd"/>
        <w:r w:rsidR="006A124F" w:rsidRPr="005235D5">
          <w:rPr>
            <w:rStyle w:val="Hyperlink"/>
            <w:lang w:val="es-ES_tradnl"/>
          </w:rPr>
          <w:t>/Pages/</w:t>
        </w:r>
        <w:proofErr w:type="spellStart"/>
        <w:r w:rsidR="006A124F" w:rsidRPr="005235D5">
          <w:rPr>
            <w:rStyle w:val="Hyperlink"/>
            <w:lang w:val="es-ES_tradnl"/>
          </w:rPr>
          <w:t>policy.aspx</w:t>
        </w:r>
        <w:proofErr w:type="spellEnd"/>
      </w:hyperlink>
      <w:r w:rsidR="006A124F" w:rsidRPr="005235D5">
        <w:rPr>
          <w:lang w:val="es-ES_tradnl"/>
        </w:rPr>
        <w:t>.</w:t>
      </w:r>
    </w:p>
    <w:p w14:paraId="384989DB" w14:textId="02635BD6" w:rsidR="002E6646" w:rsidRPr="005235D5" w:rsidRDefault="00475DD1" w:rsidP="0031107D">
      <w:pPr>
        <w:spacing w:before="1200" w:line="240" w:lineRule="auto"/>
        <w:jc w:val="left"/>
        <w:rPr>
          <w:szCs w:val="24"/>
          <w:lang w:val="es-ES_tradnl"/>
        </w:rPr>
      </w:pPr>
      <w:r w:rsidRPr="005235D5">
        <w:rPr>
          <w:szCs w:val="24"/>
          <w:lang w:val="es-ES_tradnl"/>
        </w:rPr>
        <w:t>Mario Maniewicz</w:t>
      </w:r>
      <w:r w:rsidR="0062522E" w:rsidRPr="005235D5">
        <w:rPr>
          <w:szCs w:val="24"/>
          <w:lang w:val="es-ES_tradnl"/>
        </w:rPr>
        <w:br/>
      </w:r>
      <w:r w:rsidR="002E6646" w:rsidRPr="005235D5">
        <w:rPr>
          <w:szCs w:val="24"/>
          <w:lang w:val="es-ES_tradnl"/>
        </w:rPr>
        <w:t>Director</w:t>
      </w:r>
    </w:p>
    <w:p w14:paraId="783A703F" w14:textId="75768A24" w:rsidR="002E6646" w:rsidRPr="005235D5" w:rsidRDefault="002E6646" w:rsidP="00352927">
      <w:pPr>
        <w:spacing w:before="3000"/>
        <w:rPr>
          <w:lang w:val="es-ES_tradnl"/>
        </w:rPr>
      </w:pPr>
      <w:r w:rsidRPr="005235D5">
        <w:rPr>
          <w:b/>
          <w:bCs/>
          <w:lang w:val="es-ES_tradnl"/>
        </w:rPr>
        <w:t>Anexo:</w:t>
      </w:r>
      <w:r w:rsidRPr="005235D5">
        <w:rPr>
          <w:lang w:val="es-ES_tradnl"/>
        </w:rPr>
        <w:t xml:space="preserve"> </w:t>
      </w:r>
      <w:r w:rsidR="00352927">
        <w:rPr>
          <w:lang w:val="es-ES_tradnl"/>
        </w:rPr>
        <w:tab/>
      </w:r>
      <w:r w:rsidR="00352927">
        <w:rPr>
          <w:lang w:val="es-ES_tradnl"/>
        </w:rPr>
        <w:tab/>
      </w:r>
      <w:r w:rsidRPr="005235D5">
        <w:rPr>
          <w:lang w:val="es-ES_tradnl"/>
        </w:rPr>
        <w:t>Títulos y res</w:t>
      </w:r>
      <w:r w:rsidR="00BD4DC1" w:rsidRPr="005235D5">
        <w:rPr>
          <w:lang w:val="es-ES_tradnl"/>
        </w:rPr>
        <w:t>ú</w:t>
      </w:r>
      <w:r w:rsidRPr="005235D5">
        <w:rPr>
          <w:lang w:val="es-ES_tradnl"/>
        </w:rPr>
        <w:t xml:space="preserve">menes </w:t>
      </w:r>
      <w:r w:rsidR="00475DD1" w:rsidRPr="005235D5">
        <w:rPr>
          <w:lang w:val="es-ES_tradnl"/>
        </w:rPr>
        <w:t>de</w:t>
      </w:r>
      <w:r w:rsidRPr="005235D5">
        <w:rPr>
          <w:lang w:val="es-ES_tradnl"/>
        </w:rPr>
        <w:t xml:space="preserve"> los proyectos de Recomendación</w:t>
      </w:r>
    </w:p>
    <w:p w14:paraId="3C9A7D43" w14:textId="48B7FA1A" w:rsidR="002E6646" w:rsidRPr="005235D5" w:rsidRDefault="002E6646" w:rsidP="00352927">
      <w:pPr>
        <w:spacing w:before="240"/>
        <w:rPr>
          <w:lang w:val="es-ES"/>
        </w:rPr>
      </w:pPr>
      <w:r w:rsidRPr="005235D5">
        <w:rPr>
          <w:b/>
          <w:bCs/>
          <w:lang w:val="es-ES_tradnl"/>
        </w:rPr>
        <w:t>Documentos:</w:t>
      </w:r>
      <w:r w:rsidRPr="005235D5">
        <w:rPr>
          <w:lang w:val="es-ES_tradnl"/>
        </w:rPr>
        <w:t xml:space="preserve"> </w:t>
      </w:r>
      <w:r w:rsidR="001F1D56" w:rsidRPr="005235D5">
        <w:rPr>
          <w:lang w:val="es-ES_tradnl"/>
        </w:rPr>
        <w:tab/>
      </w:r>
      <w:r w:rsidRPr="005235D5">
        <w:rPr>
          <w:lang w:val="es-ES_tradnl"/>
        </w:rPr>
        <w:t>Documento</w:t>
      </w:r>
      <w:r w:rsidR="00475DD1" w:rsidRPr="005235D5">
        <w:rPr>
          <w:lang w:val="es-ES_tradnl"/>
        </w:rPr>
        <w:t>s</w:t>
      </w:r>
      <w:r w:rsidR="005235D5" w:rsidRPr="005235D5">
        <w:rPr>
          <w:lang w:val="es-ES_tradnl"/>
        </w:rPr>
        <w:t xml:space="preserve"> </w:t>
      </w:r>
      <w:hyperlink r:id="rId10" w:history="1">
        <w:r w:rsidR="005235D5" w:rsidRPr="005235D5">
          <w:rPr>
            <w:rStyle w:val="Hyperlink"/>
            <w:szCs w:val="24"/>
            <w:lang w:val="es-ES"/>
          </w:rPr>
          <w:t>7/82</w:t>
        </w:r>
      </w:hyperlink>
      <w:r w:rsidR="005235D5" w:rsidRPr="005235D5">
        <w:rPr>
          <w:szCs w:val="24"/>
          <w:lang w:val="es-ES"/>
        </w:rPr>
        <w:t xml:space="preserve">, </w:t>
      </w:r>
      <w:hyperlink r:id="rId11" w:history="1">
        <w:r w:rsidR="005235D5" w:rsidRPr="005235D5">
          <w:rPr>
            <w:rStyle w:val="Hyperlink"/>
            <w:szCs w:val="24"/>
            <w:lang w:val="es-ES"/>
          </w:rPr>
          <w:t>7/84(</w:t>
        </w:r>
        <w:proofErr w:type="spellStart"/>
        <w:r w:rsidR="005235D5" w:rsidRPr="005235D5">
          <w:rPr>
            <w:rStyle w:val="Hyperlink"/>
            <w:szCs w:val="24"/>
            <w:lang w:val="es-ES"/>
          </w:rPr>
          <w:t>Rev.1</w:t>
        </w:r>
        <w:proofErr w:type="spellEnd"/>
      </w:hyperlink>
      <w:r w:rsidR="005235D5" w:rsidRPr="005235D5">
        <w:rPr>
          <w:szCs w:val="24"/>
          <w:lang w:val="es-ES"/>
        </w:rPr>
        <w:t xml:space="preserve">), </w:t>
      </w:r>
      <w:hyperlink r:id="rId12" w:history="1">
        <w:r w:rsidR="005235D5" w:rsidRPr="005235D5">
          <w:rPr>
            <w:rStyle w:val="Hyperlink"/>
            <w:szCs w:val="24"/>
            <w:lang w:val="es-ES"/>
          </w:rPr>
          <w:t>7/94</w:t>
        </w:r>
      </w:hyperlink>
      <w:r w:rsidR="005235D5" w:rsidRPr="005235D5">
        <w:rPr>
          <w:rStyle w:val="Hyperlink"/>
          <w:szCs w:val="24"/>
          <w:lang w:val="es-ES"/>
        </w:rPr>
        <w:t>(</w:t>
      </w:r>
      <w:proofErr w:type="spellStart"/>
      <w:r w:rsidR="005235D5" w:rsidRPr="005235D5">
        <w:rPr>
          <w:rStyle w:val="Hyperlink"/>
          <w:szCs w:val="24"/>
          <w:lang w:val="es-ES"/>
        </w:rPr>
        <w:t>Rev.1</w:t>
      </w:r>
      <w:proofErr w:type="spellEnd"/>
      <w:r w:rsidR="005235D5" w:rsidRPr="005235D5">
        <w:rPr>
          <w:rStyle w:val="Hyperlink"/>
          <w:szCs w:val="24"/>
          <w:lang w:val="es-ES"/>
        </w:rPr>
        <w:t>)</w:t>
      </w:r>
      <w:r w:rsidR="005235D5" w:rsidRPr="005235D5">
        <w:rPr>
          <w:szCs w:val="24"/>
          <w:lang w:val="es-ES"/>
        </w:rPr>
        <w:t>,</w:t>
      </w:r>
      <w:hyperlink r:id="rId13" w:history="1">
        <w:r w:rsidR="005235D5" w:rsidRPr="005235D5">
          <w:rPr>
            <w:rStyle w:val="Hyperlink"/>
            <w:szCs w:val="24"/>
            <w:lang w:val="es-ES"/>
          </w:rPr>
          <w:t xml:space="preserve"> 7/95</w:t>
        </w:r>
      </w:hyperlink>
      <w:r w:rsidR="005235D5" w:rsidRPr="005235D5">
        <w:rPr>
          <w:rStyle w:val="Hyperlink"/>
          <w:szCs w:val="24"/>
          <w:lang w:val="es-ES"/>
        </w:rPr>
        <w:t>(</w:t>
      </w:r>
      <w:proofErr w:type="spellStart"/>
      <w:r w:rsidR="005235D5" w:rsidRPr="005235D5">
        <w:rPr>
          <w:rStyle w:val="Hyperlink"/>
          <w:szCs w:val="24"/>
          <w:lang w:val="es-ES"/>
        </w:rPr>
        <w:t>Rev.1</w:t>
      </w:r>
      <w:proofErr w:type="spellEnd"/>
      <w:r w:rsidR="005235D5" w:rsidRPr="005235D5">
        <w:rPr>
          <w:rStyle w:val="Hyperlink"/>
          <w:szCs w:val="24"/>
          <w:lang w:val="es-ES"/>
        </w:rPr>
        <w:t>)</w:t>
      </w:r>
    </w:p>
    <w:p w14:paraId="0DC44D1B" w14:textId="39F1050B" w:rsidR="002E6646" w:rsidRPr="00D00AD1" w:rsidRDefault="002E6646" w:rsidP="00CB23E1">
      <w:pPr>
        <w:jc w:val="left"/>
        <w:rPr>
          <w:lang w:val="es-ES_tradnl"/>
        </w:rPr>
      </w:pPr>
      <w:r w:rsidRPr="005235D5">
        <w:rPr>
          <w:lang w:val="es-ES_tradnl"/>
        </w:rPr>
        <w:t>Dichos documentos están disponibles en formato electrónico en la dirección:</w:t>
      </w:r>
      <w:r w:rsidR="00475DD1" w:rsidRPr="005235D5">
        <w:rPr>
          <w:lang w:val="es-ES"/>
        </w:rPr>
        <w:t xml:space="preserve"> </w:t>
      </w:r>
      <w:hyperlink r:id="rId14" w:history="1">
        <w:r w:rsidR="005235D5" w:rsidRPr="00C35562">
          <w:rPr>
            <w:rStyle w:val="Hyperlink"/>
            <w:lang w:val="es-ES_tradnl"/>
          </w:rPr>
          <w:t>https://</w:t>
        </w:r>
        <w:proofErr w:type="spellStart"/>
        <w:r w:rsidR="005235D5" w:rsidRPr="00C35562">
          <w:rPr>
            <w:rStyle w:val="Hyperlink"/>
            <w:lang w:val="es-ES_tradnl"/>
          </w:rPr>
          <w:t>www.itu.int</w:t>
        </w:r>
        <w:proofErr w:type="spellEnd"/>
        <w:r w:rsidR="005235D5" w:rsidRPr="00C35562">
          <w:rPr>
            <w:rStyle w:val="Hyperlink"/>
            <w:lang w:val="es-ES_tradnl"/>
          </w:rPr>
          <w:t>/</w:t>
        </w:r>
        <w:proofErr w:type="spellStart"/>
        <w:r w:rsidR="005235D5" w:rsidRPr="00C35562">
          <w:rPr>
            <w:rStyle w:val="Hyperlink"/>
            <w:lang w:val="es-ES_tradnl"/>
          </w:rPr>
          <w:t>md</w:t>
        </w:r>
        <w:proofErr w:type="spellEnd"/>
        <w:r w:rsidR="005235D5" w:rsidRPr="00C35562">
          <w:rPr>
            <w:rStyle w:val="Hyperlink"/>
            <w:lang w:val="es-ES_tradnl"/>
          </w:rPr>
          <w:t>/</w:t>
        </w:r>
        <w:proofErr w:type="spellStart"/>
        <w:r w:rsidR="005235D5" w:rsidRPr="00C35562">
          <w:rPr>
            <w:rStyle w:val="Hyperlink"/>
            <w:lang w:val="es-ES_tradnl"/>
          </w:rPr>
          <w:t>R19</w:t>
        </w:r>
        <w:proofErr w:type="spellEnd"/>
        <w:r w:rsidR="005235D5" w:rsidRPr="00C35562">
          <w:rPr>
            <w:rStyle w:val="Hyperlink"/>
            <w:lang w:val="es-ES_tradnl"/>
          </w:rPr>
          <w:t>-</w:t>
        </w:r>
        <w:proofErr w:type="spellStart"/>
        <w:r w:rsidR="005235D5" w:rsidRPr="00C35562">
          <w:rPr>
            <w:rStyle w:val="Hyperlink"/>
            <w:lang w:val="es-ES_tradnl"/>
          </w:rPr>
          <w:t>SG07</w:t>
        </w:r>
        <w:proofErr w:type="spellEnd"/>
        <w:r w:rsidR="005235D5" w:rsidRPr="00C35562">
          <w:rPr>
            <w:rStyle w:val="Hyperlink"/>
            <w:lang w:val="es-ES_tradnl"/>
          </w:rPr>
          <w:t>-C/en</w:t>
        </w:r>
      </w:hyperlink>
      <w:r w:rsidR="00475DD1">
        <w:rPr>
          <w:lang w:val="es-ES_tradnl"/>
        </w:rPr>
        <w:t xml:space="preserve"> </w:t>
      </w:r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658643B2" w14:textId="71592612" w:rsidR="002E6646" w:rsidRPr="00BD4DC1" w:rsidRDefault="002E6646" w:rsidP="00BD4DC1">
      <w:pPr>
        <w:pStyle w:val="AnnexNotitle0"/>
        <w:rPr>
          <w:rFonts w:asciiTheme="minorHAnsi" w:hAnsiTheme="minorHAnsi" w:cstheme="minorHAnsi"/>
        </w:rPr>
      </w:pPr>
      <w:r w:rsidRPr="00BD4DC1">
        <w:rPr>
          <w:rFonts w:asciiTheme="minorHAnsi" w:hAnsiTheme="minorHAnsi" w:cstheme="minorHAnsi"/>
        </w:rPr>
        <w:lastRenderedPageBreak/>
        <w:t>Anexo</w:t>
      </w:r>
      <w:r w:rsidR="00623AE3" w:rsidRPr="00BD4DC1">
        <w:rPr>
          <w:rFonts w:asciiTheme="minorHAnsi" w:hAnsiTheme="minorHAnsi" w:cstheme="minorHAnsi"/>
        </w:rPr>
        <w:br/>
      </w:r>
      <w:r w:rsidR="00623AE3" w:rsidRPr="00BD4DC1">
        <w:rPr>
          <w:rFonts w:asciiTheme="minorHAnsi" w:hAnsiTheme="minorHAnsi" w:cstheme="minorHAnsi"/>
        </w:rPr>
        <w:br/>
      </w:r>
      <w:r w:rsidR="001E212A" w:rsidRPr="00352927">
        <w:rPr>
          <w:rFonts w:asciiTheme="minorHAnsi" w:hAnsiTheme="minorHAnsi" w:cstheme="minorHAnsi"/>
        </w:rPr>
        <w:t>Títulos y res</w:t>
      </w:r>
      <w:r w:rsidR="00BD4DC1" w:rsidRPr="00352927">
        <w:rPr>
          <w:rFonts w:asciiTheme="minorHAnsi" w:hAnsiTheme="minorHAnsi" w:cstheme="minorHAnsi"/>
        </w:rPr>
        <w:t>ú</w:t>
      </w:r>
      <w:r w:rsidRPr="00352927">
        <w:rPr>
          <w:rFonts w:asciiTheme="minorHAnsi" w:hAnsiTheme="minorHAnsi" w:cstheme="minorHAnsi"/>
        </w:rPr>
        <w:t>menes</w:t>
      </w:r>
      <w:r w:rsidR="00352927" w:rsidRPr="00352927">
        <w:rPr>
          <w:rFonts w:asciiTheme="minorHAnsi" w:hAnsiTheme="minorHAnsi" w:cstheme="minorHAnsi"/>
        </w:rPr>
        <w:t xml:space="preserve"> </w:t>
      </w:r>
      <w:r w:rsidRPr="00352927">
        <w:rPr>
          <w:rFonts w:asciiTheme="minorHAnsi" w:hAnsiTheme="minorHAnsi" w:cstheme="minorHAnsi"/>
        </w:rPr>
        <w:t>de los proyectos de Recomendación</w:t>
      </w:r>
      <w:r w:rsidR="00A000AE" w:rsidRPr="00352927">
        <w:rPr>
          <w:rFonts w:asciiTheme="minorHAnsi" w:hAnsiTheme="minorHAnsi" w:cstheme="minorHAnsi"/>
        </w:rPr>
        <w:t xml:space="preserve"> UIT-R</w:t>
      </w:r>
    </w:p>
    <w:p w14:paraId="74B0CFA4" w14:textId="77777777" w:rsidR="002D097B" w:rsidRPr="002F06A4" w:rsidRDefault="002D097B" w:rsidP="002D097B">
      <w:pPr>
        <w:pStyle w:val="Normalaftertitle"/>
        <w:tabs>
          <w:tab w:val="left" w:pos="8505"/>
        </w:tabs>
        <w:rPr>
          <w:lang w:val="es-ES"/>
        </w:rPr>
      </w:pPr>
      <w:r w:rsidRPr="00566AE0">
        <w:rPr>
          <w:u w:val="single"/>
          <w:lang w:val="es-ES"/>
        </w:rPr>
        <w:t>Proyecto de revisión de la Recomendación UIT-R RS.1263-2</w:t>
      </w:r>
      <w:r w:rsidRPr="002F06A4">
        <w:rPr>
          <w:lang w:val="es-ES"/>
        </w:rPr>
        <w:tab/>
        <w:t>Doc. 7/82</w:t>
      </w:r>
    </w:p>
    <w:p w14:paraId="3E1AC9C7" w14:textId="77777777" w:rsidR="002D097B" w:rsidRPr="00CC6104" w:rsidRDefault="002D097B" w:rsidP="002D097B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 xml:space="preserve">Criterios de interferencia para las ayudas a la 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 xml:space="preserve">meteorología 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br/>
        <w:t>en las bandas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 xml:space="preserve"> 400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,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15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noBreakHyphen/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406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 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MHz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 xml:space="preserve"> y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 xml:space="preserve"> 1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 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668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,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4-1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 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700</w:t>
      </w:r>
      <w:r>
        <w:rPr>
          <w:rStyle w:val="RectitleChar"/>
          <w:rFonts w:asciiTheme="minorHAnsi" w:eastAsia="MS Mincho" w:hAnsiTheme="minorHAnsi" w:cstheme="minorHAnsi"/>
          <w:szCs w:val="28"/>
          <w:lang w:val="es-ES"/>
        </w:rPr>
        <w:t> </w:t>
      </w:r>
      <w:r w:rsidRPr="00CC6104">
        <w:rPr>
          <w:rStyle w:val="RectitleChar"/>
          <w:rFonts w:asciiTheme="minorHAnsi" w:eastAsia="MS Mincho" w:hAnsiTheme="minorHAnsi" w:cstheme="minorHAnsi"/>
          <w:szCs w:val="28"/>
          <w:lang w:val="es-ES"/>
        </w:rPr>
        <w:t>MHz</w:t>
      </w:r>
    </w:p>
    <w:p w14:paraId="24BBB33B" w14:textId="77777777" w:rsidR="002D097B" w:rsidRPr="00CC6104" w:rsidRDefault="002D097B" w:rsidP="002D097B">
      <w:pPr>
        <w:pStyle w:val="Normalaftertitle"/>
        <w:spacing w:before="360"/>
        <w:rPr>
          <w:lang w:val="es-ES"/>
        </w:rPr>
      </w:pPr>
      <w:r w:rsidRPr="00CC6104">
        <w:rPr>
          <w:lang w:val="es-ES"/>
        </w:rPr>
        <w:t xml:space="preserve">En esta revisión se corrigen los criterios </w:t>
      </w:r>
      <w:r>
        <w:rPr>
          <w:lang w:val="es-ES"/>
        </w:rPr>
        <w:t>de interferencia de las radiosondas erróneos debidos a un error de cálculo</w:t>
      </w:r>
      <w:r w:rsidRPr="00CC6104">
        <w:rPr>
          <w:lang w:val="es-ES"/>
        </w:rPr>
        <w:t>.</w:t>
      </w:r>
    </w:p>
    <w:p w14:paraId="4FD7B367" w14:textId="77777777" w:rsidR="002D097B" w:rsidRPr="00CC6104" w:rsidRDefault="002D097B" w:rsidP="002D097B">
      <w:pPr>
        <w:pStyle w:val="Normalaftertitle"/>
        <w:tabs>
          <w:tab w:val="left" w:pos="7938"/>
        </w:tabs>
        <w:rPr>
          <w:lang w:val="es-ES"/>
        </w:rPr>
      </w:pPr>
      <w:r w:rsidRPr="00566AE0">
        <w:rPr>
          <w:u w:val="single"/>
          <w:lang w:val="es-ES"/>
        </w:rPr>
        <w:t>Proyecto de revisión de la Recomendación UIT-R RS.1813-1</w:t>
      </w:r>
      <w:r w:rsidRPr="00CC6104">
        <w:rPr>
          <w:lang w:val="es-ES"/>
        </w:rPr>
        <w:tab/>
        <w:t>Doc. 7/84(Rev.1)</w:t>
      </w:r>
    </w:p>
    <w:p w14:paraId="210A4F83" w14:textId="77777777" w:rsidR="002D097B" w:rsidRPr="00CC6104" w:rsidRDefault="002D097B" w:rsidP="002D097B">
      <w:pPr>
        <w:pStyle w:val="Rectitle"/>
        <w:rPr>
          <w:lang w:val="es-ES"/>
        </w:rPr>
      </w:pPr>
      <w:r w:rsidRPr="00CC6104">
        <w:rPr>
          <w:lang w:val="es-ES"/>
        </w:rPr>
        <w:t xml:space="preserve">Diagrama de antena de referencia para sensores pasivos que funcionan </w:t>
      </w:r>
      <w:r>
        <w:rPr>
          <w:lang w:val="es-ES"/>
        </w:rPr>
        <w:br/>
      </w:r>
      <w:r w:rsidRPr="00CC6104">
        <w:rPr>
          <w:lang w:val="es-ES"/>
        </w:rPr>
        <w:t xml:space="preserve">en el servicio de exploración </w:t>
      </w:r>
      <w:r>
        <w:rPr>
          <w:lang w:val="es-ES"/>
        </w:rPr>
        <w:t>de la Tierra por satélite (pasivo) que deben utilizarse en los análisis de compatibilidad en la gama de frecuencias</w:t>
      </w:r>
      <w:r w:rsidRPr="00CC6104">
        <w:rPr>
          <w:lang w:val="es-ES"/>
        </w:rPr>
        <w:t xml:space="preserve"> 1</w:t>
      </w:r>
      <w:r>
        <w:rPr>
          <w:lang w:val="es-ES"/>
        </w:rPr>
        <w:t>,</w:t>
      </w:r>
      <w:r w:rsidRPr="00CC6104">
        <w:rPr>
          <w:lang w:val="es-ES"/>
        </w:rPr>
        <w:t>4-450</w:t>
      </w:r>
      <w:r>
        <w:rPr>
          <w:lang w:val="es-ES"/>
        </w:rPr>
        <w:t> </w:t>
      </w:r>
      <w:r w:rsidRPr="00CC6104">
        <w:rPr>
          <w:lang w:val="es-ES"/>
        </w:rPr>
        <w:t>GHz</w:t>
      </w:r>
    </w:p>
    <w:p w14:paraId="239906F2" w14:textId="77777777" w:rsidR="002D097B" w:rsidRPr="00CC6104" w:rsidRDefault="002D097B" w:rsidP="002D097B">
      <w:pPr>
        <w:rPr>
          <w:sz w:val="28"/>
          <w:szCs w:val="24"/>
          <w:lang w:val="es-ES"/>
        </w:rPr>
      </w:pPr>
      <w:r w:rsidRPr="00CC6104">
        <w:rPr>
          <w:lang w:val="es-ES"/>
        </w:rPr>
        <w:t>En esta revisión se amplía la gama de frecuenc</w:t>
      </w:r>
      <w:r>
        <w:rPr>
          <w:lang w:val="es-ES"/>
        </w:rPr>
        <w:t xml:space="preserve">ias a que se aplica la Recomendación de </w:t>
      </w:r>
      <w:r w:rsidRPr="00CC6104">
        <w:rPr>
          <w:lang w:val="es-ES"/>
        </w:rPr>
        <w:t>1</w:t>
      </w:r>
      <w:r>
        <w:rPr>
          <w:lang w:val="es-ES"/>
        </w:rPr>
        <w:t>,</w:t>
      </w:r>
      <w:r w:rsidRPr="00CC6104">
        <w:rPr>
          <w:lang w:val="es-ES"/>
        </w:rPr>
        <w:t>4-100</w:t>
      </w:r>
      <w:r>
        <w:rPr>
          <w:lang w:val="es-ES"/>
        </w:rPr>
        <w:t> </w:t>
      </w:r>
      <w:r w:rsidRPr="00CC6104">
        <w:rPr>
          <w:lang w:val="es-ES"/>
        </w:rPr>
        <w:t xml:space="preserve">GHz </w:t>
      </w:r>
      <w:r>
        <w:rPr>
          <w:lang w:val="es-ES"/>
        </w:rPr>
        <w:t>a</w:t>
      </w:r>
      <w:r w:rsidRPr="00CC6104">
        <w:rPr>
          <w:lang w:val="es-ES"/>
        </w:rPr>
        <w:t xml:space="preserve"> 1</w:t>
      </w:r>
      <w:r>
        <w:rPr>
          <w:lang w:val="es-ES"/>
        </w:rPr>
        <w:t>,</w:t>
      </w:r>
      <w:r w:rsidRPr="00CC6104">
        <w:rPr>
          <w:lang w:val="es-ES"/>
        </w:rPr>
        <w:t>4-450</w:t>
      </w:r>
      <w:r>
        <w:rPr>
          <w:lang w:val="es-ES"/>
        </w:rPr>
        <w:t> </w:t>
      </w:r>
      <w:r w:rsidRPr="00CC6104">
        <w:rPr>
          <w:lang w:val="es-ES"/>
        </w:rPr>
        <w:t>GHz. Además, se han añadido una definición de diagrama de gana</w:t>
      </w:r>
      <w:r>
        <w:rPr>
          <w:lang w:val="es-ES"/>
        </w:rPr>
        <w:t>ncia de antena y una figura que define el sistema de coordenadas para los reflectores elípticos</w:t>
      </w:r>
      <w:r w:rsidRPr="00CC6104">
        <w:rPr>
          <w:lang w:val="es-ES"/>
        </w:rPr>
        <w:t>.</w:t>
      </w:r>
    </w:p>
    <w:p w14:paraId="40AC27CA" w14:textId="77777777" w:rsidR="002D097B" w:rsidRPr="00CC6104" w:rsidRDefault="002D097B" w:rsidP="002D097B">
      <w:pPr>
        <w:pStyle w:val="Normalaftertitle"/>
        <w:tabs>
          <w:tab w:val="left" w:pos="7938"/>
        </w:tabs>
        <w:rPr>
          <w:lang w:val="es-ES"/>
        </w:rPr>
      </w:pPr>
      <w:r w:rsidRPr="00566AE0">
        <w:rPr>
          <w:u w:val="single"/>
          <w:lang w:val="es-ES"/>
        </w:rPr>
        <w:t>Proyecto de revisión de la Recomendación UIT-R RS.2105-1</w:t>
      </w:r>
      <w:r w:rsidRPr="00CC6104">
        <w:rPr>
          <w:lang w:val="es-ES"/>
        </w:rPr>
        <w:tab/>
        <w:t>Doc. 7/94(Rev.1)</w:t>
      </w:r>
    </w:p>
    <w:p w14:paraId="277F3ADD" w14:textId="77777777" w:rsidR="002D097B" w:rsidRPr="00CC6104" w:rsidRDefault="002D097B" w:rsidP="002D097B">
      <w:pPr>
        <w:pStyle w:val="Rectitle"/>
        <w:rPr>
          <w:lang w:val="es-ES"/>
        </w:rPr>
      </w:pPr>
      <w:r w:rsidRPr="00CC6104">
        <w:rPr>
          <w:lang w:val="es-ES"/>
        </w:rPr>
        <w:t xml:space="preserve">Características técnicas y operativas típicas de los sistemas </w:t>
      </w:r>
      <w:r>
        <w:rPr>
          <w:lang w:val="es-ES"/>
        </w:rPr>
        <w:br/>
      </w:r>
      <w:r w:rsidRPr="00CC6104">
        <w:rPr>
          <w:lang w:val="es-ES"/>
        </w:rPr>
        <w:t xml:space="preserve">del servicio de </w:t>
      </w:r>
      <w:r>
        <w:rPr>
          <w:lang w:val="es-ES"/>
        </w:rPr>
        <w:t xml:space="preserve">exploración de la Tierra por satélite (activo) </w:t>
      </w:r>
      <w:r>
        <w:rPr>
          <w:lang w:val="es-ES"/>
        </w:rPr>
        <w:br/>
        <w:t>que utilizan atribuciones entre</w:t>
      </w:r>
      <w:r w:rsidRPr="00CC6104">
        <w:rPr>
          <w:lang w:val="es-ES"/>
        </w:rPr>
        <w:t xml:space="preserve"> 432 MHz </w:t>
      </w:r>
      <w:r>
        <w:rPr>
          <w:lang w:val="es-ES"/>
        </w:rPr>
        <w:t>y</w:t>
      </w:r>
      <w:r w:rsidRPr="00CC6104">
        <w:rPr>
          <w:lang w:val="es-ES"/>
        </w:rPr>
        <w:t xml:space="preserve"> 238 GHz</w:t>
      </w:r>
    </w:p>
    <w:p w14:paraId="5701F8E4" w14:textId="77777777" w:rsidR="002D097B" w:rsidRPr="00CC6104" w:rsidRDefault="002D097B" w:rsidP="002D097B">
      <w:pPr>
        <w:pStyle w:val="Normalaftertitle"/>
        <w:rPr>
          <w:lang w:val="es-ES" w:eastAsia="de-DE"/>
        </w:rPr>
      </w:pPr>
      <w:r w:rsidRPr="00CC6104">
        <w:rPr>
          <w:lang w:val="es-ES" w:eastAsia="de-DE"/>
        </w:rPr>
        <w:t xml:space="preserve">En esta revisión de la Recomendación </w:t>
      </w:r>
      <w:hyperlink r:id="rId15" w:history="1">
        <w:r w:rsidRPr="00CC6104">
          <w:rPr>
            <w:color w:val="0000FF"/>
            <w:u w:val="single"/>
            <w:lang w:val="es-ES" w:eastAsia="de-DE"/>
          </w:rPr>
          <w:t xml:space="preserve">UIT-R </w:t>
        </w:r>
        <w:proofErr w:type="spellStart"/>
        <w:r w:rsidRPr="00CC6104">
          <w:rPr>
            <w:color w:val="0000FF"/>
            <w:u w:val="single"/>
            <w:lang w:val="es-ES" w:eastAsia="de-DE"/>
          </w:rPr>
          <w:t>RS.2105</w:t>
        </w:r>
        <w:proofErr w:type="spellEnd"/>
      </w:hyperlink>
      <w:r w:rsidRPr="00CC6104">
        <w:rPr>
          <w:lang w:val="es-ES" w:eastAsia="de-DE"/>
        </w:rPr>
        <w:t xml:space="preserve">-1 se actualizan algunos de los </w:t>
      </w:r>
      <w:r>
        <w:rPr>
          <w:lang w:val="es-ES" w:eastAsia="de-DE"/>
        </w:rPr>
        <w:t>parámetros técnicos y operativos del SETS (activo) presentados en el Anexo a esta Recomendación, como sigue</w:t>
      </w:r>
      <w:r w:rsidRPr="00CC6104">
        <w:rPr>
          <w:lang w:val="es-ES" w:eastAsia="de-DE"/>
        </w:rPr>
        <w:t>:</w:t>
      </w:r>
    </w:p>
    <w:p w14:paraId="01B61D0C" w14:textId="77777777" w:rsidR="002D097B" w:rsidRPr="002978B2" w:rsidRDefault="002D097B" w:rsidP="002D097B">
      <w:pPr>
        <w:rPr>
          <w:lang w:val="es-ES" w:eastAsia="de-DE"/>
        </w:rPr>
      </w:pPr>
      <w:r w:rsidRPr="002978B2">
        <w:rPr>
          <w:lang w:val="es-ES" w:eastAsia="de-DE"/>
        </w:rPr>
        <w:t>Cuadro 6:</w:t>
      </w:r>
    </w:p>
    <w:p w14:paraId="4284FD25" w14:textId="77777777" w:rsidR="002D097B" w:rsidRPr="00CC6104" w:rsidRDefault="002D097B" w:rsidP="002D097B">
      <w:pPr>
        <w:pStyle w:val="enumlev1"/>
        <w:rPr>
          <w:lang w:val="es-ES" w:eastAsia="de-DE"/>
        </w:rPr>
      </w:pPr>
      <w:r w:rsidRPr="00CC6104">
        <w:rPr>
          <w:lang w:val="es-ES" w:eastAsia="de-DE"/>
        </w:rPr>
        <w:t>–</w:t>
      </w:r>
      <w:r w:rsidRPr="00CC6104">
        <w:rPr>
          <w:lang w:val="es-ES" w:eastAsia="de-DE"/>
        </w:rPr>
        <w:tab/>
        <w:t>Adición de un nuevo sistema SAR-B4 r</w:t>
      </w:r>
      <w:r>
        <w:rPr>
          <w:lang w:val="es-ES" w:eastAsia="de-DE"/>
        </w:rPr>
        <w:t>epresentativo en la banda de frecuencias</w:t>
      </w:r>
      <w:r w:rsidRPr="00CC6104">
        <w:rPr>
          <w:lang w:val="es-ES" w:eastAsia="de-DE"/>
        </w:rPr>
        <w:t xml:space="preserve"> 1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215</w:t>
      </w:r>
      <w:r>
        <w:rPr>
          <w:lang w:val="es-ES" w:eastAsia="de-DE"/>
        </w:rPr>
        <w:noBreakHyphen/>
      </w:r>
      <w:r w:rsidRPr="00CC6104">
        <w:rPr>
          <w:lang w:val="es-ES" w:eastAsia="de-DE"/>
        </w:rPr>
        <w:t>1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300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MHz (SAR</w:t>
      </w:r>
      <w:r w:rsidRPr="00CC6104">
        <w:rPr>
          <w:lang w:val="es-ES" w:eastAsia="de-DE"/>
        </w:rPr>
        <w:noBreakHyphen/>
        <w:t>B4).</w:t>
      </w:r>
    </w:p>
    <w:p w14:paraId="02F05F98" w14:textId="77777777" w:rsidR="002D097B" w:rsidRPr="00CC6104" w:rsidRDefault="002D097B" w:rsidP="002D097B">
      <w:pPr>
        <w:pStyle w:val="enumlev1"/>
        <w:rPr>
          <w:lang w:val="es-ES" w:eastAsia="de-DE"/>
        </w:rPr>
      </w:pPr>
      <w:r w:rsidRPr="00CC6104">
        <w:rPr>
          <w:lang w:val="es-ES" w:eastAsia="de-DE"/>
        </w:rPr>
        <w:t>–</w:t>
      </w:r>
      <w:r w:rsidRPr="00CC6104">
        <w:rPr>
          <w:lang w:val="es-ES" w:eastAsia="de-DE"/>
        </w:rPr>
        <w:tab/>
        <w:t>Corrección de las características del sistema SAR-B2 e</w:t>
      </w:r>
      <w:r>
        <w:rPr>
          <w:lang w:val="es-ES" w:eastAsia="de-DE"/>
        </w:rPr>
        <w:t>n la banda de frecuencias</w:t>
      </w:r>
      <w:r w:rsidRPr="00CC6104">
        <w:rPr>
          <w:lang w:val="es-ES" w:eastAsia="de-DE"/>
        </w:rPr>
        <w:t xml:space="preserve"> 1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215</w:t>
      </w:r>
      <w:r>
        <w:rPr>
          <w:lang w:val="es-ES" w:eastAsia="de-DE"/>
        </w:rPr>
        <w:noBreakHyphen/>
      </w:r>
      <w:r w:rsidRPr="00CC6104">
        <w:rPr>
          <w:lang w:val="es-ES" w:eastAsia="de-DE"/>
        </w:rPr>
        <w:t>1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300</w:t>
      </w:r>
      <w:r>
        <w:rPr>
          <w:lang w:val="es-ES" w:eastAsia="de-DE"/>
        </w:rPr>
        <w:t> </w:t>
      </w:r>
      <w:r w:rsidRPr="00CC6104">
        <w:rPr>
          <w:lang w:val="es-ES" w:eastAsia="de-DE"/>
        </w:rPr>
        <w:t>MHz (SAR-B2).</w:t>
      </w:r>
    </w:p>
    <w:p w14:paraId="5A900AF5" w14:textId="77777777" w:rsidR="002D097B" w:rsidRPr="00CC6104" w:rsidRDefault="002D097B" w:rsidP="002D097B">
      <w:pPr>
        <w:rPr>
          <w:lang w:val="es-ES"/>
        </w:rPr>
      </w:pPr>
      <w:r w:rsidRPr="00CC6104">
        <w:rPr>
          <w:lang w:val="es-ES"/>
        </w:rPr>
        <w:t>Cuadro 18:</w:t>
      </w:r>
    </w:p>
    <w:p w14:paraId="63013072" w14:textId="77777777" w:rsidR="002D097B" w:rsidRPr="00CC6104" w:rsidRDefault="002D097B" w:rsidP="002D097B">
      <w:pPr>
        <w:pStyle w:val="enumlev1"/>
        <w:rPr>
          <w:lang w:val="es-ES" w:eastAsia="ja-JP"/>
        </w:rPr>
      </w:pPr>
      <w:r w:rsidRPr="00CC6104">
        <w:rPr>
          <w:lang w:val="es-ES"/>
        </w:rPr>
        <w:t>–</w:t>
      </w:r>
      <w:r w:rsidRPr="00CC6104">
        <w:rPr>
          <w:lang w:val="es-ES"/>
        </w:rPr>
        <w:tab/>
      </w:r>
      <w:r w:rsidRPr="00CC6104">
        <w:rPr>
          <w:lang w:val="es-ES" w:eastAsia="ja-JP"/>
        </w:rPr>
        <w:t xml:space="preserve">Corrección de las características </w:t>
      </w:r>
      <w:r>
        <w:rPr>
          <w:lang w:val="es-ES" w:eastAsia="ja-JP"/>
        </w:rPr>
        <w:t>de</w:t>
      </w:r>
      <w:r w:rsidRPr="00CC6104">
        <w:rPr>
          <w:lang w:val="es-ES" w:eastAsia="ja-JP"/>
        </w:rPr>
        <w:t xml:space="preserve"> ALT-J2 (SWOT).</w:t>
      </w:r>
    </w:p>
    <w:p w14:paraId="3FAC7548" w14:textId="77777777" w:rsidR="002D097B" w:rsidRPr="00CC6104" w:rsidRDefault="002D097B" w:rsidP="002D097B">
      <w:pPr>
        <w:pStyle w:val="Normalaftertitle"/>
        <w:keepNext/>
        <w:keepLines/>
        <w:tabs>
          <w:tab w:val="left" w:pos="7938"/>
        </w:tabs>
        <w:rPr>
          <w:lang w:val="es-ES"/>
        </w:rPr>
      </w:pPr>
      <w:r w:rsidRPr="00566AE0">
        <w:rPr>
          <w:u w:val="single"/>
          <w:lang w:val="es-ES"/>
        </w:rPr>
        <w:lastRenderedPageBreak/>
        <w:t>Proyecto de revisión de la Recomendación UIT-R RS.1166-4</w:t>
      </w:r>
      <w:r w:rsidRPr="00CC6104">
        <w:rPr>
          <w:lang w:val="es-ES"/>
        </w:rPr>
        <w:tab/>
        <w:t>Doc. 7/95(Rev.1)</w:t>
      </w:r>
    </w:p>
    <w:p w14:paraId="561C2C43" w14:textId="77777777" w:rsidR="002D097B" w:rsidRPr="00EE47D6" w:rsidRDefault="002D097B" w:rsidP="002D097B">
      <w:pPr>
        <w:pStyle w:val="Rectitle"/>
        <w:rPr>
          <w:lang w:val="es-ES" w:eastAsia="zh-CN"/>
        </w:rPr>
      </w:pPr>
      <w:r w:rsidRPr="00EE47D6">
        <w:rPr>
          <w:lang w:val="es-ES" w:eastAsia="zh-CN"/>
        </w:rPr>
        <w:t>Criterios de calidad de funcionamien</w:t>
      </w:r>
      <w:r>
        <w:rPr>
          <w:lang w:val="es-ES" w:eastAsia="zh-CN"/>
        </w:rPr>
        <w:t xml:space="preserve">to y de interferencia </w:t>
      </w:r>
      <w:r>
        <w:rPr>
          <w:lang w:val="es-ES" w:eastAsia="zh-CN"/>
        </w:rPr>
        <w:br/>
        <w:t>para sensores activos a bordo de vehículos espaciales</w:t>
      </w:r>
    </w:p>
    <w:p w14:paraId="11DAEFC4" w14:textId="77777777" w:rsidR="002D097B" w:rsidRPr="00EE47D6" w:rsidRDefault="002D097B" w:rsidP="002D097B">
      <w:pPr>
        <w:pStyle w:val="Normalaftertitle"/>
        <w:keepNext/>
        <w:keepLines/>
        <w:rPr>
          <w:b/>
          <w:lang w:val="es-ES"/>
        </w:rPr>
      </w:pPr>
      <w:r w:rsidRPr="00EE47D6">
        <w:rPr>
          <w:lang w:val="es-ES"/>
        </w:rPr>
        <w:t>Con esta revisión se pretende integrar la calidad de funcionamiento de los sensores de</w:t>
      </w:r>
      <w:r>
        <w:rPr>
          <w:lang w:val="es-ES"/>
        </w:rPr>
        <w:t>l SETS (activo) más recientes, así como aclarar y mejorar varias partes del texto</w:t>
      </w:r>
      <w:r w:rsidRPr="00EE47D6">
        <w:rPr>
          <w:lang w:val="es-ES"/>
        </w:rPr>
        <w:t>.</w:t>
      </w:r>
    </w:p>
    <w:p w14:paraId="172CFB7C" w14:textId="77777777" w:rsidR="002D097B" w:rsidRPr="00EE47D6" w:rsidRDefault="002D097B" w:rsidP="002D097B">
      <w:pPr>
        <w:pStyle w:val="Reasons"/>
        <w:rPr>
          <w:lang w:val="es-ES"/>
        </w:rPr>
      </w:pPr>
    </w:p>
    <w:p w14:paraId="33B89040" w14:textId="77777777" w:rsidR="002D097B" w:rsidRDefault="002D097B" w:rsidP="002D097B">
      <w:pPr>
        <w:jc w:val="center"/>
      </w:pPr>
      <w:r>
        <w:t>______________</w:t>
      </w:r>
    </w:p>
    <w:sectPr w:rsidR="002D097B" w:rsidSect="00031E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0877" w14:textId="77777777" w:rsidR="008D70C6" w:rsidRDefault="008D7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A8F8" w14:textId="77777777" w:rsidR="008D70C6" w:rsidRDefault="008D7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03B" w14:textId="079ABC7B" w:rsidR="00CD1697" w:rsidRPr="009440C7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9440C7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9440C7">
      <w:rPr>
        <w:color w:val="4F81BD" w:themeColor="accent1"/>
        <w:sz w:val="19"/>
        <w:szCs w:val="19"/>
        <w:lang w:val="es-ES"/>
      </w:rPr>
      <w:t>Nations</w:t>
    </w:r>
    <w:proofErr w:type="spellEnd"/>
    <w:r w:rsidRPr="009440C7">
      <w:rPr>
        <w:color w:val="4F81BD" w:themeColor="accent1"/>
        <w:sz w:val="19"/>
        <w:szCs w:val="19"/>
        <w:lang w:val="es-ES"/>
      </w:rPr>
      <w:t>, CH</w:t>
    </w:r>
    <w:r w:rsidRPr="009440C7">
      <w:rPr>
        <w:color w:val="4F81BD" w:themeColor="accent1"/>
        <w:sz w:val="19"/>
        <w:szCs w:val="19"/>
        <w:lang w:val="es-ES"/>
      </w:rPr>
      <w:noBreakHyphen/>
      <w:t xml:space="preserve">1211 Ginebra 20, Suiza • </w:t>
    </w:r>
    <w:r w:rsidRPr="009440C7">
      <w:rPr>
        <w:color w:val="4F81BD" w:themeColor="accent1"/>
        <w:sz w:val="19"/>
        <w:szCs w:val="19"/>
        <w:lang w:val="es-ES"/>
      </w:rPr>
      <w:br/>
      <w:t>Tel</w:t>
    </w:r>
    <w:r w:rsidR="00643B50" w:rsidRPr="009440C7">
      <w:rPr>
        <w:color w:val="4F81BD" w:themeColor="accent1"/>
        <w:sz w:val="19"/>
        <w:szCs w:val="19"/>
        <w:lang w:val="es-ES"/>
      </w:rPr>
      <w:t>.</w:t>
    </w:r>
    <w:r w:rsidRPr="009440C7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proofErr w:type="spellStart"/>
      <w:r w:rsidRPr="009440C7">
        <w:rPr>
          <w:rStyle w:val="Hyperlink"/>
          <w:sz w:val="19"/>
          <w:szCs w:val="19"/>
          <w:lang w:val="es-ES"/>
        </w:rPr>
        <w:t>itumail@itu.int</w:t>
      </w:r>
      <w:proofErr w:type="spellEnd"/>
    </w:hyperlink>
    <w:r w:rsidRPr="009440C7">
      <w:rPr>
        <w:color w:val="4F81BD" w:themeColor="accent1"/>
        <w:sz w:val="19"/>
        <w:szCs w:val="19"/>
        <w:lang w:val="es-ES"/>
      </w:rPr>
      <w:t xml:space="preserve"> • Fax: +41 22 733 7256 • </w:t>
    </w:r>
    <w:hyperlink r:id="rId2" w:history="1">
      <w:r w:rsidRPr="009440C7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3E3A" w14:textId="35FAC7A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7273" w14:textId="77777777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317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844"/>
    </w:tblGrid>
    <w:tr w:rsidR="008D70C6" w14:paraId="13F62A5A" w14:textId="77777777" w:rsidTr="00057AAA">
      <w:tc>
        <w:tcPr>
          <w:tcW w:w="4814" w:type="dxa"/>
        </w:tcPr>
        <w:p w14:paraId="7ED8A6C1" w14:textId="77777777" w:rsidR="008D70C6" w:rsidRDefault="008D70C6" w:rsidP="008D70C6">
          <w:pPr>
            <w:pStyle w:val="Header"/>
            <w:spacing w:line="360" w:lineRule="auto"/>
            <w:ind w:left="567"/>
          </w:pPr>
          <w:r>
            <w:rPr>
              <w:noProof/>
              <w:lang w:val="en-GB" w:eastAsia="en-GB"/>
            </w:rPr>
            <w:drawing>
              <wp:inline distT="0" distB="0" distL="0" distR="0" wp14:anchorId="183BD9EC" wp14:editId="4B23FDAA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588225EF" w14:textId="77777777" w:rsidR="008D70C6" w:rsidRDefault="008D70C6" w:rsidP="008D70C6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EC72ECF" wp14:editId="7A5BA30C">
                <wp:extent cx="2938780" cy="723186"/>
                <wp:effectExtent l="0" t="0" r="0" b="127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C38114" w14:textId="77777777" w:rsidR="008D70C6" w:rsidRPr="00EA15B3" w:rsidRDefault="008D70C6" w:rsidP="008D70C6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22699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67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19C8"/>
    <w:rsid w:val="0011265F"/>
    <w:rsid w:val="00117282"/>
    <w:rsid w:val="00117389"/>
    <w:rsid w:val="0012191D"/>
    <w:rsid w:val="00121C2D"/>
    <w:rsid w:val="00134404"/>
    <w:rsid w:val="00144DFB"/>
    <w:rsid w:val="00146F6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D097B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107D"/>
    <w:rsid w:val="00316935"/>
    <w:rsid w:val="003266ED"/>
    <w:rsid w:val="00326C68"/>
    <w:rsid w:val="0033029C"/>
    <w:rsid w:val="003370B8"/>
    <w:rsid w:val="003428EF"/>
    <w:rsid w:val="00345D38"/>
    <w:rsid w:val="00352097"/>
    <w:rsid w:val="00352927"/>
    <w:rsid w:val="003666FF"/>
    <w:rsid w:val="00367ECB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28F8"/>
    <w:rsid w:val="004E43BB"/>
    <w:rsid w:val="004E460D"/>
    <w:rsid w:val="004E772A"/>
    <w:rsid w:val="004F178E"/>
    <w:rsid w:val="004F4543"/>
    <w:rsid w:val="004F57BB"/>
    <w:rsid w:val="00501627"/>
    <w:rsid w:val="00505309"/>
    <w:rsid w:val="0050789B"/>
    <w:rsid w:val="0051672E"/>
    <w:rsid w:val="005224A1"/>
    <w:rsid w:val="005235D5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D3A91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43B50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0D9E"/>
    <w:rsid w:val="00775DB8"/>
    <w:rsid w:val="00782354"/>
    <w:rsid w:val="007921A7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70C6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40C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00A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23AE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paragraph" w:styleId="Revision">
    <w:name w:val="Revision"/>
    <w:hidden/>
    <w:uiPriority w:val="99"/>
    <w:semiHidden/>
    <w:rsid w:val="00146F64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35D5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D097B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2D097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9-SG07-C-0095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-0094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7-C-008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ec/R-REC-RS.2105/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R19-SG07-C-008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s://www.itu.int/md/R19-SG07-C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58F0-F14C-48A6-B253-45FA16E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180</TotalTime>
  <Pages>4</Pages>
  <Words>708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5225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27</cp:revision>
  <cp:lastPrinted>2020-02-07T14:00:00Z</cp:lastPrinted>
  <dcterms:created xsi:type="dcterms:W3CDTF">2020-02-04T10:48:00Z</dcterms:created>
  <dcterms:modified xsi:type="dcterms:W3CDTF">2023-10-27T14:31:00Z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