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09587E" w14:paraId="463460B9" w14:textId="77777777" w:rsidTr="00306452">
        <w:trPr>
          <w:jc w:val="center"/>
        </w:trPr>
        <w:tc>
          <w:tcPr>
            <w:tcW w:w="9889" w:type="dxa"/>
            <w:gridSpan w:val="3"/>
            <w:shd w:val="clear" w:color="auto" w:fill="auto"/>
          </w:tcPr>
          <w:p w14:paraId="20110B32" w14:textId="77777777" w:rsidR="00E53DCE" w:rsidRPr="0009587E" w:rsidRDefault="00A96D3A" w:rsidP="006160CB">
            <w:pPr>
              <w:spacing w:before="0"/>
              <w:jc w:val="left"/>
              <w:rPr>
                <w:rFonts w:cstheme="minorHAnsi"/>
                <w:b/>
                <w:bCs/>
                <w:color w:val="808080"/>
                <w:sz w:val="28"/>
                <w:szCs w:val="28"/>
                <w:lang w:val="es-ES"/>
              </w:rPr>
            </w:pPr>
            <w:r w:rsidRPr="0009587E">
              <w:rPr>
                <w:rFonts w:cstheme="minorHAnsi"/>
                <w:b/>
                <w:bCs/>
                <w:color w:val="808080"/>
                <w:sz w:val="28"/>
                <w:szCs w:val="28"/>
                <w:lang w:val="es-ES"/>
              </w:rPr>
              <w:t>Oficina de Radiocomunicaciones (BR)</w:t>
            </w:r>
          </w:p>
          <w:p w14:paraId="48E73D9A" w14:textId="77777777" w:rsidR="00E53DCE" w:rsidRPr="0009587E" w:rsidRDefault="00E53DCE" w:rsidP="006160CB">
            <w:pPr>
              <w:spacing w:before="0"/>
              <w:jc w:val="left"/>
              <w:rPr>
                <w:rFonts w:cstheme="minorHAnsi"/>
                <w:b/>
                <w:bCs/>
                <w:color w:val="808080"/>
                <w:sz w:val="28"/>
                <w:szCs w:val="28"/>
                <w:lang w:val="es-ES"/>
              </w:rPr>
            </w:pPr>
          </w:p>
          <w:p w14:paraId="6A331EE0" w14:textId="77777777" w:rsidR="00E53DCE" w:rsidRPr="0009587E" w:rsidRDefault="00E53DCE" w:rsidP="006160CB">
            <w:pPr>
              <w:spacing w:before="0"/>
              <w:jc w:val="left"/>
              <w:rPr>
                <w:rFonts w:cs="Times New Roman Bold"/>
                <w:b/>
                <w:bCs/>
                <w:color w:val="808080"/>
                <w:sz w:val="28"/>
                <w:szCs w:val="28"/>
                <w:lang w:val="es-ES"/>
              </w:rPr>
            </w:pPr>
          </w:p>
        </w:tc>
      </w:tr>
      <w:tr w:rsidR="00E53DCE" w:rsidRPr="0009587E" w14:paraId="4425E30F" w14:textId="77777777" w:rsidTr="00306452">
        <w:trPr>
          <w:jc w:val="center"/>
        </w:trPr>
        <w:tc>
          <w:tcPr>
            <w:tcW w:w="7054" w:type="dxa"/>
            <w:gridSpan w:val="2"/>
            <w:shd w:val="clear" w:color="auto" w:fill="auto"/>
          </w:tcPr>
          <w:p w14:paraId="626F81E1" w14:textId="77777777" w:rsidR="00E53DCE" w:rsidRPr="0009587E" w:rsidRDefault="00A96D3A" w:rsidP="006160CB">
            <w:pPr>
              <w:spacing w:before="0"/>
              <w:jc w:val="left"/>
              <w:rPr>
                <w:szCs w:val="24"/>
                <w:lang w:val="es-ES"/>
              </w:rPr>
            </w:pPr>
            <w:r w:rsidRPr="0009587E">
              <w:rPr>
                <w:szCs w:val="24"/>
                <w:lang w:val="es-ES"/>
              </w:rPr>
              <w:t>Circular Administrativa</w:t>
            </w:r>
          </w:p>
          <w:p w14:paraId="6AD68B6C" w14:textId="6C020C95" w:rsidR="00E53DCE" w:rsidRPr="0009587E" w:rsidRDefault="00E53DCE" w:rsidP="006160CB">
            <w:pPr>
              <w:spacing w:before="0"/>
              <w:jc w:val="left"/>
              <w:rPr>
                <w:b/>
                <w:bCs/>
                <w:szCs w:val="24"/>
                <w:lang w:val="es-ES"/>
              </w:rPr>
            </w:pPr>
            <w:r w:rsidRPr="0009587E">
              <w:rPr>
                <w:b/>
                <w:bCs/>
                <w:szCs w:val="24"/>
                <w:lang w:val="es-ES"/>
              </w:rPr>
              <w:t>CA</w:t>
            </w:r>
            <w:r w:rsidR="00600CD5" w:rsidRPr="0009587E">
              <w:rPr>
                <w:b/>
                <w:bCs/>
                <w:szCs w:val="24"/>
                <w:lang w:val="es-ES"/>
              </w:rPr>
              <w:t>CE</w:t>
            </w:r>
            <w:r w:rsidRPr="0009587E">
              <w:rPr>
                <w:b/>
                <w:bCs/>
                <w:szCs w:val="24"/>
                <w:lang w:val="es-ES"/>
              </w:rPr>
              <w:t>/</w:t>
            </w:r>
            <w:r w:rsidR="00665818">
              <w:rPr>
                <w:b/>
                <w:bCs/>
                <w:szCs w:val="24"/>
                <w:lang w:val="es-ES"/>
              </w:rPr>
              <w:t>1084</w:t>
            </w:r>
          </w:p>
        </w:tc>
        <w:sdt>
          <w:sdtPr>
            <w:rPr>
              <w:szCs w:val="24"/>
              <w:lang w:val="es-ES_tradnl"/>
            </w:rPr>
            <w:alias w:val="Elija la fecha"/>
            <w:tag w:val="Elija la fecha"/>
            <w:id w:val="1383129201"/>
            <w:placeholder>
              <w:docPart w:val="DA1B11D16CF64F9D858FE4BF47212DE6"/>
            </w:placeholder>
            <w:date w:fullDate="2023-10-26T00:00:00Z">
              <w:dateFormat w:val="d' de 'MMMM' de 'yyyy"/>
              <w:lid w:val="es-ES"/>
              <w:storeMappedDataAs w:val="dateTime"/>
              <w:calendar w:val="gregorian"/>
            </w:date>
          </w:sdtPr>
          <w:sdtEndPr/>
          <w:sdtContent>
            <w:tc>
              <w:tcPr>
                <w:tcW w:w="2835" w:type="dxa"/>
                <w:shd w:val="clear" w:color="auto" w:fill="auto"/>
              </w:tcPr>
              <w:p w14:paraId="43AFA3A6" w14:textId="73CEF128" w:rsidR="00E53DCE" w:rsidRPr="0009587E" w:rsidRDefault="00EB3ECD" w:rsidP="003D361B">
                <w:pPr>
                  <w:spacing w:before="0"/>
                  <w:jc w:val="right"/>
                  <w:rPr>
                    <w:szCs w:val="24"/>
                    <w:lang w:val="es-ES"/>
                  </w:rPr>
                </w:pPr>
                <w:r>
                  <w:rPr>
                    <w:szCs w:val="24"/>
                    <w:lang w:val="es-ES"/>
                  </w:rPr>
                  <w:t>26 de octubre de 2023</w:t>
                </w:r>
              </w:p>
            </w:tc>
          </w:sdtContent>
        </w:sdt>
      </w:tr>
      <w:tr w:rsidR="00E53DCE" w:rsidRPr="0009587E" w14:paraId="028C707C" w14:textId="77777777" w:rsidTr="00306452">
        <w:trPr>
          <w:jc w:val="center"/>
        </w:trPr>
        <w:tc>
          <w:tcPr>
            <w:tcW w:w="9889" w:type="dxa"/>
            <w:gridSpan w:val="3"/>
            <w:shd w:val="clear" w:color="auto" w:fill="auto"/>
          </w:tcPr>
          <w:p w14:paraId="7C84826C" w14:textId="77777777" w:rsidR="00E53DCE" w:rsidRPr="0009587E" w:rsidRDefault="00E53DCE" w:rsidP="006160CB">
            <w:pPr>
              <w:spacing w:before="0"/>
              <w:jc w:val="left"/>
              <w:rPr>
                <w:rFonts w:cs="Arial"/>
                <w:szCs w:val="24"/>
                <w:lang w:val="es-ES"/>
              </w:rPr>
            </w:pPr>
          </w:p>
        </w:tc>
      </w:tr>
      <w:tr w:rsidR="00E53DCE" w:rsidRPr="0009587E" w14:paraId="5858C768" w14:textId="77777777" w:rsidTr="00306452">
        <w:trPr>
          <w:jc w:val="center"/>
        </w:trPr>
        <w:tc>
          <w:tcPr>
            <w:tcW w:w="9889" w:type="dxa"/>
            <w:gridSpan w:val="3"/>
            <w:shd w:val="clear" w:color="auto" w:fill="auto"/>
          </w:tcPr>
          <w:p w14:paraId="60C3F347" w14:textId="77777777" w:rsidR="00E53DCE" w:rsidRPr="0009587E" w:rsidRDefault="00E53DCE" w:rsidP="006160CB">
            <w:pPr>
              <w:spacing w:before="0"/>
              <w:jc w:val="left"/>
              <w:rPr>
                <w:szCs w:val="24"/>
                <w:lang w:val="es-ES"/>
              </w:rPr>
            </w:pPr>
          </w:p>
        </w:tc>
      </w:tr>
      <w:tr w:rsidR="00E53DCE" w:rsidRPr="00EB3ECD" w14:paraId="0F305053" w14:textId="77777777" w:rsidTr="00306452">
        <w:trPr>
          <w:jc w:val="center"/>
        </w:trPr>
        <w:tc>
          <w:tcPr>
            <w:tcW w:w="9889" w:type="dxa"/>
            <w:gridSpan w:val="3"/>
            <w:shd w:val="clear" w:color="auto" w:fill="auto"/>
          </w:tcPr>
          <w:p w14:paraId="60E6BEBD" w14:textId="7D110B95" w:rsidR="00E53DCE" w:rsidRPr="0009587E" w:rsidRDefault="00687A6F" w:rsidP="003D361B">
            <w:pPr>
              <w:spacing w:before="0"/>
              <w:jc w:val="left"/>
              <w:rPr>
                <w:b/>
                <w:bCs/>
                <w:szCs w:val="24"/>
                <w:lang w:val="es-ES"/>
              </w:rPr>
            </w:pPr>
            <w:r w:rsidRPr="0009587E">
              <w:rPr>
                <w:b/>
                <w:lang w:val="es-ES"/>
              </w:rPr>
              <w:t>A las Administraciones de los Estados Miembros de la UIT, a los Miembros del Sector</w:t>
            </w:r>
            <w:r w:rsidR="003D361B" w:rsidRPr="0009587E">
              <w:rPr>
                <w:b/>
                <w:lang w:val="es-ES"/>
              </w:rPr>
              <w:t xml:space="preserve"> </w:t>
            </w:r>
            <w:r w:rsidRPr="0009587E">
              <w:rPr>
                <w:b/>
                <w:lang w:val="es-ES"/>
              </w:rPr>
              <w:t>de Radiocomunicaciones, a los Asociados del UIT-R que participan en los trabajos</w:t>
            </w:r>
            <w:r w:rsidR="003D361B" w:rsidRPr="0009587E">
              <w:rPr>
                <w:b/>
                <w:lang w:val="es-ES"/>
              </w:rPr>
              <w:t xml:space="preserve"> </w:t>
            </w:r>
            <w:r w:rsidRPr="0009587E">
              <w:rPr>
                <w:b/>
                <w:lang w:val="es-ES"/>
              </w:rPr>
              <w:t xml:space="preserve">de la </w:t>
            </w:r>
            <w:r w:rsidR="0075687A">
              <w:rPr>
                <w:b/>
                <w:lang w:val="es-ES"/>
              </w:rPr>
              <w:br/>
            </w:r>
            <w:r w:rsidRPr="0009587E">
              <w:rPr>
                <w:b/>
                <w:lang w:val="es-ES"/>
              </w:rPr>
              <w:t xml:space="preserve">Comisión de Estudio </w:t>
            </w:r>
            <w:r w:rsidR="00665818">
              <w:rPr>
                <w:b/>
                <w:lang w:val="es-ES"/>
              </w:rPr>
              <w:t>7</w:t>
            </w:r>
            <w:r w:rsidRPr="0009587E">
              <w:rPr>
                <w:b/>
                <w:lang w:val="es-ES"/>
              </w:rPr>
              <w:t xml:space="preserve"> de Radiocomunicaciones</w:t>
            </w:r>
            <w:r w:rsidR="003D361B" w:rsidRPr="0009587E">
              <w:rPr>
                <w:b/>
                <w:lang w:val="es-ES"/>
              </w:rPr>
              <w:t xml:space="preserve"> </w:t>
            </w:r>
            <w:r w:rsidRPr="0009587E">
              <w:rPr>
                <w:b/>
                <w:lang w:val="es-ES"/>
              </w:rPr>
              <w:t>y a las Instituciones Académicas de la UIT</w:t>
            </w:r>
          </w:p>
        </w:tc>
      </w:tr>
      <w:tr w:rsidR="00E53DCE" w:rsidRPr="00EB3ECD" w14:paraId="76ED53DB" w14:textId="77777777" w:rsidTr="00306452">
        <w:trPr>
          <w:jc w:val="center"/>
        </w:trPr>
        <w:tc>
          <w:tcPr>
            <w:tcW w:w="9889" w:type="dxa"/>
            <w:gridSpan w:val="3"/>
            <w:shd w:val="clear" w:color="auto" w:fill="auto"/>
          </w:tcPr>
          <w:p w14:paraId="4B8636B3" w14:textId="77777777" w:rsidR="00E53DCE" w:rsidRPr="0009587E" w:rsidRDefault="00E53DCE" w:rsidP="006160CB">
            <w:pPr>
              <w:spacing w:before="0"/>
              <w:jc w:val="left"/>
              <w:rPr>
                <w:szCs w:val="24"/>
                <w:lang w:val="es-ES"/>
              </w:rPr>
            </w:pPr>
          </w:p>
        </w:tc>
      </w:tr>
      <w:tr w:rsidR="00E53DCE" w:rsidRPr="00EB3ECD" w14:paraId="490DDE35" w14:textId="77777777" w:rsidTr="00306452">
        <w:trPr>
          <w:jc w:val="center"/>
        </w:trPr>
        <w:tc>
          <w:tcPr>
            <w:tcW w:w="9889" w:type="dxa"/>
            <w:gridSpan w:val="3"/>
            <w:shd w:val="clear" w:color="auto" w:fill="auto"/>
          </w:tcPr>
          <w:p w14:paraId="09B6E8CE" w14:textId="77777777" w:rsidR="00E53DCE" w:rsidRPr="0009587E" w:rsidRDefault="00E53DCE" w:rsidP="006160CB">
            <w:pPr>
              <w:spacing w:before="0"/>
              <w:jc w:val="left"/>
              <w:rPr>
                <w:szCs w:val="24"/>
                <w:lang w:val="es-ES"/>
              </w:rPr>
            </w:pPr>
          </w:p>
        </w:tc>
      </w:tr>
      <w:tr w:rsidR="00E53DCE" w:rsidRPr="00EB3ECD" w14:paraId="22257933" w14:textId="77777777" w:rsidTr="00306452">
        <w:trPr>
          <w:jc w:val="center"/>
        </w:trPr>
        <w:tc>
          <w:tcPr>
            <w:tcW w:w="1526" w:type="dxa"/>
            <w:shd w:val="clear" w:color="auto" w:fill="auto"/>
          </w:tcPr>
          <w:p w14:paraId="34127A03" w14:textId="77777777" w:rsidR="00E53DCE" w:rsidRPr="00665818" w:rsidRDefault="00687A6F" w:rsidP="006160CB">
            <w:pPr>
              <w:tabs>
                <w:tab w:val="clear" w:pos="1588"/>
                <w:tab w:val="left" w:pos="1560"/>
              </w:tabs>
              <w:spacing w:before="0"/>
              <w:jc w:val="left"/>
              <w:rPr>
                <w:szCs w:val="24"/>
                <w:lang w:val="es-ES"/>
              </w:rPr>
            </w:pPr>
            <w:r w:rsidRPr="00665818">
              <w:rPr>
                <w:szCs w:val="24"/>
                <w:lang w:val="es-ES"/>
              </w:rPr>
              <w:t>Asunto</w:t>
            </w:r>
            <w:r w:rsidR="00A96D3A" w:rsidRPr="00665818">
              <w:rPr>
                <w:szCs w:val="24"/>
                <w:lang w:val="es-ES"/>
              </w:rPr>
              <w:t>:</w:t>
            </w:r>
          </w:p>
        </w:tc>
        <w:tc>
          <w:tcPr>
            <w:tcW w:w="8363" w:type="dxa"/>
            <w:gridSpan w:val="2"/>
            <w:vMerge w:val="restart"/>
            <w:shd w:val="clear" w:color="auto" w:fill="auto"/>
          </w:tcPr>
          <w:p w14:paraId="118DD2A0" w14:textId="75F58A76" w:rsidR="00551ED7" w:rsidRPr="00665818" w:rsidRDefault="00551ED7" w:rsidP="00551ED7">
            <w:pPr>
              <w:spacing w:before="0"/>
              <w:jc w:val="left"/>
              <w:rPr>
                <w:b/>
                <w:bCs/>
                <w:szCs w:val="24"/>
                <w:lang w:val="es-ES"/>
              </w:rPr>
            </w:pPr>
            <w:r w:rsidRPr="00665818">
              <w:rPr>
                <w:b/>
                <w:bCs/>
                <w:szCs w:val="24"/>
                <w:lang w:val="es-ES"/>
              </w:rPr>
              <w:t xml:space="preserve">Comisión de Estudio </w:t>
            </w:r>
            <w:r w:rsidR="00665818" w:rsidRPr="00665818">
              <w:rPr>
                <w:rStyle w:val="Style1"/>
                <w:szCs w:val="24"/>
                <w:lang w:val="es-ES"/>
              </w:rPr>
              <w:t>7</w:t>
            </w:r>
            <w:r w:rsidRPr="00665818">
              <w:rPr>
                <w:b/>
                <w:bCs/>
                <w:szCs w:val="24"/>
                <w:lang w:val="es-ES"/>
              </w:rPr>
              <w:t xml:space="preserve"> de Radiocomunicaciones </w:t>
            </w:r>
            <w:r w:rsidR="00665818" w:rsidRPr="00665818">
              <w:rPr>
                <w:rStyle w:val="Style2"/>
                <w:szCs w:val="24"/>
                <w:lang w:val="es-ES"/>
              </w:rPr>
              <w:t>(Servicios científicos)</w:t>
            </w:r>
          </w:p>
          <w:p w14:paraId="717149B4" w14:textId="4C0D68A4" w:rsidR="00E53DCE" w:rsidRPr="0009587E" w:rsidRDefault="00687A6F" w:rsidP="00463724">
            <w:pPr>
              <w:spacing w:before="120"/>
              <w:ind w:left="794" w:hanging="794"/>
              <w:jc w:val="left"/>
              <w:rPr>
                <w:b/>
                <w:bCs/>
                <w:szCs w:val="24"/>
                <w:lang w:val="es-ES"/>
              </w:rPr>
            </w:pPr>
            <w:r w:rsidRPr="00665818">
              <w:rPr>
                <w:b/>
                <w:bCs/>
                <w:lang w:val="es-ES"/>
              </w:rPr>
              <w:t>–</w:t>
            </w:r>
            <w:r w:rsidRPr="00665818">
              <w:rPr>
                <w:b/>
                <w:bCs/>
                <w:lang w:val="es-ES"/>
              </w:rPr>
              <w:tab/>
            </w:r>
            <w:r w:rsidR="00463724" w:rsidRPr="00665818">
              <w:rPr>
                <w:b/>
                <w:bCs/>
                <w:lang w:val="es-ES"/>
              </w:rPr>
              <w:t xml:space="preserve">Propuesta de adopción por correspondencia de </w:t>
            </w:r>
            <w:r w:rsidR="00665818" w:rsidRPr="00665818">
              <w:rPr>
                <w:b/>
                <w:bCs/>
                <w:lang w:val="es-ES"/>
              </w:rPr>
              <w:t xml:space="preserve">1 </w:t>
            </w:r>
            <w:r w:rsidR="00463724" w:rsidRPr="00665818">
              <w:rPr>
                <w:b/>
                <w:lang w:val="es-ES"/>
              </w:rPr>
              <w:t xml:space="preserve">proyecto de Recomendación </w:t>
            </w:r>
            <w:r w:rsidR="00744659" w:rsidRPr="00665818">
              <w:rPr>
                <w:b/>
                <w:lang w:val="es-ES"/>
              </w:rPr>
              <w:t xml:space="preserve">UIT-R </w:t>
            </w:r>
            <w:r w:rsidR="00463724" w:rsidRPr="00665818">
              <w:rPr>
                <w:b/>
                <w:lang w:val="es-ES"/>
              </w:rPr>
              <w:t>revisada</w:t>
            </w:r>
          </w:p>
        </w:tc>
      </w:tr>
      <w:tr w:rsidR="00E53DCE" w:rsidRPr="00EB3ECD" w14:paraId="43E74FDC" w14:textId="77777777" w:rsidTr="00306452">
        <w:trPr>
          <w:jc w:val="center"/>
        </w:trPr>
        <w:tc>
          <w:tcPr>
            <w:tcW w:w="1526" w:type="dxa"/>
            <w:shd w:val="clear" w:color="auto" w:fill="auto"/>
          </w:tcPr>
          <w:p w14:paraId="12A76848" w14:textId="77777777" w:rsidR="00E53DCE" w:rsidRPr="0009587E"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3B5841F6" w14:textId="77777777" w:rsidR="00E53DCE" w:rsidRPr="0009587E" w:rsidRDefault="00E53DCE" w:rsidP="006160CB">
            <w:pPr>
              <w:tabs>
                <w:tab w:val="clear" w:pos="1588"/>
                <w:tab w:val="left" w:pos="1560"/>
              </w:tabs>
              <w:spacing w:before="0"/>
              <w:rPr>
                <w:b/>
                <w:bCs/>
                <w:szCs w:val="24"/>
                <w:lang w:val="es-ES"/>
              </w:rPr>
            </w:pPr>
          </w:p>
        </w:tc>
      </w:tr>
      <w:tr w:rsidR="00E53DCE" w:rsidRPr="00EB3ECD" w14:paraId="07E01CE1" w14:textId="77777777" w:rsidTr="00306452">
        <w:trPr>
          <w:jc w:val="center"/>
        </w:trPr>
        <w:tc>
          <w:tcPr>
            <w:tcW w:w="1526" w:type="dxa"/>
            <w:shd w:val="clear" w:color="auto" w:fill="auto"/>
          </w:tcPr>
          <w:p w14:paraId="1BEF8E6E" w14:textId="77777777" w:rsidR="00E53DCE" w:rsidRPr="0009587E"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5037CDD4" w14:textId="77777777" w:rsidR="00E53DCE" w:rsidRPr="0009587E" w:rsidRDefault="00E53DCE" w:rsidP="006160CB">
            <w:pPr>
              <w:tabs>
                <w:tab w:val="clear" w:pos="1588"/>
                <w:tab w:val="left" w:pos="1560"/>
              </w:tabs>
              <w:spacing w:before="0"/>
              <w:rPr>
                <w:b/>
                <w:bCs/>
                <w:szCs w:val="24"/>
                <w:lang w:val="es-ES"/>
              </w:rPr>
            </w:pPr>
          </w:p>
        </w:tc>
      </w:tr>
      <w:tr w:rsidR="00600CD5" w:rsidRPr="00EB3ECD" w14:paraId="5AAAC876" w14:textId="77777777" w:rsidTr="00306452">
        <w:trPr>
          <w:jc w:val="center"/>
        </w:trPr>
        <w:tc>
          <w:tcPr>
            <w:tcW w:w="1526" w:type="dxa"/>
            <w:shd w:val="clear" w:color="auto" w:fill="auto"/>
          </w:tcPr>
          <w:p w14:paraId="3BC09591" w14:textId="77777777" w:rsidR="00600CD5" w:rsidRPr="0009587E" w:rsidRDefault="00600CD5" w:rsidP="006160CB">
            <w:pPr>
              <w:tabs>
                <w:tab w:val="clear" w:pos="1588"/>
                <w:tab w:val="left" w:pos="1560"/>
              </w:tabs>
              <w:spacing w:before="0"/>
              <w:jc w:val="left"/>
              <w:rPr>
                <w:b/>
                <w:bCs/>
                <w:szCs w:val="24"/>
                <w:lang w:val="es-ES"/>
              </w:rPr>
            </w:pPr>
          </w:p>
        </w:tc>
        <w:tc>
          <w:tcPr>
            <w:tcW w:w="8363" w:type="dxa"/>
            <w:gridSpan w:val="2"/>
            <w:shd w:val="clear" w:color="auto" w:fill="auto"/>
          </w:tcPr>
          <w:p w14:paraId="6636AD7F" w14:textId="77777777" w:rsidR="00600CD5" w:rsidRPr="0009587E" w:rsidRDefault="00600CD5" w:rsidP="006160CB">
            <w:pPr>
              <w:tabs>
                <w:tab w:val="clear" w:pos="1588"/>
                <w:tab w:val="left" w:pos="1560"/>
              </w:tabs>
              <w:spacing w:before="0"/>
              <w:rPr>
                <w:b/>
                <w:bCs/>
                <w:szCs w:val="24"/>
                <w:lang w:val="es-ES"/>
              </w:rPr>
            </w:pPr>
          </w:p>
        </w:tc>
      </w:tr>
      <w:tr w:rsidR="00600CD5" w:rsidRPr="00EB3ECD" w14:paraId="234C96FC" w14:textId="77777777" w:rsidTr="00306452">
        <w:trPr>
          <w:jc w:val="center"/>
        </w:trPr>
        <w:tc>
          <w:tcPr>
            <w:tcW w:w="1526" w:type="dxa"/>
            <w:shd w:val="clear" w:color="auto" w:fill="auto"/>
          </w:tcPr>
          <w:p w14:paraId="64D94336" w14:textId="77777777" w:rsidR="00600CD5" w:rsidRPr="0009587E" w:rsidRDefault="00600CD5" w:rsidP="006160CB">
            <w:pPr>
              <w:tabs>
                <w:tab w:val="clear" w:pos="1588"/>
                <w:tab w:val="left" w:pos="1560"/>
              </w:tabs>
              <w:spacing w:before="0"/>
              <w:jc w:val="left"/>
              <w:rPr>
                <w:b/>
                <w:bCs/>
                <w:szCs w:val="24"/>
                <w:lang w:val="es-ES"/>
              </w:rPr>
            </w:pPr>
          </w:p>
        </w:tc>
        <w:tc>
          <w:tcPr>
            <w:tcW w:w="8363" w:type="dxa"/>
            <w:gridSpan w:val="2"/>
            <w:shd w:val="clear" w:color="auto" w:fill="auto"/>
          </w:tcPr>
          <w:p w14:paraId="7DF4617B" w14:textId="77777777" w:rsidR="00600CD5" w:rsidRPr="0009587E" w:rsidRDefault="00600CD5" w:rsidP="006160CB">
            <w:pPr>
              <w:tabs>
                <w:tab w:val="clear" w:pos="1588"/>
                <w:tab w:val="left" w:pos="1560"/>
              </w:tabs>
              <w:spacing w:before="0"/>
              <w:rPr>
                <w:b/>
                <w:bCs/>
                <w:szCs w:val="24"/>
                <w:lang w:val="es-ES"/>
              </w:rPr>
            </w:pPr>
          </w:p>
        </w:tc>
      </w:tr>
    </w:tbl>
    <w:p w14:paraId="268DB19C" w14:textId="5CB25E88" w:rsidR="00463724" w:rsidRPr="006D2FAF" w:rsidRDefault="00463724" w:rsidP="002B1A7A">
      <w:pPr>
        <w:pStyle w:val="Normalaftertitle0"/>
        <w:spacing w:before="360"/>
        <w:jc w:val="both"/>
        <w:rPr>
          <w:rFonts w:asciiTheme="minorHAnsi" w:hAnsiTheme="minorHAnsi" w:cstheme="minorHAnsi"/>
          <w:lang w:val="es-ES"/>
        </w:rPr>
      </w:pPr>
      <w:r w:rsidRPr="00665818">
        <w:rPr>
          <w:rFonts w:asciiTheme="minorHAnsi" w:hAnsiTheme="minorHAnsi" w:cstheme="minorHAnsi"/>
          <w:spacing w:val="-4"/>
          <w:lang w:val="es-ES"/>
        </w:rPr>
        <w:t xml:space="preserve">En la reunión de la Comisión de Estudio </w:t>
      </w:r>
      <w:r w:rsidR="00665818" w:rsidRPr="00665818">
        <w:rPr>
          <w:rFonts w:asciiTheme="minorHAnsi" w:hAnsiTheme="minorHAnsi" w:cstheme="minorHAnsi"/>
          <w:spacing w:val="-4"/>
          <w:lang w:val="es-ES"/>
        </w:rPr>
        <w:t>7</w:t>
      </w:r>
      <w:r w:rsidRPr="00665818">
        <w:rPr>
          <w:rFonts w:asciiTheme="minorHAnsi" w:hAnsiTheme="minorHAnsi" w:cstheme="minorHAnsi"/>
          <w:spacing w:val="-4"/>
          <w:lang w:val="es-ES"/>
        </w:rPr>
        <w:t xml:space="preserve"> de Radiocomunicaciones celebrada </w:t>
      </w:r>
      <w:r w:rsidR="00687EB0" w:rsidRPr="00665818">
        <w:rPr>
          <w:rFonts w:asciiTheme="minorHAnsi" w:hAnsiTheme="minorHAnsi" w:cstheme="minorHAnsi"/>
          <w:spacing w:val="-4"/>
          <w:lang w:val="es-ES"/>
        </w:rPr>
        <w:t xml:space="preserve">el </w:t>
      </w:r>
      <w:r w:rsidR="00665818" w:rsidRPr="00665818">
        <w:rPr>
          <w:rFonts w:asciiTheme="minorHAnsi" w:hAnsiTheme="minorHAnsi" w:cstheme="minorHAnsi"/>
          <w:spacing w:val="-4"/>
          <w:lang w:val="es-ES"/>
        </w:rPr>
        <w:t>12 de octubre de 2023</w:t>
      </w:r>
      <w:r w:rsidRPr="00665818">
        <w:rPr>
          <w:rFonts w:asciiTheme="minorHAnsi" w:hAnsiTheme="minorHAnsi" w:cstheme="minorHAnsi"/>
          <w:lang w:val="es-ES"/>
        </w:rPr>
        <w:t>, la Comisión de Estudio decidió solicitar la adopción</w:t>
      </w:r>
      <w:r w:rsidR="004D51EA" w:rsidRPr="00665818">
        <w:rPr>
          <w:rFonts w:asciiTheme="minorHAnsi" w:hAnsiTheme="minorHAnsi" w:cstheme="minorHAnsi"/>
          <w:lang w:val="es-ES"/>
        </w:rPr>
        <w:t xml:space="preserve"> de </w:t>
      </w:r>
      <w:r w:rsidR="0075687A">
        <w:rPr>
          <w:rFonts w:asciiTheme="minorHAnsi" w:hAnsiTheme="minorHAnsi" w:cstheme="minorHAnsi"/>
          <w:lang w:val="es-ES"/>
        </w:rPr>
        <w:t xml:space="preserve">1 </w:t>
      </w:r>
      <w:r w:rsidRPr="00665818">
        <w:rPr>
          <w:rFonts w:asciiTheme="minorHAnsi" w:hAnsiTheme="minorHAnsi" w:cstheme="minorHAnsi"/>
          <w:lang w:val="es-ES"/>
        </w:rPr>
        <w:t xml:space="preserve">proyecto de Recomendación </w:t>
      </w:r>
      <w:r w:rsidR="00744659" w:rsidRPr="00665818">
        <w:rPr>
          <w:rFonts w:asciiTheme="minorHAnsi" w:hAnsiTheme="minorHAnsi" w:cstheme="minorHAnsi"/>
          <w:lang w:val="es-ES"/>
        </w:rPr>
        <w:t xml:space="preserve">UIT-R </w:t>
      </w:r>
      <w:r w:rsidRPr="00665818">
        <w:rPr>
          <w:rFonts w:asciiTheme="minorHAnsi" w:hAnsiTheme="minorHAnsi" w:cstheme="minorHAnsi"/>
          <w:lang w:val="es-ES"/>
        </w:rPr>
        <w:t>revisada de conformidad con el § A2.6.2.2.3 de la Resolución UIT</w:t>
      </w:r>
      <w:r w:rsidRPr="00665818">
        <w:rPr>
          <w:rFonts w:asciiTheme="minorHAnsi" w:hAnsiTheme="minorHAnsi" w:cstheme="minorHAnsi"/>
          <w:lang w:val="es-ES"/>
        </w:rPr>
        <w:noBreakHyphen/>
        <w:t>R 1</w:t>
      </w:r>
      <w:r w:rsidRPr="00665818">
        <w:rPr>
          <w:rFonts w:asciiTheme="minorHAnsi" w:hAnsiTheme="minorHAnsi" w:cstheme="minorHAnsi"/>
          <w:lang w:val="es-ES"/>
        </w:rPr>
        <w:noBreakHyphen/>
      </w:r>
      <w:r w:rsidR="00687EB0" w:rsidRPr="00665818">
        <w:rPr>
          <w:rFonts w:asciiTheme="minorHAnsi" w:hAnsiTheme="minorHAnsi" w:cstheme="minorHAnsi"/>
          <w:lang w:val="es-ES"/>
        </w:rPr>
        <w:t>8</w:t>
      </w:r>
      <w:r w:rsidRPr="00665818">
        <w:rPr>
          <w:rFonts w:asciiTheme="minorHAnsi" w:hAnsiTheme="minorHAnsi" w:cstheme="minorHAnsi"/>
          <w:lang w:val="es-ES"/>
        </w:rPr>
        <w:t xml:space="preserve"> (Adopción por una Comisión de Estudio por correspondencia). </w:t>
      </w:r>
      <w:r w:rsidR="00687EB0" w:rsidRPr="00665818">
        <w:rPr>
          <w:rFonts w:asciiTheme="minorHAnsi" w:hAnsiTheme="minorHAnsi" w:cstheme="minorHAnsi"/>
          <w:lang w:val="es-ES"/>
        </w:rPr>
        <w:t>El</w:t>
      </w:r>
      <w:r w:rsidRPr="00665818">
        <w:rPr>
          <w:rFonts w:asciiTheme="minorHAnsi" w:hAnsiTheme="minorHAnsi" w:cstheme="minorHAnsi"/>
          <w:lang w:val="es-ES"/>
        </w:rPr>
        <w:t xml:space="preserve"> título y el resumen del proyecto de Recomendación se facilitan en </w:t>
      </w:r>
      <w:r w:rsidRPr="006D2FAF">
        <w:rPr>
          <w:rFonts w:asciiTheme="minorHAnsi" w:hAnsiTheme="minorHAnsi" w:cstheme="minorHAnsi"/>
          <w:lang w:val="es-ES"/>
        </w:rPr>
        <w:t xml:space="preserve">el Anexo </w:t>
      </w:r>
      <w:r w:rsidR="00687EB0" w:rsidRPr="006D2FAF">
        <w:rPr>
          <w:rFonts w:asciiTheme="minorHAnsi" w:hAnsiTheme="minorHAnsi" w:cstheme="minorHAnsi"/>
          <w:lang w:val="es-ES"/>
        </w:rPr>
        <w:t>a la presente</w:t>
      </w:r>
      <w:r w:rsidR="004D51EA" w:rsidRPr="006D2FAF">
        <w:rPr>
          <w:rFonts w:asciiTheme="minorHAnsi" w:hAnsiTheme="minorHAnsi" w:cstheme="minorHAnsi"/>
          <w:lang w:val="es-ES"/>
        </w:rPr>
        <w:t xml:space="preserve"> carta</w:t>
      </w:r>
      <w:r w:rsidRPr="006D2FAF">
        <w:rPr>
          <w:rFonts w:asciiTheme="minorHAnsi" w:hAnsiTheme="minorHAnsi" w:cstheme="minorHAnsi"/>
          <w:lang w:val="es-ES"/>
        </w:rPr>
        <w:t xml:space="preserve">. </w:t>
      </w:r>
    </w:p>
    <w:p w14:paraId="24E38677" w14:textId="463FC7A6" w:rsidR="00463724" w:rsidRPr="00665818" w:rsidRDefault="00463724" w:rsidP="004C750B">
      <w:pPr>
        <w:rPr>
          <w:lang w:val="es-ES"/>
        </w:rPr>
      </w:pPr>
      <w:r w:rsidRPr="00665818">
        <w:rPr>
          <w:lang w:val="es-ES"/>
        </w:rPr>
        <w:t xml:space="preserve">El periodo de consideración será de 2 meses hasta el </w:t>
      </w:r>
      <w:r w:rsidR="00665818" w:rsidRPr="00665818">
        <w:rPr>
          <w:u w:val="single"/>
          <w:lang w:val="es-ES"/>
        </w:rPr>
        <w:t>2</w:t>
      </w:r>
      <w:r w:rsidR="00EB3ECD">
        <w:rPr>
          <w:u w:val="single"/>
          <w:lang w:val="es-ES"/>
        </w:rPr>
        <w:t>6</w:t>
      </w:r>
      <w:r w:rsidR="004C750B" w:rsidRPr="00665818">
        <w:rPr>
          <w:u w:val="single"/>
          <w:lang w:val="es-ES"/>
        </w:rPr>
        <w:t xml:space="preserve"> de </w:t>
      </w:r>
      <w:r w:rsidR="00665818" w:rsidRPr="00665818">
        <w:rPr>
          <w:u w:val="single"/>
          <w:lang w:val="es-ES"/>
        </w:rPr>
        <w:t>diciembre</w:t>
      </w:r>
      <w:r w:rsidRPr="00665818">
        <w:rPr>
          <w:u w:val="single"/>
          <w:lang w:val="es-ES"/>
        </w:rPr>
        <w:t xml:space="preserve"> de 20</w:t>
      </w:r>
      <w:r w:rsidR="00665818" w:rsidRPr="00665818">
        <w:rPr>
          <w:u w:val="single"/>
          <w:lang w:val="es-ES"/>
        </w:rPr>
        <w:t>23</w:t>
      </w:r>
      <w:r w:rsidR="006D2FAF">
        <w:rPr>
          <w:u w:val="single"/>
          <w:lang w:val="es-ES"/>
        </w:rPr>
        <w:t>.</w:t>
      </w:r>
      <w:r w:rsidRPr="00665818">
        <w:rPr>
          <w:lang w:val="es-ES"/>
        </w:rPr>
        <w:t xml:space="preserve"> Si durante este periodo no se reciben objeciones de los Estados Miembros, se iniciará el procedimiento de aprobación por consulta indicado en el § A2.6.2.3 de la Resolución UIT</w:t>
      </w:r>
      <w:r w:rsidRPr="00665818">
        <w:rPr>
          <w:lang w:val="es-ES"/>
        </w:rPr>
        <w:noBreakHyphen/>
        <w:t>R 1-</w:t>
      </w:r>
      <w:r w:rsidR="00687EB0" w:rsidRPr="00665818">
        <w:rPr>
          <w:lang w:val="es-ES"/>
        </w:rPr>
        <w:t>8</w:t>
      </w:r>
      <w:r w:rsidRPr="00665818">
        <w:rPr>
          <w:lang w:val="es-ES"/>
        </w:rPr>
        <w:t>.</w:t>
      </w:r>
    </w:p>
    <w:p w14:paraId="47AA4012" w14:textId="6347BE96" w:rsidR="00463724" w:rsidRPr="00665818" w:rsidRDefault="00463724" w:rsidP="00463724">
      <w:pPr>
        <w:rPr>
          <w:lang w:val="es-ES"/>
        </w:rPr>
      </w:pPr>
      <w:r w:rsidRPr="00665818">
        <w:rPr>
          <w:lang w:val="es-ES"/>
        </w:rPr>
        <w:t xml:space="preserve">Todo Estado Miembro que </w:t>
      </w:r>
      <w:r w:rsidR="000D465A" w:rsidRPr="00665818">
        <w:rPr>
          <w:lang w:val="es-ES_tradnl"/>
        </w:rPr>
        <w:t xml:space="preserve">formule una objeción contra la </w:t>
      </w:r>
      <w:r w:rsidRPr="00665818">
        <w:rPr>
          <w:lang w:val="es-ES"/>
        </w:rPr>
        <w:t>adopción del proyecto de Recomendación debe informar al Director y al Presidente de la Comisión de Estudio de los motivos de dicha objeción.</w:t>
      </w:r>
    </w:p>
    <w:p w14:paraId="6968DF42" w14:textId="42ED3E04" w:rsidR="00463724" w:rsidRPr="00665818" w:rsidRDefault="00463724" w:rsidP="000E125C">
      <w:pPr>
        <w:keepNext/>
        <w:keepLines/>
        <w:rPr>
          <w:lang w:val="es-ES"/>
        </w:rPr>
      </w:pPr>
      <w:r w:rsidRPr="00665818">
        <w:rPr>
          <w:lang w:val="es-ES"/>
        </w:rPr>
        <w:lastRenderedPageBreak/>
        <w:t xml:space="preserve">Se solicita a toda organización miembro de la UIT que tenga conocimiento de una patente, de su propiedad o de propiedad ajena, que cubra total o parcialmente elementos del proyecto de </w:t>
      </w:r>
      <w:r w:rsidR="00687EB0" w:rsidRPr="00665818">
        <w:rPr>
          <w:lang w:val="es-ES"/>
        </w:rPr>
        <w:t>Recomendación</w:t>
      </w:r>
      <w:r w:rsidRPr="00665818">
        <w:rPr>
          <w:lang w:val="es-ES"/>
        </w:rPr>
        <w:t xml:space="preserve"> mencionado en esta carta, que comunique dicha información a la Secretaría tan pronto como sea posible. La Política común en materia de patentes para UIT-T/UIT-R/ISO/CEI puede consultarse en </w:t>
      </w:r>
      <w:hyperlink r:id="rId8" w:history="1">
        <w:r w:rsidRPr="00665818">
          <w:rPr>
            <w:rStyle w:val="Hyperlink"/>
            <w:lang w:val="es-ES"/>
          </w:rPr>
          <w:t>http://www.itu.int/en/ITU-T/ipr/Pages/policy.aspx</w:t>
        </w:r>
      </w:hyperlink>
      <w:r w:rsidRPr="00665818">
        <w:rPr>
          <w:lang w:val="es-ES"/>
        </w:rPr>
        <w:t>.</w:t>
      </w:r>
    </w:p>
    <w:p w14:paraId="2756AD1F" w14:textId="21EA9ADD" w:rsidR="00463724" w:rsidRPr="0009587E" w:rsidRDefault="00687EB0" w:rsidP="0075687A">
      <w:pPr>
        <w:keepNext/>
        <w:keepLines/>
        <w:spacing w:before="1200"/>
        <w:jc w:val="left"/>
        <w:rPr>
          <w:lang w:val="es-ES"/>
        </w:rPr>
      </w:pPr>
      <w:r w:rsidRPr="00665818">
        <w:rPr>
          <w:lang w:val="es-ES"/>
        </w:rPr>
        <w:t>Mario Maniewicz</w:t>
      </w:r>
      <w:r w:rsidR="00034324" w:rsidRPr="0009587E">
        <w:rPr>
          <w:lang w:val="es-ES"/>
        </w:rPr>
        <w:br/>
      </w:r>
      <w:r w:rsidR="00463724" w:rsidRPr="0009587E">
        <w:rPr>
          <w:lang w:val="es-ES"/>
        </w:rPr>
        <w:t>Director</w:t>
      </w:r>
    </w:p>
    <w:p w14:paraId="7A29F05A" w14:textId="52F3195E" w:rsidR="00463724" w:rsidRPr="0009587E" w:rsidRDefault="00463724" w:rsidP="0075687A">
      <w:pPr>
        <w:keepNext/>
        <w:keepLines/>
        <w:tabs>
          <w:tab w:val="clear" w:pos="794"/>
          <w:tab w:val="clear" w:pos="1191"/>
          <w:tab w:val="left" w:pos="1134"/>
        </w:tabs>
        <w:spacing w:before="1560"/>
        <w:rPr>
          <w:lang w:val="es-ES"/>
        </w:rPr>
      </w:pPr>
      <w:r w:rsidRPr="0009587E">
        <w:rPr>
          <w:b/>
          <w:bCs/>
          <w:lang w:val="es-ES"/>
        </w:rPr>
        <w:t>Anexo:</w:t>
      </w:r>
      <w:r w:rsidRPr="0009587E">
        <w:rPr>
          <w:b/>
          <w:bCs/>
          <w:lang w:val="es-ES"/>
        </w:rPr>
        <w:tab/>
      </w:r>
      <w:r w:rsidR="00665818" w:rsidRPr="002B5DAD">
        <w:rPr>
          <w:lang w:val="es-ES_tradnl"/>
        </w:rPr>
        <w:t>Título y resumen del proyecto de Recomendación</w:t>
      </w:r>
    </w:p>
    <w:p w14:paraId="3BCF2661" w14:textId="77777777" w:rsidR="00665818" w:rsidRPr="002B5DAD" w:rsidRDefault="00665818" w:rsidP="00665818">
      <w:pPr>
        <w:spacing w:before="600"/>
        <w:jc w:val="left"/>
        <w:rPr>
          <w:lang w:val="es-ES_tradnl"/>
        </w:rPr>
      </w:pPr>
      <w:r w:rsidRPr="002B5DAD">
        <w:rPr>
          <w:b/>
          <w:bCs/>
          <w:lang w:val="es-ES_tradnl"/>
        </w:rPr>
        <w:t xml:space="preserve">Documento: </w:t>
      </w:r>
      <w:r w:rsidRPr="002B5DAD">
        <w:rPr>
          <w:lang w:val="es-ES_tradnl"/>
        </w:rPr>
        <w:t>Documento 7/93</w:t>
      </w:r>
    </w:p>
    <w:p w14:paraId="150028C3" w14:textId="77777777" w:rsidR="00665818" w:rsidRPr="002B5DAD" w:rsidRDefault="00665818" w:rsidP="00665818">
      <w:pPr>
        <w:jc w:val="left"/>
        <w:rPr>
          <w:lang w:val="es-ES_tradnl"/>
        </w:rPr>
      </w:pPr>
      <w:r w:rsidRPr="002B5DAD">
        <w:rPr>
          <w:lang w:val="es-ES_tradnl"/>
        </w:rPr>
        <w:t xml:space="preserve">Este documento está disponible en formato electrónico en la dirección: </w:t>
      </w:r>
      <w:hyperlink r:id="rId9" w:history="1">
        <w:r w:rsidRPr="002B5DAD">
          <w:rPr>
            <w:rStyle w:val="Hyperlink"/>
            <w:lang w:val="es-ES_tradnl"/>
          </w:rPr>
          <w:t>https://www.itu.int/md/R19-SG07-C/es</w:t>
        </w:r>
      </w:hyperlink>
    </w:p>
    <w:p w14:paraId="2DA85CF8" w14:textId="295DBE57" w:rsidR="00034324" w:rsidRPr="0009587E" w:rsidRDefault="00034324" w:rsidP="00034324">
      <w:pPr>
        <w:tabs>
          <w:tab w:val="left" w:pos="284"/>
        </w:tabs>
        <w:spacing w:before="0" w:line="240" w:lineRule="auto"/>
        <w:ind w:left="284" w:right="-284" w:hanging="284"/>
        <w:rPr>
          <w:rFonts w:ascii="Times New Roman" w:hAnsi="Times New Roman" w:cs="Times New Roman"/>
          <w:b/>
          <w:sz w:val="28"/>
          <w:szCs w:val="20"/>
          <w:lang w:val="es-ES"/>
        </w:rPr>
      </w:pPr>
      <w:r w:rsidRPr="0009587E">
        <w:rPr>
          <w:lang w:val="es-ES"/>
        </w:rPr>
        <w:br w:type="page"/>
      </w:r>
    </w:p>
    <w:p w14:paraId="7CD7AC20" w14:textId="77777777" w:rsidR="00665818" w:rsidRPr="002B5DAD" w:rsidRDefault="000E125C" w:rsidP="00665818">
      <w:pPr>
        <w:pStyle w:val="AnnexNotitle0"/>
        <w:rPr>
          <w:rFonts w:ascii="Calibri" w:hAnsi="Calibri" w:cs="Calibri"/>
          <w:szCs w:val="28"/>
        </w:rPr>
      </w:pPr>
      <w:r w:rsidRPr="0009587E">
        <w:rPr>
          <w:rFonts w:asciiTheme="minorHAnsi" w:hAnsiTheme="minorHAnsi" w:cstheme="minorHAnsi"/>
          <w:lang w:val="es-ES"/>
        </w:rPr>
        <w:lastRenderedPageBreak/>
        <w:t>Anexo</w:t>
      </w:r>
      <w:r w:rsidRPr="0009587E">
        <w:rPr>
          <w:rFonts w:asciiTheme="minorHAnsi" w:hAnsiTheme="minorHAnsi" w:cstheme="minorHAnsi"/>
          <w:lang w:val="es-ES"/>
        </w:rPr>
        <w:br/>
      </w:r>
      <w:r w:rsidRPr="0009587E">
        <w:rPr>
          <w:rFonts w:asciiTheme="minorHAnsi" w:hAnsiTheme="minorHAnsi" w:cstheme="minorHAnsi"/>
          <w:lang w:val="es-ES"/>
        </w:rPr>
        <w:br/>
      </w:r>
      <w:r w:rsidR="00665818" w:rsidRPr="002B5DAD">
        <w:rPr>
          <w:rFonts w:ascii="Calibri" w:hAnsi="Calibri" w:cs="Calibri"/>
          <w:szCs w:val="28"/>
        </w:rPr>
        <w:t>Título y resumen del proyecto de Recomendación</w:t>
      </w:r>
    </w:p>
    <w:p w14:paraId="78F34726" w14:textId="77777777" w:rsidR="00665818" w:rsidRPr="002B5DAD" w:rsidRDefault="00665818" w:rsidP="00665818">
      <w:pPr>
        <w:tabs>
          <w:tab w:val="right" w:pos="9639"/>
        </w:tabs>
        <w:spacing w:before="480"/>
        <w:rPr>
          <w:lang w:val="es-ES_tradnl"/>
        </w:rPr>
      </w:pPr>
      <w:r w:rsidRPr="002B5DAD">
        <w:rPr>
          <w:u w:val="single"/>
          <w:lang w:val="es-ES_tradnl"/>
        </w:rPr>
        <w:t xml:space="preserve">Proyecto de revisión de la Recomendación UIT-R </w:t>
      </w:r>
      <w:r w:rsidRPr="002B5DAD">
        <w:rPr>
          <w:u w:val="single"/>
          <w:lang w:val="es-ES_tradnl" w:eastAsia="zh-CN"/>
        </w:rPr>
        <w:t>RS.2066-0</w:t>
      </w:r>
      <w:r w:rsidRPr="002B5DAD">
        <w:rPr>
          <w:lang w:val="es-ES_tradnl"/>
        </w:rPr>
        <w:tab/>
        <w:t>Doc. 7/93</w:t>
      </w:r>
    </w:p>
    <w:p w14:paraId="27FD8301" w14:textId="77777777" w:rsidR="00665818" w:rsidRPr="002B5DAD" w:rsidRDefault="00665818" w:rsidP="00665818">
      <w:pPr>
        <w:spacing w:before="360"/>
        <w:jc w:val="center"/>
        <w:rPr>
          <w:b/>
          <w:bCs/>
          <w:sz w:val="28"/>
          <w:szCs w:val="28"/>
          <w:lang w:val="es-ES_tradnl" w:eastAsia="ja-JP"/>
        </w:rPr>
      </w:pPr>
      <w:r w:rsidRPr="002B5DAD">
        <w:rPr>
          <w:b/>
          <w:bCs/>
          <w:noProof/>
          <w:sz w:val="28"/>
          <w:szCs w:val="28"/>
          <w:lang w:val="es-ES_tradnl"/>
        </w:rPr>
        <w:t>Protección del servicio de radioastronomía en la banda de frecuencias 10,6- 10,7 GHz contra emisiones no deseadas de radares de apertura</w:t>
      </w:r>
      <w:r w:rsidRPr="002B5DAD">
        <w:rPr>
          <w:b/>
          <w:bCs/>
          <w:noProof/>
          <w:sz w:val="28"/>
          <w:szCs w:val="28"/>
          <w:lang w:val="es-ES_tradnl"/>
        </w:rPr>
        <w:br/>
        <w:t xml:space="preserve"> sintética que funcionan en el servicio de exploración de la Tierra </w:t>
      </w:r>
      <w:r w:rsidRPr="002B5DAD">
        <w:rPr>
          <w:b/>
          <w:bCs/>
          <w:noProof/>
          <w:sz w:val="28"/>
          <w:szCs w:val="28"/>
          <w:lang w:val="es-ES_tradnl"/>
        </w:rPr>
        <w:br/>
        <w:t>por satélite (activo) alrededor de 9 600 MHz</w:t>
      </w:r>
    </w:p>
    <w:p w14:paraId="43977D21" w14:textId="77777777" w:rsidR="00665818" w:rsidRPr="002B5DAD" w:rsidRDefault="00665818" w:rsidP="00665818">
      <w:pPr>
        <w:pStyle w:val="Normalaftertitle"/>
        <w:rPr>
          <w:lang w:val="es-ES_tradnl"/>
        </w:rPr>
      </w:pPr>
      <w:r w:rsidRPr="002B5DAD">
        <w:rPr>
          <w:lang w:val="es-ES_tradnl"/>
        </w:rPr>
        <w:t xml:space="preserve">La Recomendación </w:t>
      </w:r>
      <w:r w:rsidRPr="002B5DAD">
        <w:rPr>
          <w:color w:val="0000FF"/>
          <w:u w:val="single"/>
          <w:lang w:val="es-ES_tradnl"/>
        </w:rPr>
        <w:t xml:space="preserve">UIT-R </w:t>
      </w:r>
      <w:hyperlink r:id="rId10" w:history="1">
        <w:r w:rsidRPr="002B5DAD">
          <w:rPr>
            <w:color w:val="0000FF"/>
            <w:u w:val="single"/>
            <w:lang w:val="es-ES_tradnl"/>
          </w:rPr>
          <w:t>RS.2066-0</w:t>
        </w:r>
      </w:hyperlink>
      <w:r w:rsidRPr="002B5DAD">
        <w:rPr>
          <w:lang w:val="es-ES_tradnl" w:eastAsia="zh-CN"/>
        </w:rPr>
        <w:t xml:space="preserve"> fue incorporada por referencia en el Reglamento de Radiocomunicaciones por la CMR-15 tras la adición del número </w:t>
      </w:r>
      <w:r w:rsidRPr="002B5DAD">
        <w:rPr>
          <w:b/>
          <w:bCs/>
          <w:lang w:val="es-ES_tradnl"/>
        </w:rPr>
        <w:t xml:space="preserve">5.474B </w:t>
      </w:r>
      <w:r w:rsidRPr="002B5DAD">
        <w:rPr>
          <w:lang w:val="es-ES_tradnl"/>
        </w:rPr>
        <w:t>del RR</w:t>
      </w:r>
      <w:r w:rsidRPr="002B5DAD">
        <w:rPr>
          <w:lang w:val="es-ES_tradnl" w:eastAsia="zh-CN"/>
        </w:rPr>
        <w:t>:</w:t>
      </w:r>
    </w:p>
    <w:p w14:paraId="25A82492" w14:textId="77777777" w:rsidR="00665818" w:rsidRPr="002B5DAD" w:rsidRDefault="00665818" w:rsidP="006D2FAF">
      <w:pPr>
        <w:ind w:left="794" w:hanging="794"/>
        <w:rPr>
          <w:rFonts w:asciiTheme="minorHAnsi" w:hAnsiTheme="minorHAnsi" w:cstheme="minorHAnsi"/>
          <w:sz w:val="21"/>
          <w:szCs w:val="21"/>
          <w:lang w:val="es-ES_tradnl" w:eastAsia="zh-CN"/>
        </w:rPr>
      </w:pPr>
      <w:r w:rsidRPr="002B5DAD">
        <w:rPr>
          <w:rFonts w:asciiTheme="minorHAnsi" w:hAnsiTheme="minorHAnsi" w:cstheme="minorHAnsi"/>
          <w:b/>
          <w:szCs w:val="20"/>
          <w:lang w:val="es-ES_tradnl"/>
        </w:rPr>
        <w:tab/>
        <w:t>5.474B</w:t>
      </w:r>
      <w:r w:rsidRPr="002B5DAD">
        <w:rPr>
          <w:rFonts w:asciiTheme="minorHAnsi" w:hAnsiTheme="minorHAnsi" w:cstheme="minorHAnsi"/>
          <w:szCs w:val="20"/>
          <w:lang w:val="es-ES_tradnl" w:eastAsia="zh-CN"/>
        </w:rPr>
        <w:tab/>
        <w:t>Las estaciones del servicio de exploración de la Tierra por satélite (activo) serán conformes con la Recomendación UIT-R RS.2066-0.</w:t>
      </w:r>
      <w:r w:rsidRPr="002B5DAD">
        <w:rPr>
          <w:rFonts w:asciiTheme="minorHAnsi" w:hAnsiTheme="minorHAnsi" w:cstheme="minorHAnsi"/>
          <w:sz w:val="16"/>
          <w:szCs w:val="12"/>
          <w:lang w:val="es-ES_tradnl" w:eastAsia="zh-CN"/>
        </w:rPr>
        <w:t>     </w:t>
      </w:r>
      <w:r w:rsidRPr="002B5DAD">
        <w:rPr>
          <w:rFonts w:asciiTheme="minorHAnsi" w:hAnsiTheme="minorHAnsi" w:cstheme="minorHAnsi"/>
          <w:sz w:val="18"/>
          <w:szCs w:val="18"/>
          <w:lang w:val="es-ES_tradnl" w:eastAsia="zh-CN"/>
        </w:rPr>
        <w:t>(CMR-15)</w:t>
      </w:r>
    </w:p>
    <w:p w14:paraId="3E8FB6C0" w14:textId="77777777" w:rsidR="00665818" w:rsidRPr="002B5DAD" w:rsidRDefault="00665818" w:rsidP="00665818">
      <w:pPr>
        <w:rPr>
          <w:lang w:val="es-ES_tradnl" w:eastAsia="zh-CN"/>
        </w:rPr>
      </w:pPr>
      <w:r w:rsidRPr="002B5DAD">
        <w:rPr>
          <w:lang w:val="es-ES_tradnl" w:eastAsia="zh-CN"/>
        </w:rPr>
        <w:t>El Anexo 2 de la Recomendación UIT-R RS.2066-0 contiene listas de las estaciones de radioastronomía que utilizan la banda de frecuencias 10,6-10,7 GHz en las tres Regiones de la UIT.</w:t>
      </w:r>
    </w:p>
    <w:p w14:paraId="2A62C90E" w14:textId="77777777" w:rsidR="00665818" w:rsidRPr="002B5DAD" w:rsidRDefault="00665818" w:rsidP="00665818">
      <w:pPr>
        <w:rPr>
          <w:lang w:val="es-ES_tradnl" w:eastAsia="zh-CN"/>
        </w:rPr>
      </w:pPr>
      <w:r w:rsidRPr="002B5DAD">
        <w:rPr>
          <w:lang w:val="es-ES_tradnl" w:eastAsia="zh-CN"/>
        </w:rPr>
        <w:t>Tras la adopción de la Recomendación se constató que era necesario corregir algunas de las entradas del cuadro, en particular las relativas a las coordenadas geográficas de una serie de estaciones de radioastronomía.</w:t>
      </w:r>
    </w:p>
    <w:p w14:paraId="2AC7E7BE" w14:textId="77777777" w:rsidR="00665818" w:rsidRPr="002B5DAD" w:rsidRDefault="00665818" w:rsidP="00665818">
      <w:pPr>
        <w:rPr>
          <w:lang w:val="es-ES_tradnl"/>
        </w:rPr>
      </w:pPr>
      <w:r w:rsidRPr="002B5DAD">
        <w:rPr>
          <w:lang w:val="es-ES_tradnl" w:eastAsia="zh-CN"/>
        </w:rPr>
        <w:t>Algunos radiotelescopios del Sistema mundial de observación VLBI</w:t>
      </w:r>
      <w:r w:rsidRPr="002B5DAD">
        <w:rPr>
          <w:lang w:val="es-ES_tradnl"/>
        </w:rPr>
        <w:t xml:space="preserve"> (VGOS) están equipados con receptores de banda ancha que cubren la banda de frecuencias 2</w:t>
      </w:r>
      <w:r w:rsidRPr="002B5DAD">
        <w:rPr>
          <w:lang w:val="es-ES_tradnl"/>
        </w:rPr>
        <w:noBreakHyphen/>
        <w:t>14 GHz. Las estaciones del VGOS están inscritas como estaciones de radioastronomía, por lo que pueden exigir protección en las bandas de frecuencias atribuidas al servicio de radioastronomía, incluida la banda de frecuencias 10,6</w:t>
      </w:r>
      <w:r w:rsidRPr="002B5DAD">
        <w:rPr>
          <w:lang w:val="es-ES_tradnl"/>
        </w:rPr>
        <w:noBreakHyphen/>
        <w:t>10,7 GHz. Esas estaciones del VGOS deben también incluirse en los cuadros.</w:t>
      </w:r>
    </w:p>
    <w:p w14:paraId="52122CB4" w14:textId="47578F6B" w:rsidR="00665818" w:rsidRDefault="00665818" w:rsidP="00665818">
      <w:pPr>
        <w:rPr>
          <w:lang w:val="es-ES_tradnl"/>
        </w:rPr>
      </w:pPr>
      <w:r w:rsidRPr="002B5DAD">
        <w:rPr>
          <w:lang w:val="es-ES_tradnl"/>
        </w:rPr>
        <w:t>Además de las estaciones del VGOS, es necesario añadir en los cuadros unas pocas estaciones de radioastronomía, que no se incluyeron en un primer momento.</w:t>
      </w:r>
    </w:p>
    <w:p w14:paraId="0285BED7" w14:textId="77777777" w:rsidR="00665818" w:rsidRPr="007A6686" w:rsidRDefault="00665818" w:rsidP="00257492">
      <w:pPr>
        <w:tabs>
          <w:tab w:val="left" w:pos="1134"/>
          <w:tab w:val="left" w:pos="1871"/>
          <w:tab w:val="left" w:pos="2268"/>
        </w:tabs>
        <w:spacing w:before="360" w:line="240" w:lineRule="auto"/>
        <w:jc w:val="center"/>
        <w:rPr>
          <w:rFonts w:ascii="Times New Roman" w:eastAsia="MS Mincho" w:hAnsi="Times New Roman"/>
          <w:szCs w:val="24"/>
          <w:lang w:val="en-GB"/>
        </w:rPr>
      </w:pPr>
      <w:r>
        <w:rPr>
          <w:rFonts w:eastAsia="MS Mincho"/>
          <w:szCs w:val="24"/>
        </w:rPr>
        <w:t>___________________</w:t>
      </w:r>
    </w:p>
    <w:sectPr w:rsidR="00665818" w:rsidRPr="007A6686"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D1CD" w14:textId="77777777" w:rsidR="000246D6" w:rsidRDefault="000246D6">
      <w:r>
        <w:separator/>
      </w:r>
    </w:p>
  </w:endnote>
  <w:endnote w:type="continuationSeparator" w:id="0">
    <w:p w14:paraId="46FA551D" w14:textId="77777777" w:rsidR="000246D6" w:rsidRDefault="0002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041D" w14:textId="211D98EE" w:rsidR="00A80EFE" w:rsidRPr="001A13C2" w:rsidRDefault="004C750B" w:rsidP="004C750B">
    <w:pPr>
      <w:pStyle w:val="FirstFooter"/>
      <w:spacing w:line="240" w:lineRule="auto"/>
      <w:ind w:left="-397" w:right="-397"/>
      <w:jc w:val="center"/>
      <w:rPr>
        <w:color w:val="4F81BD" w:themeColor="accent1"/>
        <w:sz w:val="19"/>
        <w:szCs w:val="19"/>
        <w:lang w:val="es-ES"/>
      </w:rPr>
    </w:pPr>
    <w:r w:rsidRPr="001A13C2">
      <w:rPr>
        <w:color w:val="4F81BD" w:themeColor="accent1"/>
        <w:sz w:val="19"/>
        <w:szCs w:val="19"/>
        <w:lang w:val="es-ES"/>
      </w:rPr>
      <w:t>Unión Internacional de Telecomunicaciones • Place des Nations</w:t>
    </w:r>
    <w:r w:rsidR="001A13C2" w:rsidRPr="001A13C2">
      <w:rPr>
        <w:color w:val="4F81BD" w:themeColor="accent1"/>
        <w:sz w:val="19"/>
        <w:szCs w:val="19"/>
        <w:lang w:val="es-ES"/>
      </w:rPr>
      <w:t>,</w:t>
    </w:r>
    <w:r w:rsidRPr="001A13C2">
      <w:rPr>
        <w:color w:val="4F81BD" w:themeColor="accent1"/>
        <w:sz w:val="19"/>
        <w:szCs w:val="19"/>
        <w:lang w:val="es-ES"/>
      </w:rPr>
      <w:t xml:space="preserve"> CH</w:t>
    </w:r>
    <w:r w:rsidR="001A13C2" w:rsidRPr="001A13C2">
      <w:rPr>
        <w:color w:val="4F81BD" w:themeColor="accent1"/>
        <w:sz w:val="19"/>
        <w:szCs w:val="19"/>
        <w:lang w:val="es-ES"/>
      </w:rPr>
      <w:t>-</w:t>
    </w:r>
    <w:r w:rsidRPr="001A13C2">
      <w:rPr>
        <w:color w:val="4F81BD" w:themeColor="accent1"/>
        <w:sz w:val="19"/>
        <w:szCs w:val="19"/>
        <w:lang w:val="es-ES"/>
      </w:rPr>
      <w:t>1211 Ginebra 20</w:t>
    </w:r>
    <w:r w:rsidR="001A13C2" w:rsidRPr="001A13C2">
      <w:rPr>
        <w:color w:val="4F81BD" w:themeColor="accent1"/>
        <w:sz w:val="19"/>
        <w:szCs w:val="19"/>
        <w:lang w:val="es-ES"/>
      </w:rPr>
      <w:t>,</w:t>
    </w:r>
    <w:r w:rsidRPr="001A13C2">
      <w:rPr>
        <w:color w:val="4F81BD" w:themeColor="accent1"/>
        <w:sz w:val="19"/>
        <w:szCs w:val="19"/>
        <w:lang w:val="es-ES"/>
      </w:rPr>
      <w:t xml:space="preserve"> Suiza • </w:t>
    </w:r>
    <w:r w:rsidRPr="001A13C2">
      <w:rPr>
        <w:color w:val="4F81BD" w:themeColor="accent1"/>
        <w:sz w:val="19"/>
        <w:szCs w:val="19"/>
        <w:lang w:val="es-ES"/>
      </w:rPr>
      <w:br/>
      <w:t xml:space="preserve">Tel: +41 22 730 5111 • Correo-e: </w:t>
    </w:r>
    <w:hyperlink r:id="rId1" w:history="1">
      <w:r w:rsidRPr="001A13C2">
        <w:rPr>
          <w:rStyle w:val="Hyperlink"/>
          <w:sz w:val="19"/>
          <w:szCs w:val="19"/>
          <w:lang w:val="es-ES"/>
        </w:rPr>
        <w:t>itumail@itu.int</w:t>
      </w:r>
    </w:hyperlink>
    <w:r w:rsidRPr="001A13C2">
      <w:rPr>
        <w:color w:val="4F81BD" w:themeColor="accent1"/>
        <w:sz w:val="19"/>
        <w:szCs w:val="19"/>
        <w:lang w:val="es-ES"/>
      </w:rPr>
      <w:t xml:space="preserve"> </w:t>
    </w:r>
    <w:r w:rsidRPr="001A13C2">
      <w:rPr>
        <w:color w:val="4F81BD"/>
        <w:sz w:val="19"/>
        <w:szCs w:val="19"/>
        <w:lang w:val="es-ES"/>
      </w:rPr>
      <w:t xml:space="preserve">• Fax: +41 22 733 7256 • </w:t>
    </w:r>
    <w:hyperlink r:id="rId2" w:history="1">
      <w:r w:rsidRPr="001A13C2">
        <w:rPr>
          <w:rStyle w:val="Hyperlink"/>
          <w:sz w:val="19"/>
          <w:szCs w:val="19"/>
          <w:lang w:val="es-ES"/>
        </w:rPr>
        <w:t>www.itu.int</w:t>
      </w:r>
    </w:hyperlink>
    <w:r w:rsidRPr="001A13C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33C2" w14:textId="77777777" w:rsidR="000246D6" w:rsidRDefault="000246D6">
      <w:r>
        <w:t>____________________</w:t>
      </w:r>
    </w:p>
  </w:footnote>
  <w:footnote w:type="continuationSeparator" w:id="0">
    <w:p w14:paraId="145ED0FB" w14:textId="77777777" w:rsidR="000246D6" w:rsidRDefault="00024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FE85" w14:textId="28E98507" w:rsidR="00E915AF" w:rsidRPr="00D239B4" w:rsidRDefault="00D97EF5" w:rsidP="004C750B">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31585D">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67F6" w14:textId="375CA56D" w:rsidR="00E915AF" w:rsidRPr="00600CD5" w:rsidRDefault="00034324" w:rsidP="00C67D02">
    <w:pPr>
      <w:pStyle w:val="Header"/>
      <w:jc w:val="center"/>
      <w:rPr>
        <w:iCs/>
        <w:sz w:val="18"/>
        <w:szCs w:val="18"/>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666504">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977"/>
    </w:tblGrid>
    <w:tr w:rsidR="00492363" w14:paraId="6E183A6C" w14:textId="77777777" w:rsidTr="00665818">
      <w:trPr>
        <w:jc w:val="center"/>
      </w:trPr>
      <w:tc>
        <w:tcPr>
          <w:tcW w:w="4814" w:type="dxa"/>
        </w:tcPr>
        <w:p w14:paraId="054CE846" w14:textId="77777777" w:rsidR="00492363" w:rsidRDefault="00492363" w:rsidP="00492363">
          <w:pPr>
            <w:pStyle w:val="Header"/>
            <w:spacing w:line="360" w:lineRule="auto"/>
            <w:ind w:left="567"/>
          </w:pPr>
          <w:r>
            <w:rPr>
              <w:noProof/>
              <w:lang w:val="en-GB" w:eastAsia="en-GB"/>
            </w:rPr>
            <w:drawing>
              <wp:inline distT="0" distB="0" distL="0" distR="0" wp14:anchorId="623606B1" wp14:editId="4DABAE95">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72778438" w14:textId="77777777" w:rsidR="00492363" w:rsidRDefault="00492363" w:rsidP="00492363">
          <w:pPr>
            <w:pStyle w:val="Header"/>
            <w:spacing w:line="360" w:lineRule="auto"/>
            <w:jc w:val="center"/>
          </w:pPr>
          <w:r>
            <w:rPr>
              <w:noProof/>
            </w:rPr>
            <w:drawing>
              <wp:inline distT="0" distB="0" distL="0" distR="0" wp14:anchorId="4E5574C0" wp14:editId="3F6CD5CC">
                <wp:extent cx="2938780" cy="723186"/>
                <wp:effectExtent l="0" t="0" r="0" b="127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49E6A909" w14:textId="438CC43A" w:rsidR="0009587E" w:rsidRPr="00492363" w:rsidRDefault="0009587E" w:rsidP="00492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829385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2116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246D6"/>
    <w:rsid w:val="00006A31"/>
    <w:rsid w:val="00006C82"/>
    <w:rsid w:val="00010E30"/>
    <w:rsid w:val="00015C76"/>
    <w:rsid w:val="000246D6"/>
    <w:rsid w:val="00026CF8"/>
    <w:rsid w:val="00030BD7"/>
    <w:rsid w:val="00031E64"/>
    <w:rsid w:val="00034324"/>
    <w:rsid w:val="00034340"/>
    <w:rsid w:val="00035CB3"/>
    <w:rsid w:val="00045A8D"/>
    <w:rsid w:val="0005167A"/>
    <w:rsid w:val="00054E5D"/>
    <w:rsid w:val="00070258"/>
    <w:rsid w:val="0007323C"/>
    <w:rsid w:val="00086D03"/>
    <w:rsid w:val="0009587E"/>
    <w:rsid w:val="000A096A"/>
    <w:rsid w:val="000A375E"/>
    <w:rsid w:val="000A7051"/>
    <w:rsid w:val="000B0AF6"/>
    <w:rsid w:val="000B0E9B"/>
    <w:rsid w:val="000B2CAE"/>
    <w:rsid w:val="000C03C7"/>
    <w:rsid w:val="000C2AD0"/>
    <w:rsid w:val="000D1533"/>
    <w:rsid w:val="000D3F3B"/>
    <w:rsid w:val="000D465A"/>
    <w:rsid w:val="000E125C"/>
    <w:rsid w:val="000E3DEE"/>
    <w:rsid w:val="000E4BCD"/>
    <w:rsid w:val="00100B72"/>
    <w:rsid w:val="00101F7D"/>
    <w:rsid w:val="00103C76"/>
    <w:rsid w:val="0011265F"/>
    <w:rsid w:val="00117282"/>
    <w:rsid w:val="00117389"/>
    <w:rsid w:val="00121C2D"/>
    <w:rsid w:val="00134404"/>
    <w:rsid w:val="00144DFB"/>
    <w:rsid w:val="00187CA3"/>
    <w:rsid w:val="00196710"/>
    <w:rsid w:val="00196770"/>
    <w:rsid w:val="00197324"/>
    <w:rsid w:val="001A13C2"/>
    <w:rsid w:val="001B2936"/>
    <w:rsid w:val="001B351B"/>
    <w:rsid w:val="001B42C9"/>
    <w:rsid w:val="001C06DB"/>
    <w:rsid w:val="001C67C7"/>
    <w:rsid w:val="001C6971"/>
    <w:rsid w:val="001D2785"/>
    <w:rsid w:val="001D7070"/>
    <w:rsid w:val="001F2170"/>
    <w:rsid w:val="001F3948"/>
    <w:rsid w:val="001F5A49"/>
    <w:rsid w:val="00201097"/>
    <w:rsid w:val="00201B6E"/>
    <w:rsid w:val="00211FE9"/>
    <w:rsid w:val="002302B3"/>
    <w:rsid w:val="00230C66"/>
    <w:rsid w:val="00235A29"/>
    <w:rsid w:val="00241526"/>
    <w:rsid w:val="002443A2"/>
    <w:rsid w:val="00266E74"/>
    <w:rsid w:val="00283C3B"/>
    <w:rsid w:val="002861E6"/>
    <w:rsid w:val="00287D18"/>
    <w:rsid w:val="002A2618"/>
    <w:rsid w:val="002A5DD7"/>
    <w:rsid w:val="002B0CAC"/>
    <w:rsid w:val="002B1A7A"/>
    <w:rsid w:val="002C2E00"/>
    <w:rsid w:val="002D5A15"/>
    <w:rsid w:val="002D5BDD"/>
    <w:rsid w:val="002E3D27"/>
    <w:rsid w:val="002F0890"/>
    <w:rsid w:val="002F2531"/>
    <w:rsid w:val="002F4967"/>
    <w:rsid w:val="00306452"/>
    <w:rsid w:val="0031585D"/>
    <w:rsid w:val="00316935"/>
    <w:rsid w:val="003266ED"/>
    <w:rsid w:val="00326C68"/>
    <w:rsid w:val="0033029C"/>
    <w:rsid w:val="003370B8"/>
    <w:rsid w:val="00345D38"/>
    <w:rsid w:val="00352097"/>
    <w:rsid w:val="003666FF"/>
    <w:rsid w:val="00366F66"/>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504F"/>
    <w:rsid w:val="003E78D6"/>
    <w:rsid w:val="00400573"/>
    <w:rsid w:val="004007A3"/>
    <w:rsid w:val="00406D71"/>
    <w:rsid w:val="004326DB"/>
    <w:rsid w:val="0043682E"/>
    <w:rsid w:val="00447ECB"/>
    <w:rsid w:val="004623F7"/>
    <w:rsid w:val="00463724"/>
    <w:rsid w:val="00480F51"/>
    <w:rsid w:val="00481124"/>
    <w:rsid w:val="004815EB"/>
    <w:rsid w:val="00487569"/>
    <w:rsid w:val="00492363"/>
    <w:rsid w:val="00496864"/>
    <w:rsid w:val="00496920"/>
    <w:rsid w:val="004A4496"/>
    <w:rsid w:val="004A5F47"/>
    <w:rsid w:val="004B11AB"/>
    <w:rsid w:val="004B7C9A"/>
    <w:rsid w:val="004C6779"/>
    <w:rsid w:val="004C750B"/>
    <w:rsid w:val="004D51EA"/>
    <w:rsid w:val="004D733B"/>
    <w:rsid w:val="004E0DC4"/>
    <w:rsid w:val="004E0FB5"/>
    <w:rsid w:val="004E43BB"/>
    <w:rsid w:val="004E460D"/>
    <w:rsid w:val="004F178E"/>
    <w:rsid w:val="004F4543"/>
    <w:rsid w:val="004F57BB"/>
    <w:rsid w:val="00505309"/>
    <w:rsid w:val="0050789B"/>
    <w:rsid w:val="005224A1"/>
    <w:rsid w:val="00534372"/>
    <w:rsid w:val="00543DF8"/>
    <w:rsid w:val="00544218"/>
    <w:rsid w:val="00546101"/>
    <w:rsid w:val="00551ED7"/>
    <w:rsid w:val="00553DD7"/>
    <w:rsid w:val="00555147"/>
    <w:rsid w:val="005638CF"/>
    <w:rsid w:val="0056741E"/>
    <w:rsid w:val="0057325A"/>
    <w:rsid w:val="0057469A"/>
    <w:rsid w:val="00580814"/>
    <w:rsid w:val="00583A0B"/>
    <w:rsid w:val="00592353"/>
    <w:rsid w:val="005A03A3"/>
    <w:rsid w:val="005A2B92"/>
    <w:rsid w:val="005A3F66"/>
    <w:rsid w:val="005A79E9"/>
    <w:rsid w:val="005B214C"/>
    <w:rsid w:val="005B4CDA"/>
    <w:rsid w:val="005D3669"/>
    <w:rsid w:val="005E5EB3"/>
    <w:rsid w:val="005F3CB6"/>
    <w:rsid w:val="005F556F"/>
    <w:rsid w:val="005F657C"/>
    <w:rsid w:val="00600CD5"/>
    <w:rsid w:val="00602D53"/>
    <w:rsid w:val="006047E5"/>
    <w:rsid w:val="0064371D"/>
    <w:rsid w:val="00650543"/>
    <w:rsid w:val="00650B2A"/>
    <w:rsid w:val="00651777"/>
    <w:rsid w:val="006550F8"/>
    <w:rsid w:val="00665818"/>
    <w:rsid w:val="00666504"/>
    <w:rsid w:val="006829F3"/>
    <w:rsid w:val="00687A6F"/>
    <w:rsid w:val="00687EB0"/>
    <w:rsid w:val="006A518B"/>
    <w:rsid w:val="006B0590"/>
    <w:rsid w:val="006B49DA"/>
    <w:rsid w:val="006C53F8"/>
    <w:rsid w:val="006C7CDE"/>
    <w:rsid w:val="006D2FAF"/>
    <w:rsid w:val="007234B1"/>
    <w:rsid w:val="00723D08"/>
    <w:rsid w:val="00725FDA"/>
    <w:rsid w:val="00727816"/>
    <w:rsid w:val="00730B9A"/>
    <w:rsid w:val="00744659"/>
    <w:rsid w:val="00747B38"/>
    <w:rsid w:val="00750CFA"/>
    <w:rsid w:val="0075267E"/>
    <w:rsid w:val="007553DA"/>
    <w:rsid w:val="0075687A"/>
    <w:rsid w:val="0077317D"/>
    <w:rsid w:val="00775DB8"/>
    <w:rsid w:val="00782354"/>
    <w:rsid w:val="007921A7"/>
    <w:rsid w:val="007B3DB1"/>
    <w:rsid w:val="007D183E"/>
    <w:rsid w:val="007D43D0"/>
    <w:rsid w:val="007D551A"/>
    <w:rsid w:val="007E1833"/>
    <w:rsid w:val="007E3F13"/>
    <w:rsid w:val="007F751A"/>
    <w:rsid w:val="00800012"/>
    <w:rsid w:val="0080261F"/>
    <w:rsid w:val="00805858"/>
    <w:rsid w:val="00805A02"/>
    <w:rsid w:val="00806160"/>
    <w:rsid w:val="008143A4"/>
    <w:rsid w:val="0081513E"/>
    <w:rsid w:val="00852CC1"/>
    <w:rsid w:val="00854131"/>
    <w:rsid w:val="0085652D"/>
    <w:rsid w:val="008635C1"/>
    <w:rsid w:val="0087694B"/>
    <w:rsid w:val="00880F4D"/>
    <w:rsid w:val="008B35A3"/>
    <w:rsid w:val="008B37E1"/>
    <w:rsid w:val="008B45F8"/>
    <w:rsid w:val="008C2E74"/>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63497"/>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623F"/>
    <w:rsid w:val="00C07319"/>
    <w:rsid w:val="00C16FD2"/>
    <w:rsid w:val="00C4395E"/>
    <w:rsid w:val="00C47FFD"/>
    <w:rsid w:val="00C51E92"/>
    <w:rsid w:val="00C55872"/>
    <w:rsid w:val="00C57E2C"/>
    <w:rsid w:val="00C608B7"/>
    <w:rsid w:val="00C66F24"/>
    <w:rsid w:val="00C67D02"/>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003"/>
    <w:rsid w:val="00D6790C"/>
    <w:rsid w:val="00D73277"/>
    <w:rsid w:val="00D76586"/>
    <w:rsid w:val="00D82657"/>
    <w:rsid w:val="00D87E20"/>
    <w:rsid w:val="00D97EF5"/>
    <w:rsid w:val="00DA4037"/>
    <w:rsid w:val="00DB5BC3"/>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3ECD"/>
    <w:rsid w:val="00EC00EF"/>
    <w:rsid w:val="00EC02FE"/>
    <w:rsid w:val="00EC4A96"/>
    <w:rsid w:val="00ED5705"/>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42E42AA"/>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link w:val="Header"/>
    <w:rsid w:val="0009587E"/>
    <w:rPr>
      <w:sz w:val="24"/>
      <w:szCs w:val="22"/>
      <w:lang w:val="en-US" w:eastAsia="en-US"/>
    </w:rPr>
  </w:style>
  <w:style w:type="character" w:customStyle="1" w:styleId="UnresolvedMention1">
    <w:name w:val="Unresolved Mention1"/>
    <w:basedOn w:val="DefaultParagraphFont"/>
    <w:uiPriority w:val="99"/>
    <w:semiHidden/>
    <w:unhideWhenUsed/>
    <w:rsid w:val="00687EB0"/>
    <w:rPr>
      <w:color w:val="605E5C"/>
      <w:shd w:val="clear" w:color="auto" w:fill="E1DFDD"/>
    </w:rPr>
  </w:style>
  <w:style w:type="character" w:styleId="FollowedHyperlink">
    <w:name w:val="FollowedHyperlink"/>
    <w:basedOn w:val="DefaultParagraphFont"/>
    <w:semiHidden/>
    <w:unhideWhenUsed/>
    <w:rsid w:val="00C67D02"/>
    <w:rPr>
      <w:color w:val="800080" w:themeColor="followedHyperlink"/>
      <w:u w:val="single"/>
    </w:rPr>
  </w:style>
  <w:style w:type="character" w:customStyle="1" w:styleId="Style1">
    <w:name w:val="Style1"/>
    <w:basedOn w:val="DefaultParagraphFont"/>
    <w:uiPriority w:val="1"/>
    <w:rsid w:val="00551ED7"/>
    <w:rPr>
      <w:rFonts w:asciiTheme="minorHAnsi" w:hAnsiTheme="minorHAnsi"/>
      <w:b/>
      <w:sz w:val="24"/>
    </w:rPr>
  </w:style>
  <w:style w:type="character" w:customStyle="1" w:styleId="Style2">
    <w:name w:val="Style2"/>
    <w:basedOn w:val="DefaultParagraphFont"/>
    <w:uiPriority w:val="1"/>
    <w:rsid w:val="00551ED7"/>
    <w:rPr>
      <w:rFonts w:ascii="Calibri" w:hAnsi="Calibri"/>
      <w:b/>
      <w:sz w:val="24"/>
    </w:rPr>
  </w:style>
  <w:style w:type="character" w:styleId="PlaceholderText">
    <w:name w:val="Placeholder Text"/>
    <w:basedOn w:val="DefaultParagraphFont"/>
    <w:uiPriority w:val="99"/>
    <w:semiHidden/>
    <w:rsid w:val="00852CC1"/>
    <w:rPr>
      <w:color w:val="808080"/>
    </w:rPr>
  </w:style>
  <w:style w:type="paragraph" w:styleId="Revision">
    <w:name w:val="Revision"/>
    <w:hidden/>
    <w:uiPriority w:val="99"/>
    <w:semiHidden/>
    <w:rsid w:val="000D465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2870">
      <w:bodyDiv w:val="1"/>
      <w:marLeft w:val="0"/>
      <w:marRight w:val="0"/>
      <w:marTop w:val="0"/>
      <w:marBottom w:val="0"/>
      <w:divBdr>
        <w:top w:val="none" w:sz="0" w:space="0" w:color="auto"/>
        <w:left w:val="none" w:sz="0" w:space="0" w:color="auto"/>
        <w:bottom w:val="none" w:sz="0" w:space="0" w:color="auto"/>
        <w:right w:val="none" w:sz="0" w:space="0" w:color="auto"/>
      </w:divBdr>
    </w:div>
    <w:div w:id="192964039">
      <w:bodyDiv w:val="1"/>
      <w:marLeft w:val="0"/>
      <w:marRight w:val="0"/>
      <w:marTop w:val="0"/>
      <w:marBottom w:val="0"/>
      <w:divBdr>
        <w:top w:val="none" w:sz="0" w:space="0" w:color="auto"/>
        <w:left w:val="none" w:sz="0" w:space="0" w:color="auto"/>
        <w:bottom w:val="none" w:sz="0" w:space="0" w:color="auto"/>
        <w:right w:val="none" w:sz="0" w:space="0" w:color="auto"/>
      </w:divBdr>
    </w:div>
    <w:div w:id="23358793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rec/R-REC-RS.2066/es" TargetMode="External"/><Relationship Id="rId4" Type="http://schemas.openxmlformats.org/officeDocument/2006/relationships/settings" Target="settings.xml"/><Relationship Id="rId9" Type="http://schemas.openxmlformats.org/officeDocument/2006/relationships/hyperlink" Target="https://www.itu.int/md/R19-SG07-C/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1B11D16CF64F9D858FE4BF47212DE6"/>
        <w:category>
          <w:name w:val="General"/>
          <w:gallery w:val="placeholder"/>
        </w:category>
        <w:types>
          <w:type w:val="bbPlcHdr"/>
        </w:types>
        <w:behaviors>
          <w:behavior w:val="content"/>
        </w:behaviors>
        <w:guid w:val="{0DC239A8-1257-4188-9DF2-37EE0AAAD454}"/>
      </w:docPartPr>
      <w:docPartBody>
        <w:p w:rsidR="00B1394E" w:rsidRDefault="00137707" w:rsidP="00137707">
          <w:pPr>
            <w:pStyle w:val="DA1B11D16CF64F9D858FE4BF47212DE6"/>
          </w:pPr>
          <w:r>
            <w:rPr>
              <w:rStyle w:val="PlaceholderText"/>
            </w:rPr>
            <w:t>Elija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DF"/>
    <w:rsid w:val="00137707"/>
    <w:rsid w:val="007A0194"/>
    <w:rsid w:val="00900EA8"/>
    <w:rsid w:val="00B1394E"/>
    <w:rsid w:val="00F44A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7707"/>
    <w:rPr>
      <w:color w:val="808080"/>
    </w:rPr>
  </w:style>
  <w:style w:type="paragraph" w:customStyle="1" w:styleId="DA1B11D16CF64F9D858FE4BF47212DE6">
    <w:name w:val="DA1B11D16CF64F9D858FE4BF47212DE6"/>
    <w:rsid w:val="00137707"/>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D9298-5321-4681-A9B4-D340DF6D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44</TotalTime>
  <Pages>3</Pages>
  <Words>568</Words>
  <Characters>3406</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Author</cp:lastModifiedBy>
  <cp:revision>22</cp:revision>
  <cp:lastPrinted>2020-02-03T14:13:00Z</cp:lastPrinted>
  <dcterms:created xsi:type="dcterms:W3CDTF">2020-02-06T13:05:00Z</dcterms:created>
  <dcterms:modified xsi:type="dcterms:W3CDTF">2023-10-24T12:43:00Z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