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7120635" w14:textId="77777777" w:rsidTr="00153E23">
        <w:tc>
          <w:tcPr>
            <w:tcW w:w="5000" w:type="pct"/>
            <w:gridSpan w:val="3"/>
            <w:shd w:val="clear" w:color="auto" w:fill="auto"/>
          </w:tcPr>
          <w:p w14:paraId="18336A01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7767924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2A4BB6" w:rsidRPr="001D1E11" w14:paraId="48B30F77" w14:textId="77777777" w:rsidTr="00153E23">
        <w:tc>
          <w:tcPr>
            <w:tcW w:w="2707" w:type="pct"/>
            <w:gridSpan w:val="2"/>
            <w:shd w:val="clear" w:color="auto" w:fill="auto"/>
          </w:tcPr>
          <w:p w14:paraId="6241E0D1" w14:textId="77777777" w:rsidR="002A4BB6" w:rsidRPr="00E071D0" w:rsidRDefault="002A4BB6" w:rsidP="002A4BB6">
            <w:pPr>
              <w:spacing w:before="80" w:line="300" w:lineRule="exact"/>
              <w:rPr>
                <w:position w:val="2"/>
                <w:lang w:bidi="ar-EG"/>
              </w:rPr>
            </w:pPr>
            <w:r w:rsidRPr="00E071D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3007E15" w14:textId="3F44E21A" w:rsidR="002A4BB6" w:rsidRPr="000F7BBE" w:rsidRDefault="002A4BB6" w:rsidP="002A4BB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E071D0">
              <w:rPr>
                <w:b/>
                <w:bCs/>
                <w:position w:val="2"/>
                <w:lang w:val="en-GB" w:bidi="ar-EG"/>
              </w:rPr>
              <w:t>CACE/</w:t>
            </w:r>
            <w:r>
              <w:rPr>
                <w:b/>
                <w:bCs/>
                <w:position w:val="2"/>
                <w:lang w:val="en-GB" w:bidi="ar-EG"/>
              </w:rPr>
              <w:t>1080</w:t>
            </w:r>
          </w:p>
        </w:tc>
        <w:tc>
          <w:tcPr>
            <w:tcW w:w="2293" w:type="pct"/>
            <w:shd w:val="clear" w:color="auto" w:fill="auto"/>
          </w:tcPr>
          <w:p w14:paraId="04F1BB82" w14:textId="5CC4EB62" w:rsidR="002A4BB6" w:rsidRPr="001D1E11" w:rsidRDefault="002A4BB6" w:rsidP="002A4BB6">
            <w:pPr>
              <w:spacing w:before="80" w:after="60" w:line="300" w:lineRule="exact"/>
              <w:jc w:val="right"/>
              <w:rPr>
                <w:position w:val="2"/>
                <w:rtl/>
                <w:lang w:bidi="ar-SY"/>
              </w:rPr>
            </w:pPr>
            <w:r w:rsidRPr="001D1E11">
              <w:rPr>
                <w:position w:val="2"/>
              </w:rPr>
              <w:t>9</w:t>
            </w:r>
            <w:r w:rsidRPr="001D1E11">
              <w:rPr>
                <w:rFonts w:hint="cs"/>
                <w:position w:val="2"/>
                <w:rtl/>
                <w:lang w:bidi="ar-SY"/>
              </w:rPr>
              <w:t xml:space="preserve"> أكتوبر </w:t>
            </w:r>
            <w:r w:rsidRPr="001D1E11">
              <w:rPr>
                <w:position w:val="2"/>
                <w:lang w:bidi="ar-SY"/>
              </w:rPr>
              <w:t>2023</w:t>
            </w:r>
          </w:p>
        </w:tc>
      </w:tr>
      <w:tr w:rsidR="000F7BBE" w:rsidRPr="000F7BBE" w14:paraId="7C6E2BF9" w14:textId="77777777" w:rsidTr="00153E23">
        <w:tc>
          <w:tcPr>
            <w:tcW w:w="5000" w:type="pct"/>
            <w:gridSpan w:val="3"/>
            <w:shd w:val="clear" w:color="auto" w:fill="auto"/>
          </w:tcPr>
          <w:p w14:paraId="18652CA3" w14:textId="77777777" w:rsidR="000F7BBE" w:rsidRPr="000F7BBE" w:rsidRDefault="000F7BBE" w:rsidP="002A4BB6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0A322B2" w14:textId="77777777" w:rsidTr="00153E23">
        <w:tc>
          <w:tcPr>
            <w:tcW w:w="5000" w:type="pct"/>
            <w:gridSpan w:val="3"/>
            <w:shd w:val="clear" w:color="auto" w:fill="auto"/>
          </w:tcPr>
          <w:p w14:paraId="2999E998" w14:textId="77777777" w:rsidR="000F7BBE" w:rsidRPr="000F7BBE" w:rsidRDefault="000F7BBE" w:rsidP="002A4BB6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F1D6542" w14:textId="77777777" w:rsidTr="00153E23">
        <w:tc>
          <w:tcPr>
            <w:tcW w:w="5000" w:type="pct"/>
            <w:gridSpan w:val="3"/>
            <w:shd w:val="clear" w:color="auto" w:fill="auto"/>
          </w:tcPr>
          <w:p w14:paraId="5D76BC29" w14:textId="15B487DC" w:rsidR="000F7BBE" w:rsidRPr="003D2A29" w:rsidRDefault="002A4BB6" w:rsidP="003D2A29">
            <w:pPr>
              <w:jc w:val="left"/>
              <w:rPr>
                <w:b/>
                <w:bCs/>
                <w:lang w:bidi="ar-EG"/>
              </w:rPr>
            </w:pPr>
            <w:r w:rsidRPr="003D2A29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Pr="003D2A29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3D2A29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3D2A29">
              <w:rPr>
                <w:rFonts w:hint="cs"/>
                <w:b/>
                <w:bCs/>
                <w:w w:val="115"/>
                <w:rtl/>
              </w:rPr>
              <w:t xml:space="preserve"> والمنتسبين</w:t>
            </w:r>
            <w:r w:rsidRPr="003D2A29">
              <w:rPr>
                <w:b/>
                <w:bCs/>
                <w:w w:val="115"/>
                <w:rtl/>
              </w:rPr>
              <w:t xml:space="preserve"> إليه</w:t>
            </w:r>
            <w:r w:rsidRPr="003D2A29">
              <w:rPr>
                <w:b/>
                <w:bCs/>
                <w:rtl/>
              </w:rPr>
              <w:br/>
            </w:r>
            <w:r w:rsidRPr="003D2A29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Pr="003D2A29">
              <w:rPr>
                <w:b/>
                <w:bCs/>
                <w:lang w:val="en-GB"/>
              </w:rPr>
              <w:t>5</w:t>
            </w:r>
            <w:r w:rsidRPr="003D2A29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3D2A29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FA373C7" w14:textId="77777777" w:rsidTr="00153E23">
        <w:tc>
          <w:tcPr>
            <w:tcW w:w="5000" w:type="pct"/>
            <w:gridSpan w:val="3"/>
            <w:shd w:val="clear" w:color="auto" w:fill="auto"/>
          </w:tcPr>
          <w:p w14:paraId="15C27231" w14:textId="77777777" w:rsidR="000F7BBE" w:rsidRPr="000F7BBE" w:rsidRDefault="000F7BBE" w:rsidP="002A4BB6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039C6CE" w14:textId="77777777" w:rsidTr="00153E23">
        <w:tc>
          <w:tcPr>
            <w:tcW w:w="5000" w:type="pct"/>
            <w:gridSpan w:val="3"/>
            <w:shd w:val="clear" w:color="auto" w:fill="auto"/>
          </w:tcPr>
          <w:p w14:paraId="1C9D790E" w14:textId="77777777" w:rsidR="000F7BBE" w:rsidRPr="000F7BBE" w:rsidRDefault="000F7BBE" w:rsidP="002A4BB6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207100" w14:paraId="48D032C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38CB9E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EE3E6FC" w14:textId="6822BE1A" w:rsidR="002A4BB6" w:rsidRPr="001D1E11" w:rsidRDefault="002A4BB6" w:rsidP="002A4BB6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1D1E11">
              <w:rPr>
                <w:b/>
                <w:bCs/>
                <w:lang w:val="fr-FR"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(خدمات الأرض)</w:t>
            </w:r>
          </w:p>
          <w:p w14:paraId="36572917" w14:textId="6B638436" w:rsidR="000F7BBE" w:rsidRPr="001D1E11" w:rsidRDefault="002A4BB6" w:rsidP="002A4BB6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اقتراح 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اعتماد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مشروع </w:t>
            </w:r>
            <w:r w:rsidRPr="00FA56BA">
              <w:rPr>
                <w:rFonts w:hint="cs"/>
                <w:b/>
                <w:bCs/>
                <w:spacing w:val="-4"/>
                <w:rtl/>
              </w:rPr>
              <w:t>توصية جديدة لقطاع الاتصالات الراديوية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والموافقة عليها في</w:t>
            </w:r>
            <w:r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نفس الوقت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بالمراسلة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وفقاً للفقرة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lang w:val="fr-FR" w:bidi="ar-SY"/>
              </w:rPr>
              <w:t>4.2.6.A2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من القرار </w:t>
            </w:r>
            <w:r w:rsidRPr="00FA56BA">
              <w:rPr>
                <w:b/>
                <w:bCs/>
                <w:spacing w:val="-4"/>
                <w:lang w:val="fr-FR" w:bidi="ar-SY"/>
              </w:rPr>
              <w:t>ITU-R 1-8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(إجراء الاعتماد والموافقة في</w:t>
            </w:r>
            <w:r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نفس الوقت 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عن طريق 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)</w:t>
            </w:r>
          </w:p>
        </w:tc>
      </w:tr>
    </w:tbl>
    <w:p w14:paraId="508F0115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4DD1E6F1" w14:textId="59668ABC" w:rsidR="002A4BB6" w:rsidRDefault="002A4BB6" w:rsidP="002A4BB6">
      <w:pPr>
        <w:rPr>
          <w:rtl/>
          <w:lang w:bidi="ar-EG"/>
        </w:rPr>
      </w:pPr>
      <w:r w:rsidRPr="002A4BB6">
        <w:rPr>
          <w:rtl/>
          <w:lang w:bidi="ar-EG"/>
        </w:rPr>
        <w:t>قررت لجنة الدراسات</w:t>
      </w:r>
      <w:r w:rsidRPr="002A4BB6">
        <w:rPr>
          <w:rFonts w:hint="cs"/>
          <w:rtl/>
          <w:lang w:bidi="ar-EG"/>
        </w:rPr>
        <w:t> </w:t>
      </w:r>
      <w:r w:rsidRPr="001D1E11">
        <w:rPr>
          <w:lang w:val="fr-FR" w:bidi="ar-EG"/>
        </w:rPr>
        <w:t>5</w:t>
      </w:r>
      <w:r w:rsidRPr="002A4BB6">
        <w:rPr>
          <w:rtl/>
          <w:lang w:bidi="ar-EG"/>
        </w:rPr>
        <w:t xml:space="preserve"> للاتصالات الراديوية في اجتماعها </w:t>
      </w:r>
      <w:r w:rsidR="001475F3">
        <w:rPr>
          <w:rFonts w:hint="cs"/>
          <w:rtl/>
          <w:lang w:bidi="ar-EG"/>
        </w:rPr>
        <w:t>الذي عُقد</w:t>
      </w:r>
      <w:r w:rsidRPr="002A4BB6">
        <w:rPr>
          <w:rtl/>
          <w:lang w:bidi="ar-EG"/>
        </w:rPr>
        <w:t xml:space="preserve"> </w:t>
      </w:r>
      <w:r w:rsidR="001475F3">
        <w:rPr>
          <w:rFonts w:hint="cs"/>
          <w:rtl/>
          <w:lang w:bidi="ar-EG"/>
        </w:rPr>
        <w:t>يومَي</w:t>
      </w:r>
      <w:r w:rsidRPr="002A4BB6">
        <w:rPr>
          <w:rFonts w:hint="cs"/>
          <w:rtl/>
          <w:lang w:bidi="ar-EG"/>
        </w:rPr>
        <w:t xml:space="preserve"> </w:t>
      </w:r>
      <w:r w:rsidRPr="001D1E11">
        <w:rPr>
          <w:lang w:val="fr-FR" w:bidi="ar-EG"/>
        </w:rPr>
        <w:t>25</w:t>
      </w:r>
      <w:r w:rsidRPr="002A4BB6">
        <w:rPr>
          <w:rFonts w:hint="cs"/>
          <w:rtl/>
          <w:lang w:bidi="ar-SY"/>
        </w:rPr>
        <w:t xml:space="preserve"> و</w:t>
      </w:r>
      <w:r w:rsidRPr="001D1E11">
        <w:rPr>
          <w:lang w:val="fr-FR" w:bidi="ar-SY"/>
        </w:rPr>
        <w:t>26</w:t>
      </w:r>
      <w:r w:rsidRPr="002A4BB6">
        <w:rPr>
          <w:rFonts w:hint="cs"/>
          <w:rtl/>
          <w:lang w:bidi="ar-SY"/>
        </w:rPr>
        <w:t xml:space="preserve"> سبتمبر </w:t>
      </w:r>
      <w:r w:rsidRPr="001D1E11">
        <w:rPr>
          <w:lang w:val="fr-FR" w:bidi="ar-SY"/>
        </w:rPr>
        <w:t>2023</w:t>
      </w:r>
      <w:r w:rsidRPr="002A4BB6">
        <w:rPr>
          <w:rtl/>
          <w:lang w:bidi="ar-EG"/>
        </w:rPr>
        <w:t xml:space="preserve"> أن تلتمس اعتماد </w:t>
      </w:r>
      <w:r w:rsidRPr="002A4BB6">
        <w:rPr>
          <w:rFonts w:hint="cs"/>
          <w:rtl/>
          <w:lang w:bidi="ar-EG"/>
        </w:rPr>
        <w:t>مشروع توصية جديدة لقطاع الاتصالات الراديوية عن طريق المراسلة (الفقرة</w:t>
      </w:r>
      <w:r w:rsidRPr="002A4BB6">
        <w:rPr>
          <w:rFonts w:hint="eastAsia"/>
          <w:rtl/>
          <w:lang w:bidi="ar-EG"/>
        </w:rPr>
        <w:t> </w:t>
      </w:r>
      <w:r w:rsidRPr="001D1E11">
        <w:rPr>
          <w:lang w:val="fr-FR"/>
        </w:rPr>
        <w:t>2.6.A2</w:t>
      </w:r>
      <w:r w:rsidRPr="002A4BB6">
        <w:rPr>
          <w:rFonts w:hint="cs"/>
          <w:rtl/>
          <w:lang w:bidi="ar-EG"/>
        </w:rPr>
        <w:t xml:space="preserve"> من القرار </w:t>
      </w:r>
      <w:r w:rsidRPr="001D1E11">
        <w:rPr>
          <w:lang w:val="fr-FR"/>
        </w:rPr>
        <w:t>ITU</w:t>
      </w:r>
      <w:r w:rsidRPr="001D1E11">
        <w:rPr>
          <w:lang w:val="fr-FR"/>
        </w:rPr>
        <w:noBreakHyphen/>
        <w:t>R 1</w:t>
      </w:r>
      <w:r w:rsidRPr="001D1E11">
        <w:rPr>
          <w:lang w:val="fr-FR"/>
        </w:rPr>
        <w:noBreakHyphen/>
        <w:t>8</w:t>
      </w:r>
      <w:r w:rsidRPr="002A4BB6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2A4BB6">
        <w:rPr>
          <w:rFonts w:hint="eastAsia"/>
          <w:rtl/>
          <w:lang w:bidi="ar-EG"/>
        </w:rPr>
        <w:t> </w:t>
      </w:r>
      <w:r w:rsidRPr="001D1E11">
        <w:rPr>
          <w:lang w:val="fr-FR"/>
        </w:rPr>
        <w:t>(PSAA)</w:t>
      </w:r>
      <w:r w:rsidRPr="002A4BB6">
        <w:rPr>
          <w:rFonts w:hint="cs"/>
          <w:rtl/>
          <w:lang w:bidi="ar-EG"/>
        </w:rPr>
        <w:t xml:space="preserve"> (الفقرة </w:t>
      </w:r>
      <w:r w:rsidRPr="001D1E11">
        <w:rPr>
          <w:lang w:val="fr-FR"/>
        </w:rPr>
        <w:t>4.2.6.A2</w:t>
      </w:r>
      <w:r w:rsidRPr="002A4BB6">
        <w:rPr>
          <w:rFonts w:hint="cs"/>
          <w:rtl/>
          <w:lang w:bidi="ar-EG"/>
        </w:rPr>
        <w:t xml:space="preserve"> من القرار </w:t>
      </w:r>
      <w:r w:rsidRPr="001D1E11">
        <w:rPr>
          <w:lang w:val="fr-FR"/>
        </w:rPr>
        <w:t>ITU</w:t>
      </w:r>
      <w:r w:rsidRPr="001D1E11">
        <w:rPr>
          <w:lang w:val="fr-FR"/>
        </w:rPr>
        <w:noBreakHyphen/>
        <w:t>R 1</w:t>
      </w:r>
      <w:r w:rsidRPr="001D1E11">
        <w:rPr>
          <w:lang w:val="fr-FR"/>
        </w:rPr>
        <w:noBreakHyphen/>
        <w:t>8</w:t>
      </w:r>
      <w:r w:rsidRPr="002A4BB6">
        <w:rPr>
          <w:rFonts w:hint="cs"/>
          <w:rtl/>
          <w:lang w:bidi="ar-EG"/>
        </w:rPr>
        <w:t xml:space="preserve">). ويرد في </w:t>
      </w:r>
      <w:r w:rsidRPr="002A4BB6">
        <w:rPr>
          <w:rFonts w:hint="cs"/>
          <w:rtl/>
        </w:rPr>
        <w:t>الملحق بهذه الرسالة</w:t>
      </w:r>
      <w:r w:rsidRPr="002A4BB6">
        <w:rPr>
          <w:rFonts w:hint="cs"/>
          <w:rtl/>
          <w:lang w:bidi="ar-EG"/>
        </w:rPr>
        <w:t xml:space="preserve"> عنوان وملخص مشروع التوصية. ويرجى من أي دولة عضو </w:t>
      </w:r>
      <w:r w:rsidR="001475F3">
        <w:rPr>
          <w:rFonts w:hint="cs"/>
          <w:rtl/>
          <w:lang w:bidi="ar-EG"/>
        </w:rPr>
        <w:t>لديها اعتراض</w:t>
      </w:r>
      <w:r w:rsidRPr="002A4BB6">
        <w:rPr>
          <w:rFonts w:hint="cs"/>
          <w:rtl/>
          <w:lang w:bidi="ar-EG"/>
        </w:rPr>
        <w:t xml:space="preserve"> على اعتماد مشروع توصية أن تخبر المدير ورئيس لجنة الدراسات بأسباب</w:t>
      </w:r>
      <w:r w:rsidRPr="002A4BB6">
        <w:rPr>
          <w:rFonts w:hint="eastAsia"/>
          <w:rtl/>
          <w:lang w:bidi="ar-EG"/>
        </w:rPr>
        <w:t> </w:t>
      </w:r>
      <w:r w:rsidRPr="002A4BB6">
        <w:rPr>
          <w:rFonts w:hint="cs"/>
          <w:rtl/>
          <w:lang w:bidi="ar-EG"/>
        </w:rPr>
        <w:t>اعتراضها.</w:t>
      </w:r>
    </w:p>
    <w:p w14:paraId="0895980D" w14:textId="6CB58DB2" w:rsidR="002A4BB6" w:rsidRPr="002841F3" w:rsidRDefault="002A4BB6" w:rsidP="002A4BB6">
      <w:pPr>
        <w:rPr>
          <w:spacing w:val="2"/>
          <w:rtl/>
          <w:lang w:bidi="ar-EG"/>
        </w:rPr>
      </w:pPr>
      <w:r w:rsidRPr="001475F3">
        <w:rPr>
          <w:spacing w:val="2"/>
          <w:rtl/>
          <w:lang w:bidi="ar-EG"/>
        </w:rPr>
        <w:t xml:space="preserve">وتمتد فترة النظر </w:t>
      </w:r>
      <w:r w:rsidRPr="001475F3">
        <w:rPr>
          <w:rFonts w:hint="cs"/>
          <w:spacing w:val="2"/>
          <w:rtl/>
          <w:lang w:bidi="ar-EG"/>
        </w:rPr>
        <w:t xml:space="preserve">لمدة </w:t>
      </w:r>
      <w:r w:rsidRPr="001D1E11">
        <w:rPr>
          <w:rFonts w:hint="cs"/>
          <w:spacing w:val="2"/>
          <w:rtl/>
          <w:lang w:bidi="ar-EG"/>
        </w:rPr>
        <w:t xml:space="preserve">شهرين </w:t>
      </w:r>
      <w:r w:rsidRPr="001D1E11">
        <w:rPr>
          <w:spacing w:val="2"/>
          <w:rtl/>
          <w:lang w:bidi="ar-EG"/>
        </w:rPr>
        <w:t>تنتهي في</w:t>
      </w:r>
      <w:r w:rsidRPr="001D1E11">
        <w:rPr>
          <w:rFonts w:hint="cs"/>
          <w:spacing w:val="2"/>
          <w:rtl/>
          <w:lang w:bidi="ar-EG"/>
        </w:rPr>
        <w:t xml:space="preserve"> </w:t>
      </w:r>
      <w:r w:rsidRPr="001D1E11">
        <w:rPr>
          <w:spacing w:val="2"/>
          <w:u w:val="single"/>
          <w:lang w:bidi="ar-EG"/>
        </w:rPr>
        <w:t>9</w:t>
      </w:r>
      <w:r w:rsidRPr="001D1E11">
        <w:rPr>
          <w:rFonts w:hint="cs"/>
          <w:spacing w:val="2"/>
          <w:u w:val="single"/>
          <w:rtl/>
          <w:lang w:bidi="ar-SY"/>
        </w:rPr>
        <w:t xml:space="preserve"> ديسمبر </w:t>
      </w:r>
      <w:r w:rsidRPr="001D1E11">
        <w:rPr>
          <w:spacing w:val="2"/>
          <w:u w:val="single"/>
          <w:lang w:bidi="ar-SY"/>
        </w:rPr>
        <w:t>2023</w:t>
      </w:r>
      <w:r w:rsidRPr="001D1E11">
        <w:rPr>
          <w:spacing w:val="2"/>
          <w:rtl/>
          <w:lang w:bidi="ar-EG"/>
        </w:rPr>
        <w:t>. وإذا لم</w:t>
      </w:r>
      <w:r w:rsidRPr="001475F3">
        <w:rPr>
          <w:spacing w:val="2"/>
          <w:rtl/>
          <w:lang w:bidi="ar-EG"/>
        </w:rPr>
        <w:t xml:space="preserve"> ترد أي اعتراضات من الدول الأعضاء خلال هذه الفترة فإن</w:t>
      </w:r>
      <w:r w:rsidRPr="001475F3">
        <w:rPr>
          <w:rFonts w:hint="cs"/>
          <w:spacing w:val="2"/>
          <w:rtl/>
          <w:lang w:bidi="ar-EG"/>
        </w:rPr>
        <w:t xml:space="preserve"> مشروع التوصية يعتبر قد اعتمدته </w:t>
      </w:r>
      <w:r w:rsidRPr="001475F3">
        <w:rPr>
          <w:spacing w:val="2"/>
          <w:rtl/>
          <w:lang w:bidi="ar-EG"/>
        </w:rPr>
        <w:t>لجنة الدراسات</w:t>
      </w:r>
      <w:r w:rsidRPr="001475F3">
        <w:rPr>
          <w:rFonts w:hint="eastAsia"/>
          <w:spacing w:val="2"/>
          <w:rtl/>
          <w:lang w:bidi="ar-EG"/>
        </w:rPr>
        <w:t> </w:t>
      </w:r>
      <w:r w:rsidRPr="001475F3">
        <w:rPr>
          <w:spacing w:val="2"/>
        </w:rPr>
        <w:t>5</w:t>
      </w:r>
      <w:r w:rsidRPr="001475F3">
        <w:rPr>
          <w:spacing w:val="2"/>
          <w:rtl/>
          <w:lang w:bidi="ar-EG"/>
        </w:rPr>
        <w:t xml:space="preserve">. </w:t>
      </w:r>
      <w:r w:rsidRPr="001475F3">
        <w:rPr>
          <w:rFonts w:hint="cs"/>
          <w:spacing w:val="2"/>
          <w:rtl/>
          <w:lang w:bidi="ar-EG"/>
        </w:rPr>
        <w:t>وعلاوةً على</w:t>
      </w:r>
      <w:r w:rsidRPr="001475F3">
        <w:rPr>
          <w:spacing w:val="2"/>
          <w:rtl/>
          <w:lang w:bidi="ar-EG"/>
        </w:rPr>
        <w:t xml:space="preserve"> ذلك، ولما</w:t>
      </w:r>
      <w:r w:rsidRPr="001475F3">
        <w:rPr>
          <w:spacing w:val="2"/>
          <w:lang w:bidi="ar-EG"/>
        </w:rPr>
        <w:t> </w:t>
      </w:r>
      <w:r w:rsidRPr="001475F3">
        <w:rPr>
          <w:spacing w:val="2"/>
          <w:rtl/>
          <w:lang w:bidi="ar-EG"/>
        </w:rPr>
        <w:t>كان قد</w:t>
      </w:r>
      <w:r w:rsidRPr="001475F3">
        <w:rPr>
          <w:rFonts w:hint="cs"/>
          <w:spacing w:val="2"/>
          <w:rtl/>
          <w:lang w:bidi="ar-EG"/>
        </w:rPr>
        <w:t> </w:t>
      </w:r>
      <w:r w:rsidRPr="001475F3">
        <w:rPr>
          <w:spacing w:val="2"/>
          <w:rtl/>
          <w:lang w:bidi="ar-EG"/>
        </w:rPr>
        <w:t>تم اتباع إجراء الاعتماد والموافقة في</w:t>
      </w:r>
      <w:r w:rsidRPr="001475F3">
        <w:rPr>
          <w:rFonts w:hint="cs"/>
          <w:spacing w:val="2"/>
          <w:rtl/>
          <w:lang w:bidi="ar-EG"/>
        </w:rPr>
        <w:t> </w:t>
      </w:r>
      <w:r w:rsidRPr="001475F3">
        <w:rPr>
          <w:spacing w:val="2"/>
          <w:rtl/>
          <w:lang w:bidi="ar-EG"/>
        </w:rPr>
        <w:t xml:space="preserve">نفس الوقت عن طريق المراسلة، فإن </w:t>
      </w:r>
      <w:r w:rsidRPr="001475F3">
        <w:rPr>
          <w:rFonts w:hint="cs"/>
          <w:spacing w:val="2"/>
          <w:rtl/>
          <w:lang w:bidi="ar-EG"/>
        </w:rPr>
        <w:t>مشروع التوصية سيعتبر</w:t>
      </w:r>
      <w:r w:rsidRPr="001475F3">
        <w:rPr>
          <w:spacing w:val="2"/>
          <w:rtl/>
          <w:lang w:bidi="ar-EG"/>
        </w:rPr>
        <w:t xml:space="preserve"> أيضاً بحكم المواف</w:t>
      </w:r>
      <w:r w:rsidRPr="001475F3">
        <w:rPr>
          <w:rFonts w:hint="cs"/>
          <w:spacing w:val="2"/>
          <w:rtl/>
          <w:lang w:bidi="ar-EG"/>
        </w:rPr>
        <w:t>َ</w:t>
      </w:r>
      <w:r w:rsidRPr="001475F3">
        <w:rPr>
          <w:spacing w:val="2"/>
          <w:rtl/>
          <w:lang w:bidi="ar-EG"/>
        </w:rPr>
        <w:t>ق عليه</w:t>
      </w:r>
      <w:r w:rsidR="001475F3" w:rsidRPr="001475F3">
        <w:rPr>
          <w:rFonts w:hint="cs"/>
          <w:spacing w:val="2"/>
          <w:rtl/>
          <w:lang w:bidi="ar-EG"/>
        </w:rPr>
        <w:t>.</w:t>
      </w:r>
    </w:p>
    <w:p w14:paraId="27F4F932" w14:textId="0475942A" w:rsidR="002A4BB6" w:rsidRDefault="002A4BB6" w:rsidP="002A4BB6">
      <w:pPr>
        <w:rPr>
          <w:rtl/>
          <w:lang w:bidi="ar-EG"/>
        </w:rPr>
      </w:pPr>
      <w:r w:rsidRPr="008D3F8E">
        <w:rPr>
          <w:rtl/>
          <w:lang w:bidi="ar-EG"/>
        </w:rPr>
        <w:t>وبعد المهلة المحددة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 xml:space="preserve">علن نتائج </w:t>
      </w:r>
      <w:r>
        <w:rPr>
          <w:rFonts w:hint="cs"/>
          <w:rtl/>
          <w:lang w:bidi="ar-EG"/>
        </w:rPr>
        <w:t>الإجراءات المذكورة أعلاه</w:t>
      </w:r>
      <w:r w:rsidRPr="008D3F8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>نشر</w:t>
      </w:r>
      <w:r>
        <w:rPr>
          <w:rFonts w:hint="cs"/>
          <w:rtl/>
          <w:lang w:bidi="ar-EG"/>
        </w:rPr>
        <w:t xml:space="preserve"> التوصية</w:t>
      </w:r>
      <w:r w:rsidRPr="008D3F8E">
        <w:rPr>
          <w:rtl/>
          <w:lang w:bidi="ar-EG"/>
        </w:rPr>
        <w:t xml:space="preserve"> ال</w:t>
      </w:r>
      <w:r>
        <w:rPr>
          <w:rtl/>
          <w:lang w:bidi="ar-EG"/>
        </w:rPr>
        <w:t>مواف</w:t>
      </w:r>
      <w:r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14:paraId="03F2AB4E" w14:textId="77777777" w:rsidR="00207100" w:rsidRDefault="00207100" w:rsidP="002A4BB6">
      <w:pPr>
        <w:rPr>
          <w:rtl/>
          <w:lang w:bidi="ar-EG"/>
        </w:rPr>
      </w:pPr>
    </w:p>
    <w:p w14:paraId="69530DCB" w14:textId="77777777" w:rsidR="00207100" w:rsidRDefault="00207100" w:rsidP="002A4BB6">
      <w:pPr>
        <w:rPr>
          <w:rtl/>
          <w:lang w:bidi="ar-EG"/>
        </w:rPr>
      </w:pPr>
    </w:p>
    <w:p w14:paraId="1CBF2878" w14:textId="77777777" w:rsidR="00207100" w:rsidRDefault="00207100" w:rsidP="002A4BB6">
      <w:pPr>
        <w:rPr>
          <w:rtl/>
        </w:rPr>
      </w:pPr>
    </w:p>
    <w:p w14:paraId="7C08ABF5" w14:textId="69ECAB54" w:rsidR="002A4BB6" w:rsidRDefault="002A4BB6" w:rsidP="002A4BB6">
      <w:pPr>
        <w:keepNext/>
        <w:keepLines/>
        <w:rPr>
          <w:spacing w:val="-4"/>
          <w:rtl/>
          <w:lang w:bidi="ar-EG"/>
        </w:rPr>
      </w:pPr>
      <w:r w:rsidRPr="00750709">
        <w:rPr>
          <w:spacing w:val="-4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Pr="00750709">
        <w:rPr>
          <w:rFonts w:hint="cs"/>
          <w:spacing w:val="-4"/>
          <w:rtl/>
          <w:lang w:bidi="ar-EG"/>
        </w:rPr>
        <w:t xml:space="preserve"> من مشروع التوصية</w:t>
      </w:r>
      <w:r w:rsidRPr="00750709">
        <w:rPr>
          <w:spacing w:val="-4"/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</w:t>
      </w:r>
      <w:r w:rsidRPr="00750709">
        <w:rPr>
          <w:rFonts w:hint="cs"/>
          <w:spacing w:val="-4"/>
          <w:rtl/>
          <w:lang w:bidi="ar-EG"/>
        </w:rPr>
        <w:t> </w:t>
      </w:r>
      <w:r w:rsidRPr="00750709">
        <w:rPr>
          <w:spacing w:val="-4"/>
        </w:rPr>
        <w:t>"ITU</w:t>
      </w:r>
      <w:r w:rsidRPr="00750709">
        <w:rPr>
          <w:spacing w:val="-4"/>
        </w:rPr>
        <w:noBreakHyphen/>
        <w:t>T/ITU</w:t>
      </w:r>
      <w:r w:rsidRPr="00750709">
        <w:rPr>
          <w:spacing w:val="-4"/>
        </w:rPr>
        <w:noBreakHyphen/>
        <w:t>R/ISO/IEC"</w:t>
      </w:r>
      <w:r w:rsidRPr="00750709">
        <w:rPr>
          <w:spacing w:val="-4"/>
          <w:rtl/>
          <w:lang w:bidi="ar-EG"/>
        </w:rPr>
        <w:t xml:space="preserve"> في الموقع الإلكتروني</w:t>
      </w:r>
      <w:r w:rsidRPr="00750709">
        <w:rPr>
          <w:rFonts w:hint="cs"/>
          <w:spacing w:val="-4"/>
          <w:rtl/>
          <w:lang w:bidi="ar-EG"/>
        </w:rPr>
        <w:t xml:space="preserve">: </w:t>
      </w:r>
      <w:hyperlink r:id="rId9" w:history="1">
        <w:r w:rsidRPr="00750709">
          <w:rPr>
            <w:rStyle w:val="Hyperlink"/>
            <w:spacing w:val="-4"/>
            <w:lang w:bidi="ar-EG"/>
          </w:rPr>
          <w:t>http://www.itu.int/en/ITU-T/ipr/Pages/policy.aspx</w:t>
        </w:r>
      </w:hyperlink>
      <w:r w:rsidRPr="00750709">
        <w:rPr>
          <w:spacing w:val="-4"/>
          <w:rtl/>
          <w:lang w:bidi="ar-EG"/>
        </w:rPr>
        <w:t>.</w:t>
      </w:r>
    </w:p>
    <w:p w14:paraId="73B9CA11" w14:textId="77777777" w:rsidR="002A4BB6" w:rsidRPr="00750709" w:rsidRDefault="002A4BB6" w:rsidP="002A4BB6">
      <w:pPr>
        <w:keepNext/>
        <w:keepLines/>
        <w:spacing w:before="240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3989D5F4" w14:textId="77777777" w:rsidR="002A4BB6" w:rsidRDefault="002A4BB6" w:rsidP="00207100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7543698" w14:textId="04BF3F70" w:rsidR="004678CE" w:rsidRDefault="004678CE" w:rsidP="00207100">
      <w:pPr>
        <w:spacing w:before="2640"/>
        <w:jc w:val="left"/>
        <w:rPr>
          <w:rtl/>
          <w:lang w:bidi="ar-EG"/>
        </w:rPr>
      </w:pPr>
      <w:r w:rsidRPr="00007A89">
        <w:rPr>
          <w:rFonts w:hint="cs"/>
          <w:b/>
          <w:bCs/>
          <w:rtl/>
          <w:lang w:bidi="ar-EG"/>
        </w:rPr>
        <w:t>الملحق</w:t>
      </w:r>
      <w:r w:rsidRPr="00007A89">
        <w:rPr>
          <w:rFonts w:hint="cs"/>
          <w:rtl/>
          <w:lang w:bidi="ar-EG"/>
        </w:rPr>
        <w:t xml:space="preserve">: </w:t>
      </w:r>
      <w:r w:rsidRPr="00007A89">
        <w:rPr>
          <w:rFonts w:hint="cs"/>
          <w:rtl/>
          <w:lang w:bidi="ar-EG"/>
        </w:rPr>
        <w:tab/>
        <w:t>عنوان وملخص مشروع التوصية</w:t>
      </w:r>
    </w:p>
    <w:p w14:paraId="7925F348" w14:textId="2CD41F62" w:rsidR="002A4BB6" w:rsidRPr="002A4BB6" w:rsidRDefault="002A4BB6" w:rsidP="002A4BB6">
      <w:pPr>
        <w:spacing w:before="600"/>
        <w:jc w:val="left"/>
        <w:rPr>
          <w:rtl/>
          <w:lang w:bidi="ar-SY"/>
        </w:rPr>
      </w:pPr>
      <w:r w:rsidRPr="002A4BB6">
        <w:rPr>
          <w:rFonts w:hint="cs"/>
          <w:b/>
          <w:bCs/>
          <w:rtl/>
          <w:lang w:bidi="ar-EG"/>
        </w:rPr>
        <w:t>الوثائق</w:t>
      </w:r>
      <w:r w:rsidRPr="002A4BB6">
        <w:rPr>
          <w:b/>
          <w:bCs/>
          <w:rtl/>
          <w:lang w:bidi="ar-EG"/>
        </w:rPr>
        <w:t>:</w:t>
      </w:r>
      <w:r w:rsidRPr="002A4BB6">
        <w:rPr>
          <w:rFonts w:hint="cs"/>
          <w:rtl/>
          <w:lang w:bidi="ar-EG"/>
        </w:rPr>
        <w:tab/>
        <w:t xml:space="preserve">الوثيقة </w:t>
      </w:r>
      <w:hyperlink r:id="rId10" w:history="1">
        <w:r w:rsidRPr="00354FD7">
          <w:rPr>
            <w:rStyle w:val="Hyperlink"/>
            <w:szCs w:val="24"/>
            <w:lang w:val="fr-FR"/>
          </w:rPr>
          <w:t xml:space="preserve">5/153 </w:t>
        </w:r>
        <w:r w:rsidRPr="000A78C2">
          <w:rPr>
            <w:rStyle w:val="Hyperlink"/>
            <w:szCs w:val="24"/>
            <w:lang w:val="fr-FR"/>
          </w:rPr>
          <w:t>Part1</w:t>
        </w:r>
      </w:hyperlink>
    </w:p>
    <w:p w14:paraId="3FF300CD" w14:textId="086AB59D" w:rsidR="002A4BB6" w:rsidRDefault="002A4BB6" w:rsidP="004678CE">
      <w:pPr>
        <w:spacing w:before="240"/>
      </w:pPr>
      <w:r w:rsidRPr="00FE1CF4">
        <w:rPr>
          <w:rFonts w:hint="cs"/>
          <w:rtl/>
        </w:rPr>
        <w:t>وتتاح هذه الوثيقة في نسق إلكتروني</w:t>
      </w:r>
      <w:r>
        <w:rPr>
          <w:rFonts w:hint="cs"/>
          <w:rtl/>
        </w:rPr>
        <w:t xml:space="preserve"> في: </w:t>
      </w:r>
      <w:hyperlink r:id="rId11" w:history="1">
        <w:r w:rsidRPr="005E0F7A">
          <w:rPr>
            <w:rStyle w:val="Hyperlink"/>
            <w:szCs w:val="24"/>
          </w:rPr>
          <w:t>https://www.itu.int/md/R19-SG05-C/en</w:t>
        </w:r>
      </w:hyperlink>
    </w:p>
    <w:p w14:paraId="30DFE9C3" w14:textId="77777777" w:rsidR="00FC09E8" w:rsidRDefault="00FC09E8" w:rsidP="002A4BB6">
      <w:pPr>
        <w:rPr>
          <w:rtl/>
        </w:rPr>
      </w:pPr>
      <w:r>
        <w:rPr>
          <w:rtl/>
        </w:rPr>
        <w:br w:type="page"/>
      </w:r>
    </w:p>
    <w:p w14:paraId="0C73A670" w14:textId="6883AD5C" w:rsidR="002A4BB6" w:rsidRDefault="002A4BB6" w:rsidP="002A4BB6">
      <w:pPr>
        <w:pStyle w:val="AnnexNoTitle0"/>
        <w:rPr>
          <w:rtl/>
        </w:rPr>
      </w:pPr>
      <w:r w:rsidRPr="008D3F8E">
        <w:rPr>
          <w:rFonts w:hint="eastAsia"/>
          <w:rtl/>
        </w:rPr>
        <w:lastRenderedPageBreak/>
        <w:t>الملحـق</w:t>
      </w:r>
      <w:r>
        <w:rPr>
          <w:rtl/>
          <w:lang w:val="en-GB"/>
        </w:rPr>
        <w:br/>
      </w:r>
      <w:r>
        <w:rPr>
          <w:rtl/>
          <w:lang w:val="en-GB"/>
        </w:rPr>
        <w:br/>
      </w:r>
      <w:r w:rsidRPr="008D3F8E">
        <w:rPr>
          <w:rFonts w:hint="cs"/>
          <w:rtl/>
        </w:rPr>
        <w:t>عنوان وملخص مشروع التوصية</w:t>
      </w:r>
    </w:p>
    <w:p w14:paraId="4BC4D4A7" w14:textId="5CBD5F1E" w:rsidR="002A4BB6" w:rsidRPr="002A4BB6" w:rsidRDefault="002A4BB6" w:rsidP="002A4BB6">
      <w:pPr>
        <w:keepNext/>
        <w:tabs>
          <w:tab w:val="right" w:pos="9639"/>
        </w:tabs>
        <w:spacing w:before="480"/>
        <w:rPr>
          <w:u w:val="single"/>
          <w:rtl/>
          <w:lang w:bidi="ar-EG"/>
        </w:rPr>
      </w:pPr>
      <w:r w:rsidRPr="002A4BB6">
        <w:rPr>
          <w:rFonts w:hint="cs"/>
          <w:u w:val="single"/>
          <w:rtl/>
        </w:rPr>
        <w:t xml:space="preserve">مشروع التوصية الجديدة </w:t>
      </w:r>
      <w:r w:rsidRPr="002A4BB6">
        <w:rPr>
          <w:u w:val="single"/>
        </w:rPr>
        <w:t>ITU-R</w:t>
      </w:r>
      <w:r w:rsidRPr="002A4BB6">
        <w:rPr>
          <w:u w:val="single"/>
          <w:lang w:eastAsia="ja-JP"/>
        </w:rPr>
        <w:t>M.[REC.MSS &amp; IMT L-BAND COMPATIBILITY]</w:t>
      </w:r>
      <w:r w:rsidRPr="0053768D">
        <w:rPr>
          <w:rStyle w:val="FootnoteReference"/>
          <w:rtl/>
        </w:rPr>
        <w:footnoteReference w:id="1"/>
      </w:r>
      <w:r w:rsidRPr="00817092">
        <w:rPr>
          <w:rFonts w:hint="cs"/>
          <w:rtl/>
          <w:lang w:bidi="ar-EG"/>
        </w:rPr>
        <w:tab/>
        <w:t xml:space="preserve">الوثيقة </w:t>
      </w:r>
      <w:hyperlink r:id="rId12" w:history="1">
        <w:r w:rsidRPr="00817092">
          <w:rPr>
            <w:rStyle w:val="Hyperlink"/>
          </w:rPr>
          <w:t>5/153-Part1</w:t>
        </w:r>
      </w:hyperlink>
    </w:p>
    <w:p w14:paraId="591EECD3" w14:textId="71FCE03E" w:rsidR="002A4BB6" w:rsidRDefault="000A78C2" w:rsidP="002A4BB6">
      <w:pPr>
        <w:pStyle w:val="Rectitle"/>
        <w:spacing w:before="240"/>
        <w:rPr>
          <w:rtl/>
          <w:lang w:bidi="ar-SY"/>
        </w:rPr>
      </w:pPr>
      <w:r w:rsidRPr="00860B6A">
        <w:rPr>
          <w:rFonts w:hint="cs"/>
          <w:sz w:val="26"/>
          <w:szCs w:val="26"/>
          <w:rtl/>
          <w:lang w:bidi="ar-EG"/>
        </w:rPr>
        <w:t xml:space="preserve">التدابير التقنية والتنظيمية لتوفير التوافق بين الاتصالات المتنقلة الدولية والخدمة المتنقلة الساتلية، فيما يتعلق بعمليات الخدمة المتنقلة الساتلية في نطاق التردد </w:t>
      </w:r>
      <w:r w:rsidRPr="00860B6A">
        <w:rPr>
          <w:sz w:val="26"/>
          <w:szCs w:val="26"/>
          <w:lang w:bidi="ar-EG"/>
        </w:rPr>
        <w:t>MHz 1 525-1 518</w:t>
      </w:r>
      <w:r w:rsidRPr="00860B6A">
        <w:rPr>
          <w:rFonts w:hint="cs"/>
          <w:sz w:val="26"/>
          <w:szCs w:val="26"/>
          <w:rtl/>
          <w:lang w:bidi="ar-EG"/>
        </w:rPr>
        <w:t xml:space="preserve"> من أجل الإدارات التي ترغب في تنفيذ الاتصالات المتنقلة الدولية في نطاق التردد</w:t>
      </w:r>
      <w:r w:rsidR="002A4BB6" w:rsidRPr="00860B6A">
        <w:rPr>
          <w:rFonts w:hint="cs"/>
          <w:sz w:val="26"/>
          <w:szCs w:val="26"/>
          <w:rtl/>
          <w:lang w:bidi="ar-EG"/>
        </w:rPr>
        <w:t xml:space="preserve"> </w:t>
      </w:r>
      <w:r w:rsidR="002A4BB6" w:rsidRPr="00860B6A">
        <w:rPr>
          <w:sz w:val="26"/>
          <w:szCs w:val="26"/>
          <w:lang w:bidi="ar-EG"/>
        </w:rPr>
        <w:t>MHz 1 518-1 492</w:t>
      </w:r>
      <w:r w:rsidR="002A4BB6">
        <w:rPr>
          <w:rStyle w:val="FootnoteReference"/>
          <w:rtl/>
          <w:lang w:bidi="ar-EG"/>
        </w:rPr>
        <w:footnoteReference w:id="2"/>
      </w:r>
    </w:p>
    <w:p w14:paraId="1270328C" w14:textId="60921E18" w:rsidR="002A4BB6" w:rsidRPr="00920A9A" w:rsidRDefault="00860B6A" w:rsidP="002A4BB6">
      <w:pPr>
        <w:rPr>
          <w:spacing w:val="-2"/>
          <w:rtl/>
          <w:lang w:bidi="ar-EG"/>
        </w:rPr>
      </w:pPr>
      <w:r w:rsidRPr="00920A9A">
        <w:rPr>
          <w:rFonts w:hint="cs"/>
          <w:spacing w:val="-2"/>
          <w:rtl/>
          <w:lang w:bidi="ar-EG"/>
        </w:rPr>
        <w:t xml:space="preserve">تقدم هذه التوصية التدابير التقنية والتنظيمية لتوفير التوافق في النطاقات المتجاورة بين الأنظمة الساتلية في الخدمة المتنقلة الساتلية العاملة في النطاق </w:t>
      </w:r>
      <w:r w:rsidRPr="00920A9A">
        <w:rPr>
          <w:spacing w:val="-2"/>
          <w:lang w:bidi="ar-EG"/>
        </w:rPr>
        <w:t>MHz 1 525-1 518</w:t>
      </w:r>
      <w:r w:rsidRPr="00920A9A">
        <w:rPr>
          <w:rFonts w:hint="cs"/>
          <w:spacing w:val="-2"/>
          <w:rtl/>
          <w:lang w:bidi="ar-EG"/>
        </w:rPr>
        <w:t xml:space="preserve"> وأنظمة الأرض للاتصالات المتنقلة الدولية العاملة في</w:t>
      </w:r>
      <w:r w:rsidR="00920A9A" w:rsidRPr="00920A9A">
        <w:rPr>
          <w:rFonts w:hint="eastAsia"/>
          <w:spacing w:val="-2"/>
          <w:rtl/>
          <w:lang w:bidi="ar-EG"/>
        </w:rPr>
        <w:t> </w:t>
      </w:r>
      <w:r w:rsidRPr="00920A9A">
        <w:rPr>
          <w:rFonts w:hint="cs"/>
          <w:spacing w:val="-2"/>
          <w:rtl/>
          <w:lang w:bidi="ar-EG"/>
        </w:rPr>
        <w:t>النطاق</w:t>
      </w:r>
      <w:r w:rsidR="00802CAE">
        <w:rPr>
          <w:rFonts w:hint="eastAsia"/>
          <w:spacing w:val="-2"/>
          <w:rtl/>
          <w:lang w:bidi="ar-EG"/>
        </w:rPr>
        <w:t> </w:t>
      </w:r>
      <w:r w:rsidRPr="00920A9A">
        <w:rPr>
          <w:spacing w:val="-2"/>
          <w:lang w:bidi="ar-EG"/>
        </w:rPr>
        <w:t>MHz</w:t>
      </w:r>
      <w:r w:rsidR="00920A9A" w:rsidRPr="00920A9A">
        <w:rPr>
          <w:spacing w:val="-2"/>
          <w:lang w:bidi="ar-EG"/>
        </w:rPr>
        <w:t> </w:t>
      </w:r>
      <w:r w:rsidRPr="00920A9A">
        <w:rPr>
          <w:spacing w:val="-2"/>
          <w:lang w:bidi="ar-EG"/>
        </w:rPr>
        <w:t>1 518</w:t>
      </w:r>
      <w:r w:rsidR="00920A9A" w:rsidRPr="00920A9A">
        <w:rPr>
          <w:spacing w:val="-2"/>
          <w:lang w:bidi="ar-EG"/>
        </w:rPr>
        <w:noBreakHyphen/>
      </w:r>
      <w:r w:rsidRPr="00920A9A">
        <w:rPr>
          <w:spacing w:val="-2"/>
          <w:lang w:bidi="ar-EG"/>
        </w:rPr>
        <w:t>1 492</w:t>
      </w:r>
      <w:r w:rsidRPr="00920A9A">
        <w:rPr>
          <w:rFonts w:hint="cs"/>
          <w:spacing w:val="-2"/>
          <w:rtl/>
          <w:lang w:bidi="ar-EG"/>
        </w:rPr>
        <w:t xml:space="preserve"> على نحو ما يدعو إليه القرار </w:t>
      </w:r>
      <w:r w:rsidRPr="00920A9A">
        <w:rPr>
          <w:rFonts w:eastAsia="Batang"/>
          <w:b/>
          <w:bCs/>
          <w:spacing w:val="-2"/>
        </w:rPr>
        <w:t>223 (Rev.WRC-19)</w:t>
      </w:r>
      <w:r w:rsidRPr="00920A9A">
        <w:rPr>
          <w:rFonts w:hint="cs"/>
          <w:spacing w:val="-2"/>
          <w:rtl/>
          <w:lang w:bidi="ar-EG"/>
        </w:rPr>
        <w:t>.</w:t>
      </w:r>
    </w:p>
    <w:p w14:paraId="75D05A29" w14:textId="5F11EA5E" w:rsidR="003B5733" w:rsidRDefault="002A4BB6" w:rsidP="002A4BB6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0F7E" w14:textId="77777777" w:rsidR="002A4BB6" w:rsidRDefault="002A4BB6" w:rsidP="006C3242">
      <w:pPr>
        <w:spacing w:before="0" w:line="240" w:lineRule="auto"/>
      </w:pPr>
      <w:r>
        <w:separator/>
      </w:r>
    </w:p>
  </w:endnote>
  <w:endnote w:type="continuationSeparator" w:id="0">
    <w:p w14:paraId="61CBF7D5" w14:textId="77777777" w:rsidR="002A4BB6" w:rsidRDefault="002A4B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1F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C543" w14:textId="77777777" w:rsidR="002A4BB6" w:rsidRDefault="002A4BB6" w:rsidP="006C3242">
      <w:pPr>
        <w:spacing w:before="0" w:line="240" w:lineRule="auto"/>
      </w:pPr>
      <w:r>
        <w:separator/>
      </w:r>
    </w:p>
  </w:footnote>
  <w:footnote w:type="continuationSeparator" w:id="0">
    <w:p w14:paraId="20D55266" w14:textId="77777777" w:rsidR="002A4BB6" w:rsidRDefault="002A4BB6" w:rsidP="006C3242">
      <w:pPr>
        <w:spacing w:before="0" w:line="240" w:lineRule="auto"/>
      </w:pPr>
      <w:r>
        <w:continuationSeparator/>
      </w:r>
    </w:p>
  </w:footnote>
  <w:footnote w:id="1">
    <w:p w14:paraId="74933105" w14:textId="7A17FEFE" w:rsidR="002A4BB6" w:rsidRPr="005424C1" w:rsidRDefault="002A4BB6" w:rsidP="005424C1">
      <w:pPr>
        <w:pStyle w:val="FootnoteText"/>
        <w:tabs>
          <w:tab w:val="clear" w:pos="794"/>
          <w:tab w:val="left" w:pos="283"/>
        </w:tabs>
        <w:rPr>
          <w:rStyle w:val="FootnoteReference"/>
          <w:position w:val="0"/>
        </w:rPr>
      </w:pPr>
      <w:r w:rsidRPr="005424C1">
        <w:rPr>
          <w:rStyle w:val="FootnoteReference"/>
          <w:position w:val="0"/>
        </w:rPr>
        <w:footnoteRef/>
      </w:r>
      <w:r w:rsidRPr="005424C1">
        <w:rPr>
          <w:rStyle w:val="FootnoteReference"/>
          <w:position w:val="0"/>
          <w:rtl/>
        </w:rPr>
        <w:tab/>
      </w:r>
      <w:r w:rsidRPr="005424C1">
        <w:rPr>
          <w:rStyle w:val="FootnoteReference"/>
          <w:rFonts w:hint="cs"/>
          <w:position w:val="0"/>
          <w:rtl/>
        </w:rPr>
        <w:t xml:space="preserve">ينبغي رفع هذه التوصية إلى عناية المنظمة الدولية البحرية </w:t>
      </w:r>
      <w:r w:rsidR="009C55C3" w:rsidRPr="005424C1">
        <w:rPr>
          <w:sz w:val="18"/>
          <w:szCs w:val="18"/>
        </w:rPr>
        <w:t>(IMO)</w:t>
      </w:r>
      <w:r w:rsidR="009C55C3" w:rsidRPr="005424C1">
        <w:rPr>
          <w:rFonts w:hint="cs"/>
          <w:sz w:val="18"/>
          <w:szCs w:val="18"/>
          <w:rtl/>
        </w:rPr>
        <w:t xml:space="preserve"> </w:t>
      </w:r>
      <w:r w:rsidRPr="005424C1">
        <w:rPr>
          <w:rStyle w:val="FootnoteReference"/>
          <w:rFonts w:hint="cs"/>
          <w:position w:val="0"/>
          <w:rtl/>
        </w:rPr>
        <w:t xml:space="preserve">ومنظمة الطيران المدني الدولي </w:t>
      </w:r>
      <w:r w:rsidR="009C55C3" w:rsidRPr="005424C1">
        <w:rPr>
          <w:sz w:val="18"/>
          <w:szCs w:val="18"/>
        </w:rPr>
        <w:t>(ICAO)</w:t>
      </w:r>
      <w:r w:rsidR="009C55C3" w:rsidRPr="005424C1">
        <w:rPr>
          <w:rFonts w:hint="cs"/>
          <w:sz w:val="18"/>
          <w:szCs w:val="18"/>
          <w:rtl/>
        </w:rPr>
        <w:t xml:space="preserve"> </w:t>
      </w:r>
      <w:r w:rsidRPr="005424C1">
        <w:rPr>
          <w:rStyle w:val="FootnoteReference"/>
          <w:rFonts w:hint="cs"/>
          <w:position w:val="0"/>
          <w:rtl/>
        </w:rPr>
        <w:t>والمنظمة الدولية للاتصالات</w:t>
      </w:r>
      <w:r w:rsidR="00860B6A" w:rsidRPr="005424C1">
        <w:rPr>
          <w:rFonts w:hint="cs"/>
          <w:sz w:val="18"/>
          <w:szCs w:val="18"/>
          <w:rtl/>
        </w:rPr>
        <w:t xml:space="preserve"> المتنقلة</w:t>
      </w:r>
      <w:r w:rsidRPr="005424C1">
        <w:rPr>
          <w:rStyle w:val="FootnoteReference"/>
          <w:rFonts w:hint="cs"/>
          <w:position w:val="0"/>
          <w:rtl/>
        </w:rPr>
        <w:t xml:space="preserve"> الساتلية</w:t>
      </w:r>
      <w:r w:rsidR="003E5E17" w:rsidRPr="005424C1">
        <w:rPr>
          <w:rStyle w:val="FootnoteReference"/>
          <w:rFonts w:hint="eastAsia"/>
          <w:position w:val="0"/>
          <w:rtl/>
        </w:rPr>
        <w:t> </w:t>
      </w:r>
      <w:r w:rsidR="009C55C3" w:rsidRPr="005424C1">
        <w:rPr>
          <w:sz w:val="18"/>
          <w:szCs w:val="18"/>
        </w:rPr>
        <w:t>(IMSO)</w:t>
      </w:r>
      <w:r w:rsidRPr="005424C1">
        <w:rPr>
          <w:rStyle w:val="FootnoteReference"/>
          <w:rFonts w:hint="cs"/>
          <w:position w:val="0"/>
          <w:rtl/>
        </w:rPr>
        <w:t>.</w:t>
      </w:r>
    </w:p>
  </w:footnote>
  <w:footnote w:id="2">
    <w:p w14:paraId="03C2D642" w14:textId="4D4E4FC1" w:rsidR="002A4BB6" w:rsidRPr="005424C1" w:rsidRDefault="002A4BB6" w:rsidP="005424C1">
      <w:pPr>
        <w:pStyle w:val="FootnoteText"/>
        <w:tabs>
          <w:tab w:val="clear" w:pos="794"/>
          <w:tab w:val="left" w:pos="283"/>
        </w:tabs>
        <w:rPr>
          <w:sz w:val="18"/>
          <w:szCs w:val="18"/>
        </w:rPr>
      </w:pPr>
      <w:r w:rsidRPr="005424C1">
        <w:rPr>
          <w:rStyle w:val="FootnoteReference"/>
          <w:position w:val="0"/>
        </w:rPr>
        <w:footnoteRef/>
      </w:r>
      <w:r w:rsidRPr="005424C1">
        <w:rPr>
          <w:sz w:val="18"/>
          <w:szCs w:val="18"/>
          <w:rtl/>
        </w:rPr>
        <w:tab/>
      </w:r>
      <w:r w:rsidR="009C55C3" w:rsidRPr="005424C1">
        <w:rPr>
          <w:rFonts w:hint="cs"/>
          <w:sz w:val="18"/>
          <w:szCs w:val="18"/>
          <w:rtl/>
        </w:rPr>
        <w:t>على</w:t>
      </w:r>
      <w:r w:rsidR="00860B6A" w:rsidRPr="005424C1">
        <w:rPr>
          <w:rFonts w:hint="cs"/>
          <w:sz w:val="18"/>
          <w:szCs w:val="18"/>
          <w:rtl/>
        </w:rPr>
        <w:t xml:space="preserve"> الرغم من أن هذه التوصية تستند إلى الدراسات ال</w:t>
      </w:r>
      <w:r w:rsidR="009C55C3" w:rsidRPr="005424C1">
        <w:rPr>
          <w:rFonts w:hint="cs"/>
          <w:sz w:val="18"/>
          <w:szCs w:val="18"/>
          <w:rtl/>
        </w:rPr>
        <w:t xml:space="preserve">مطلوبة في القرار </w:t>
      </w:r>
      <w:r w:rsidR="009C55C3" w:rsidRPr="005424C1">
        <w:rPr>
          <w:b/>
          <w:bCs/>
          <w:sz w:val="18"/>
          <w:szCs w:val="18"/>
        </w:rPr>
        <w:t>223 (Rev.WRC-19)</w:t>
      </w:r>
      <w:r w:rsidR="009C55C3" w:rsidRPr="005424C1">
        <w:rPr>
          <w:rFonts w:hint="cs"/>
          <w:sz w:val="18"/>
          <w:szCs w:val="18"/>
          <w:rtl/>
        </w:rPr>
        <w:t xml:space="preserve"> فيما يتعلق بالتعايش بين الاتصالات المتنقلة الدولية في النطاق </w:t>
      </w:r>
      <w:r w:rsidR="009C55C3" w:rsidRPr="005424C1">
        <w:rPr>
          <w:sz w:val="18"/>
          <w:szCs w:val="18"/>
        </w:rPr>
        <w:t>MHz 1 518-1 492</w:t>
      </w:r>
      <w:r w:rsidR="009C55C3" w:rsidRPr="005424C1">
        <w:rPr>
          <w:rFonts w:hint="cs"/>
          <w:sz w:val="18"/>
          <w:szCs w:val="18"/>
          <w:rtl/>
        </w:rPr>
        <w:t xml:space="preserve"> والخدمة المتنقلة الساتلية في النطاق </w:t>
      </w:r>
      <w:r w:rsidR="009C55C3" w:rsidRPr="005424C1">
        <w:rPr>
          <w:sz w:val="18"/>
          <w:szCs w:val="18"/>
        </w:rPr>
        <w:t>MHz 1 525-1 518</w:t>
      </w:r>
      <w:r w:rsidR="009C55C3" w:rsidRPr="005424C1">
        <w:rPr>
          <w:rFonts w:hint="cs"/>
          <w:sz w:val="18"/>
          <w:szCs w:val="18"/>
          <w:rtl/>
        </w:rPr>
        <w:t xml:space="preserve">، فإن المتطلبات التقنية والتدابير التنظيمية </w:t>
      </w:r>
      <w:proofErr w:type="spellStart"/>
      <w:r w:rsidR="009C55C3" w:rsidRPr="005424C1">
        <w:rPr>
          <w:rFonts w:hint="cs"/>
          <w:sz w:val="18"/>
          <w:szCs w:val="18"/>
          <w:rtl/>
        </w:rPr>
        <w:t>الموصى</w:t>
      </w:r>
      <w:proofErr w:type="spellEnd"/>
      <w:r w:rsidR="009C55C3" w:rsidRPr="005424C1">
        <w:rPr>
          <w:rFonts w:hint="cs"/>
          <w:sz w:val="18"/>
          <w:szCs w:val="18"/>
          <w:rtl/>
        </w:rPr>
        <w:t xml:space="preserve"> بها فعالة أيضاً ويمكن تطبيقها على المحطات الأرضية المتنقلة العاملة في النطاق </w:t>
      </w:r>
      <w:r w:rsidR="009C55C3" w:rsidRPr="005424C1">
        <w:rPr>
          <w:sz w:val="18"/>
          <w:szCs w:val="18"/>
        </w:rPr>
        <w:t>MHz 1 559-1 525</w:t>
      </w:r>
      <w:r w:rsidR="009C55C3" w:rsidRPr="005424C1"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4C1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74326DD6" w14:textId="77777777" w:rsidTr="004C39C6">
      <w:tc>
        <w:tcPr>
          <w:tcW w:w="4814" w:type="dxa"/>
        </w:tcPr>
        <w:p w14:paraId="274AE096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31B9AA9" wp14:editId="65092214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7E96A485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A6D4D8E" wp14:editId="3E4516D4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AC9DC2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B6"/>
    <w:rsid w:val="0006468A"/>
    <w:rsid w:val="00090574"/>
    <w:rsid w:val="000A78C2"/>
    <w:rsid w:val="000C1C0E"/>
    <w:rsid w:val="000C548A"/>
    <w:rsid w:val="000F3ADE"/>
    <w:rsid w:val="000F7BBE"/>
    <w:rsid w:val="001475F3"/>
    <w:rsid w:val="00150DB9"/>
    <w:rsid w:val="001C0169"/>
    <w:rsid w:val="001D1D50"/>
    <w:rsid w:val="001D1E11"/>
    <w:rsid w:val="001D6745"/>
    <w:rsid w:val="001E446E"/>
    <w:rsid w:val="00207100"/>
    <w:rsid w:val="002154EE"/>
    <w:rsid w:val="002276D2"/>
    <w:rsid w:val="0023283D"/>
    <w:rsid w:val="0026373E"/>
    <w:rsid w:val="00271C43"/>
    <w:rsid w:val="00290728"/>
    <w:rsid w:val="00290CCA"/>
    <w:rsid w:val="002978F4"/>
    <w:rsid w:val="002A206C"/>
    <w:rsid w:val="002A4BB6"/>
    <w:rsid w:val="002B028D"/>
    <w:rsid w:val="002E6541"/>
    <w:rsid w:val="00334924"/>
    <w:rsid w:val="003409BC"/>
    <w:rsid w:val="00357185"/>
    <w:rsid w:val="003704CA"/>
    <w:rsid w:val="00383829"/>
    <w:rsid w:val="003B5733"/>
    <w:rsid w:val="003D2A29"/>
    <w:rsid w:val="003E5E17"/>
    <w:rsid w:val="003F4B29"/>
    <w:rsid w:val="004111FB"/>
    <w:rsid w:val="0042686F"/>
    <w:rsid w:val="004317D8"/>
    <w:rsid w:val="00434183"/>
    <w:rsid w:val="00443869"/>
    <w:rsid w:val="00447F32"/>
    <w:rsid w:val="004563AF"/>
    <w:rsid w:val="004678CE"/>
    <w:rsid w:val="004C39C6"/>
    <w:rsid w:val="004E11DC"/>
    <w:rsid w:val="00525DDD"/>
    <w:rsid w:val="0053768D"/>
    <w:rsid w:val="005409AC"/>
    <w:rsid w:val="005424C1"/>
    <w:rsid w:val="0055516A"/>
    <w:rsid w:val="0058491B"/>
    <w:rsid w:val="00592EA5"/>
    <w:rsid w:val="005A3170"/>
    <w:rsid w:val="00623912"/>
    <w:rsid w:val="00677396"/>
    <w:rsid w:val="0069200F"/>
    <w:rsid w:val="006A65CB"/>
    <w:rsid w:val="006C0B79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2CAE"/>
    <w:rsid w:val="00810B7B"/>
    <w:rsid w:val="00817092"/>
    <w:rsid w:val="0082358A"/>
    <w:rsid w:val="008235CD"/>
    <w:rsid w:val="008247DE"/>
    <w:rsid w:val="00840B10"/>
    <w:rsid w:val="008513CB"/>
    <w:rsid w:val="00860B6A"/>
    <w:rsid w:val="008A4A32"/>
    <w:rsid w:val="008A7F84"/>
    <w:rsid w:val="008D6CEC"/>
    <w:rsid w:val="0091702E"/>
    <w:rsid w:val="00920A9A"/>
    <w:rsid w:val="00923B0C"/>
    <w:rsid w:val="0094021C"/>
    <w:rsid w:val="00952F86"/>
    <w:rsid w:val="00982B28"/>
    <w:rsid w:val="009C55C3"/>
    <w:rsid w:val="009D313F"/>
    <w:rsid w:val="00A47A5A"/>
    <w:rsid w:val="00A6683B"/>
    <w:rsid w:val="00A97F94"/>
    <w:rsid w:val="00AA7EA2"/>
    <w:rsid w:val="00AB4387"/>
    <w:rsid w:val="00B03099"/>
    <w:rsid w:val="00B05BC8"/>
    <w:rsid w:val="00B1143A"/>
    <w:rsid w:val="00B64B4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37F70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EAB4"/>
  <w15:chartTrackingRefBased/>
  <w15:docId w15:val="{D591CB73-B3AE-4967-9250-49E83CDE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paragraph" w:customStyle="1" w:styleId="Tabletext">
    <w:name w:val="Table_text"/>
    <w:basedOn w:val="Normal"/>
    <w:link w:val="TabletextChar"/>
    <w:uiPriority w:val="99"/>
    <w:rsid w:val="002A4BB6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A4BB6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0">
    <w:name w:val="Annex_No Title"/>
    <w:basedOn w:val="Annextitle"/>
    <w:qFormat/>
    <w:rsid w:val="002A4BB6"/>
  </w:style>
  <w:style w:type="character" w:styleId="FollowedHyperlink">
    <w:name w:val="FollowedHyperlink"/>
    <w:basedOn w:val="DefaultParagraphFont"/>
    <w:uiPriority w:val="99"/>
    <w:semiHidden/>
    <w:unhideWhenUsed/>
    <w:rsid w:val="00147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ties/itu-r/md/19/sg05/c/R19-SG05-C-0153!P01!MSW-E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ties/itu-r/md/19/sg05/c/R19-SG05-C-0153!P01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Panoussopoulos, Sonia</cp:lastModifiedBy>
  <cp:revision>7</cp:revision>
  <dcterms:created xsi:type="dcterms:W3CDTF">2023-10-04T10:23:00Z</dcterms:created>
  <dcterms:modified xsi:type="dcterms:W3CDTF">2023-10-06T12:17:00Z</dcterms:modified>
</cp:coreProperties>
</file>