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670A6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99AD73" w14:textId="77777777" w:rsidR="00E53DCE" w:rsidRPr="005670A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670A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2AF4B5BC" w14:textId="77777777" w:rsidR="00E53DCE" w:rsidRPr="005670A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5670A6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374A47F5" w:rsidR="00E53DCE" w:rsidRPr="005670A6" w:rsidRDefault="00E53DCE" w:rsidP="006160CB">
            <w:pPr>
              <w:spacing w:before="0"/>
              <w:jc w:val="left"/>
              <w:rPr>
                <w:sz w:val="28"/>
                <w:szCs w:val="28"/>
              </w:rPr>
            </w:pPr>
            <w:r w:rsidRPr="005670A6">
              <w:rPr>
                <w:szCs w:val="24"/>
              </w:rPr>
              <w:t>Circulaire administrative</w:t>
            </w:r>
          </w:p>
          <w:p w14:paraId="12830B32" w14:textId="268E2C68" w:rsidR="00E53DCE" w:rsidRPr="005670A6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</w:rPr>
            </w:pPr>
            <w:r w:rsidRPr="005670A6">
              <w:rPr>
                <w:b/>
                <w:bCs/>
                <w:szCs w:val="24"/>
              </w:rPr>
              <w:t>CACE/</w:t>
            </w:r>
            <w:r w:rsidR="006C2E1C" w:rsidRPr="005670A6">
              <w:rPr>
                <w:b/>
                <w:bCs/>
                <w:szCs w:val="24"/>
              </w:rPr>
              <w:t>1079</w:t>
            </w:r>
          </w:p>
        </w:tc>
        <w:tc>
          <w:tcPr>
            <w:tcW w:w="2835" w:type="dxa"/>
            <w:shd w:val="clear" w:color="auto" w:fill="auto"/>
          </w:tcPr>
          <w:p w14:paraId="48513822" w14:textId="48977F42" w:rsidR="00E53DCE" w:rsidRPr="005670A6" w:rsidRDefault="00AA781A" w:rsidP="006160CB">
            <w:pPr>
              <w:spacing w:before="0"/>
              <w:jc w:val="right"/>
              <w:rPr>
                <w:sz w:val="28"/>
                <w:szCs w:val="28"/>
              </w:rPr>
            </w:pPr>
            <w:r w:rsidRPr="005670A6">
              <w:rPr>
                <w:szCs w:val="24"/>
              </w:rPr>
              <w:t xml:space="preserve">Le </w:t>
            </w:r>
            <w:r w:rsidR="006C2E1C" w:rsidRPr="005670A6">
              <w:rPr>
                <w:rFonts w:cs="Arial"/>
                <w:szCs w:val="24"/>
              </w:rPr>
              <w:t>26 septembre 2023</w:t>
            </w:r>
          </w:p>
        </w:tc>
      </w:tr>
      <w:tr w:rsidR="00E53DCE" w:rsidRPr="005670A6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5670A6" w:rsidRDefault="00E53DCE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E53DCE" w:rsidRPr="005670A6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5670A6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670A6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5C2A8A" w14:textId="2D5E48D2" w:rsidR="00E53DCE" w:rsidRPr="005670A6" w:rsidRDefault="00EE1A57" w:rsidP="006160C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670A6">
              <w:rPr>
                <w:b/>
                <w:bCs/>
                <w:szCs w:val="24"/>
              </w:rPr>
              <w:t xml:space="preserve">Aux Administrations des </w:t>
            </w:r>
            <w:r w:rsidR="00455975" w:rsidRPr="005670A6">
              <w:rPr>
                <w:b/>
                <w:bCs/>
                <w:szCs w:val="24"/>
              </w:rPr>
              <w:t>É</w:t>
            </w:r>
            <w:r w:rsidRPr="005670A6">
              <w:rPr>
                <w:b/>
                <w:bCs/>
                <w:szCs w:val="24"/>
              </w:rPr>
              <w:t>tats Membres de l'UIT</w:t>
            </w:r>
            <w:r w:rsidR="006C2E1C" w:rsidRPr="005670A6">
              <w:rPr>
                <w:b/>
                <w:bCs/>
                <w:szCs w:val="24"/>
              </w:rPr>
              <w:t>, aux Membres du Secteur des radiocommunications, aux Associés de l'UIT-R participant aux travaux de la Commission d'études 4 des radiocommunications et aux établissements universitaires participant aux travaux de l'UIT</w:t>
            </w:r>
          </w:p>
        </w:tc>
      </w:tr>
      <w:tr w:rsidR="00E53DCE" w:rsidRPr="005670A6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5670A6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670A6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5670A6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670A6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5670A6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5670A6">
              <w:t>Objet</w:t>
            </w:r>
            <w:r w:rsidR="00E53DCE" w:rsidRPr="005670A6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E2783B7" w14:textId="6DDFC13C" w:rsidR="006C2E1C" w:rsidRPr="005670A6" w:rsidRDefault="006C2E1C" w:rsidP="006C2E1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</w:rPr>
            </w:pPr>
            <w:r w:rsidRPr="005670A6">
              <w:rPr>
                <w:b/>
                <w:bCs/>
                <w:szCs w:val="24"/>
              </w:rPr>
              <w:t>Commission d'études 4 des radiocommunications (Services par satellite)</w:t>
            </w:r>
          </w:p>
          <w:p w14:paraId="4CF4F8D1" w14:textId="1333C500" w:rsidR="006C2E1C" w:rsidRPr="005670A6" w:rsidRDefault="006C2E1C" w:rsidP="006C2E1C">
            <w:pPr>
              <w:pStyle w:val="enumlev1"/>
              <w:jc w:val="left"/>
              <w:rPr>
                <w:b/>
                <w:bCs/>
              </w:rPr>
            </w:pPr>
            <w:r w:rsidRPr="005670A6">
              <w:rPr>
                <w:b/>
                <w:bCs/>
              </w:rPr>
              <w:t>–</w:t>
            </w:r>
            <w:r w:rsidRPr="005670A6">
              <w:rPr>
                <w:b/>
                <w:bCs/>
              </w:rPr>
              <w:tab/>
              <w:t>Adoption de deux nouvelles Recommandations UIT-R et d'une Recommandation UIT-R révisée et approbation simultanée par correspondance de ces textes, conformément au § A2.6.2.4 de la Résolution UIT-R 1-8 (Procédure d'adoption et d'approbation simultanées</w:t>
            </w:r>
            <w:r w:rsidR="006049A7">
              <w:rPr>
                <w:b/>
                <w:bCs/>
              </w:rPr>
              <w:t> </w:t>
            </w:r>
            <w:r w:rsidRPr="005670A6">
              <w:rPr>
                <w:b/>
                <w:bCs/>
              </w:rPr>
              <w:t>par correspondance)</w:t>
            </w:r>
          </w:p>
          <w:p w14:paraId="43C078E5" w14:textId="6CFA5525" w:rsidR="00E53DCE" w:rsidRPr="005670A6" w:rsidRDefault="006C2E1C" w:rsidP="006C2E1C">
            <w:pPr>
              <w:pStyle w:val="enumlev1"/>
              <w:jc w:val="left"/>
            </w:pPr>
            <w:r w:rsidRPr="005670A6">
              <w:rPr>
                <w:b/>
                <w:bCs/>
              </w:rPr>
              <w:t>–</w:t>
            </w:r>
            <w:r w:rsidRPr="005670A6">
              <w:rPr>
                <w:b/>
                <w:bCs/>
              </w:rPr>
              <w:tab/>
              <w:t>Suppression d'une Recommandation UIT-R</w:t>
            </w:r>
          </w:p>
        </w:tc>
      </w:tr>
      <w:tr w:rsidR="00E53DCE" w:rsidRPr="005670A6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5670A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5670A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</w:rPr>
            </w:pPr>
          </w:p>
        </w:tc>
      </w:tr>
      <w:tr w:rsidR="00E53DCE" w:rsidRPr="005670A6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5670A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5670A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</w:rPr>
            </w:pPr>
          </w:p>
        </w:tc>
      </w:tr>
      <w:tr w:rsidR="00E53DCE" w:rsidRPr="005670A6" w14:paraId="020DBE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497B58" w14:textId="77777777" w:rsidR="00E53DCE" w:rsidRPr="005670A6" w:rsidRDefault="00E53DCE" w:rsidP="006160CB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0C5E5DA4" w14:textId="660A6554" w:rsidR="006C2E1C" w:rsidRPr="005670A6" w:rsidRDefault="006C2E1C" w:rsidP="006049A7">
      <w:pPr>
        <w:spacing w:before="360"/>
      </w:pPr>
      <w:r w:rsidRPr="005670A6">
        <w:t xml:space="preserve">Dans la Circulaire administrative </w:t>
      </w:r>
      <w:hyperlink r:id="rId8" w:history="1">
        <w:r w:rsidRPr="005670A6">
          <w:rPr>
            <w:rStyle w:val="Hyperlink"/>
          </w:rPr>
          <w:t>CACE/1069</w:t>
        </w:r>
      </w:hyperlink>
      <w:r w:rsidRPr="005670A6">
        <w:t xml:space="preserve"> en date du 20 juillet 2023, deux projets de nouvelle Recommandation UIT-R et un projet de Recommandation UIT-R révisée ont été soumis pour adoption et approbation simultanées par correspondance (PAAS), conformément à la procédure prévue dans la Résolution UIT-R 1-8 (§ A2.6.2.4). En outre, la commission d'études a proposé la suppression d'une Recommandation UIT-R.</w:t>
      </w:r>
    </w:p>
    <w:p w14:paraId="1B3B17D9" w14:textId="77777777" w:rsidR="006C2E1C" w:rsidRPr="005670A6" w:rsidRDefault="006C2E1C" w:rsidP="00123109">
      <w:r w:rsidRPr="005670A6">
        <w:t>Les conditions régissant cette procédure ont été satisfaites le 20 septembre 2023.</w:t>
      </w:r>
    </w:p>
    <w:p w14:paraId="0522EF3C" w14:textId="073AE955" w:rsidR="00EE1A57" w:rsidRPr="005670A6" w:rsidRDefault="006C2E1C" w:rsidP="00123109">
      <w:r w:rsidRPr="005670A6">
        <w:t>Les Recommandations approuvées seront publiées par l'UIT et vous trouverez dans l'Annexe 1 de la présente Circulaire leurs titres ainsi que les numéros qui leur ont été attribués. L'Annexe 2 indique la Recommandation supprimée.</w:t>
      </w:r>
    </w:p>
    <w:p w14:paraId="70A7C57B" w14:textId="332820AA" w:rsidR="00C3556B" w:rsidRPr="005670A6" w:rsidRDefault="004F47EA" w:rsidP="00123109">
      <w:pPr>
        <w:spacing w:before="1320"/>
        <w:jc w:val="left"/>
        <w:rPr>
          <w:szCs w:val="24"/>
        </w:rPr>
      </w:pPr>
      <w:r w:rsidRPr="005670A6">
        <w:t>Mario Maniewicz</w:t>
      </w:r>
      <w:r w:rsidR="00E53DCE" w:rsidRPr="005670A6">
        <w:rPr>
          <w:szCs w:val="24"/>
        </w:rPr>
        <w:br/>
        <w:t xml:space="preserve">Directeur </w:t>
      </w:r>
    </w:p>
    <w:p w14:paraId="3D6A10F6" w14:textId="03F1605E" w:rsidR="006C2E1C" w:rsidRPr="005670A6" w:rsidRDefault="006C2E1C" w:rsidP="006049A7">
      <w:pPr>
        <w:spacing w:before="2040" w:line="240" w:lineRule="auto"/>
        <w:jc w:val="left"/>
        <w:rPr>
          <w:szCs w:val="24"/>
        </w:rPr>
      </w:pPr>
      <w:r w:rsidRPr="005670A6">
        <w:rPr>
          <w:b/>
          <w:bCs/>
          <w:szCs w:val="24"/>
        </w:rPr>
        <w:t>Annexes</w:t>
      </w:r>
      <w:r w:rsidRPr="005670A6">
        <w:rPr>
          <w:szCs w:val="24"/>
        </w:rPr>
        <w:t>: 2</w:t>
      </w:r>
    </w:p>
    <w:p w14:paraId="5A53AE36" w14:textId="574F2150" w:rsidR="006C2E1C" w:rsidRPr="005670A6" w:rsidRDefault="006C2E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 w:rsidRPr="005670A6">
        <w:rPr>
          <w:szCs w:val="24"/>
        </w:rPr>
        <w:br w:type="page"/>
      </w:r>
    </w:p>
    <w:p w14:paraId="04F7A1A1" w14:textId="5EE920B5" w:rsidR="006C2E1C" w:rsidRPr="005670A6" w:rsidRDefault="006C2E1C" w:rsidP="006049A7">
      <w:pPr>
        <w:pStyle w:val="AnnexNoTitle"/>
        <w:spacing w:after="480"/>
        <w:rPr>
          <w:sz w:val="28"/>
          <w:szCs w:val="28"/>
        </w:rPr>
      </w:pPr>
      <w:r w:rsidRPr="005670A6">
        <w:rPr>
          <w:sz w:val="28"/>
          <w:szCs w:val="28"/>
        </w:rPr>
        <w:lastRenderedPageBreak/>
        <w:t>Annexe 1</w:t>
      </w:r>
      <w:r w:rsidR="00C62031" w:rsidRPr="005670A6">
        <w:rPr>
          <w:sz w:val="28"/>
          <w:szCs w:val="28"/>
        </w:rPr>
        <w:br/>
      </w:r>
      <w:r w:rsidRPr="005670A6">
        <w:rPr>
          <w:sz w:val="28"/>
          <w:szCs w:val="28"/>
        </w:rPr>
        <w:br/>
        <w:t>Titres des Recommandations UIT-R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9"/>
        <w:gridCol w:w="1842"/>
      </w:tblGrid>
      <w:tr w:rsidR="006C2E1C" w:rsidRPr="005670A6" w14:paraId="5F80CA15" w14:textId="77777777" w:rsidTr="006049A7">
        <w:trPr>
          <w:jc w:val="center"/>
        </w:trPr>
        <w:tc>
          <w:tcPr>
            <w:tcW w:w="2122" w:type="dxa"/>
            <w:vAlign w:val="center"/>
          </w:tcPr>
          <w:p w14:paraId="2B005D67" w14:textId="3DE80C74" w:rsidR="006C2E1C" w:rsidRPr="005670A6" w:rsidRDefault="006C2E1C" w:rsidP="006C2E1C">
            <w:pPr>
              <w:pStyle w:val="Tablehead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Recommandation UIT</w:t>
            </w:r>
            <w:r w:rsidRPr="005670A6">
              <w:rPr>
                <w:sz w:val="22"/>
                <w:szCs w:val="24"/>
              </w:rPr>
              <w:noBreakHyphen/>
              <w:t>R</w:t>
            </w:r>
          </w:p>
        </w:tc>
        <w:tc>
          <w:tcPr>
            <w:tcW w:w="5529" w:type="dxa"/>
            <w:vAlign w:val="center"/>
          </w:tcPr>
          <w:p w14:paraId="480C0FEF" w14:textId="3E310DB9" w:rsidR="006C2E1C" w:rsidRPr="005670A6" w:rsidRDefault="006C2E1C" w:rsidP="006C2E1C">
            <w:pPr>
              <w:pStyle w:val="Tablehead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Titre</w:t>
            </w:r>
          </w:p>
        </w:tc>
        <w:tc>
          <w:tcPr>
            <w:tcW w:w="1842" w:type="dxa"/>
            <w:vAlign w:val="center"/>
          </w:tcPr>
          <w:p w14:paraId="11CC23A9" w14:textId="77777777" w:rsidR="006C2E1C" w:rsidRPr="005670A6" w:rsidRDefault="006C2E1C" w:rsidP="006C2E1C">
            <w:pPr>
              <w:pStyle w:val="Tablehead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N° de document</w:t>
            </w:r>
          </w:p>
        </w:tc>
      </w:tr>
      <w:tr w:rsidR="006C2E1C" w:rsidRPr="005670A6" w14:paraId="309D2BE7" w14:textId="77777777" w:rsidTr="006049A7">
        <w:trPr>
          <w:jc w:val="center"/>
        </w:trPr>
        <w:tc>
          <w:tcPr>
            <w:tcW w:w="2122" w:type="dxa"/>
            <w:vAlign w:val="center"/>
          </w:tcPr>
          <w:p w14:paraId="6AD5709A" w14:textId="77777777" w:rsidR="006C2E1C" w:rsidRPr="005670A6" w:rsidRDefault="006C2E1C" w:rsidP="006C2E1C">
            <w:pPr>
              <w:pStyle w:val="Tabletext"/>
              <w:jc w:val="center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S.2157-0</w:t>
            </w:r>
          </w:p>
        </w:tc>
        <w:tc>
          <w:tcPr>
            <w:tcW w:w="5529" w:type="dxa"/>
            <w:vAlign w:val="center"/>
          </w:tcPr>
          <w:p w14:paraId="194DB025" w14:textId="2C0E182D" w:rsidR="006C2E1C" w:rsidRPr="005670A6" w:rsidRDefault="006C2E1C" w:rsidP="006C2E1C">
            <w:pPr>
              <w:pStyle w:val="Tabletext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Procédures à utiliser pour l'évaluation des brouillages causés par un système non OSG quelconque à un ensemble global de liaisons de référence OSG génériques dans les bandes de fréquences 37,5</w:t>
            </w:r>
            <w:r w:rsidRPr="005670A6">
              <w:rPr>
                <w:sz w:val="22"/>
                <w:szCs w:val="24"/>
              </w:rPr>
              <w:noBreakHyphen/>
              <w:t>39,5 GHz (espace vers Terre), 39,5-42,5 GHz (espace vers Terre), 47,2-50,2 GHz (Terre vers espace) et 50,4</w:t>
            </w:r>
            <w:r w:rsidRPr="005670A6">
              <w:rPr>
                <w:sz w:val="22"/>
                <w:szCs w:val="24"/>
              </w:rPr>
              <w:noBreakHyphen/>
              <w:t>51,4 GHz (Terre vers espace)</w:t>
            </w:r>
          </w:p>
        </w:tc>
        <w:tc>
          <w:tcPr>
            <w:tcW w:w="1842" w:type="dxa"/>
            <w:vAlign w:val="center"/>
          </w:tcPr>
          <w:p w14:paraId="546B3A01" w14:textId="77777777" w:rsidR="006C2E1C" w:rsidRPr="005670A6" w:rsidRDefault="006C2E1C" w:rsidP="006C2E1C">
            <w:pPr>
              <w:pStyle w:val="Tabletext"/>
              <w:jc w:val="center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4/91</w:t>
            </w:r>
          </w:p>
        </w:tc>
      </w:tr>
      <w:tr w:rsidR="006C2E1C" w:rsidRPr="005670A6" w14:paraId="24E3A6B8" w14:textId="77777777" w:rsidTr="006049A7">
        <w:trPr>
          <w:jc w:val="center"/>
        </w:trPr>
        <w:tc>
          <w:tcPr>
            <w:tcW w:w="2122" w:type="dxa"/>
            <w:vAlign w:val="center"/>
          </w:tcPr>
          <w:p w14:paraId="18AA1A35" w14:textId="77777777" w:rsidR="006C2E1C" w:rsidRPr="005670A6" w:rsidRDefault="006C2E1C" w:rsidP="006C2E1C">
            <w:pPr>
              <w:pStyle w:val="Tabletext"/>
              <w:jc w:val="center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S.2158-0</w:t>
            </w:r>
          </w:p>
        </w:tc>
        <w:tc>
          <w:tcPr>
            <w:tcW w:w="5529" w:type="dxa"/>
            <w:vAlign w:val="center"/>
          </w:tcPr>
          <w:p w14:paraId="50BC1C33" w14:textId="77777777" w:rsidR="006C2E1C" w:rsidRPr="005670A6" w:rsidRDefault="006C2E1C" w:rsidP="006C2E1C">
            <w:pPr>
              <w:pStyle w:val="Tabletext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Méthode permettant d'examiner la conformité d'une station terrienne aéronautique en mouvement (A-ESIM) communiquant avec des stations spatiales géostationnaires du service fixe par satellite dans la bande de fréquences 27,5-29,5 GHz à un ensemble de limites de puissance surfacique préétablies à la surface de la Terre</w:t>
            </w:r>
          </w:p>
        </w:tc>
        <w:tc>
          <w:tcPr>
            <w:tcW w:w="1842" w:type="dxa"/>
            <w:vAlign w:val="center"/>
          </w:tcPr>
          <w:p w14:paraId="5B92AC2A" w14:textId="77777777" w:rsidR="006C2E1C" w:rsidRPr="005670A6" w:rsidDel="005322BB" w:rsidRDefault="006C2E1C" w:rsidP="006C2E1C">
            <w:pPr>
              <w:pStyle w:val="Tabletext"/>
              <w:jc w:val="center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4/93(Rév.1)</w:t>
            </w:r>
          </w:p>
        </w:tc>
      </w:tr>
      <w:tr w:rsidR="006C2E1C" w:rsidRPr="005670A6" w14:paraId="4CBAFBC8" w14:textId="77777777" w:rsidTr="006049A7">
        <w:trPr>
          <w:jc w:val="center"/>
        </w:trPr>
        <w:tc>
          <w:tcPr>
            <w:tcW w:w="2122" w:type="dxa"/>
            <w:vAlign w:val="center"/>
          </w:tcPr>
          <w:p w14:paraId="4C7FA40E" w14:textId="77777777" w:rsidR="006C2E1C" w:rsidRPr="005670A6" w:rsidRDefault="006C2E1C" w:rsidP="006C2E1C">
            <w:pPr>
              <w:pStyle w:val="Tabletext"/>
              <w:jc w:val="center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S.1503-4</w:t>
            </w:r>
          </w:p>
        </w:tc>
        <w:tc>
          <w:tcPr>
            <w:tcW w:w="5529" w:type="dxa"/>
            <w:vAlign w:val="center"/>
          </w:tcPr>
          <w:p w14:paraId="57C5844D" w14:textId="77777777" w:rsidR="006C2E1C" w:rsidRPr="005670A6" w:rsidRDefault="006C2E1C" w:rsidP="006C2E1C">
            <w:pPr>
              <w:pStyle w:val="Tabletext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 xml:space="preserve">Description fonctionnelle à utiliser pour le développement d'outils logiciels destinés à déterminer la conformité des réseaux ou des systèmes à satellites non géostationnaires du service fixe par satellite aux limites indiquées dans l'Article </w:t>
            </w:r>
            <w:r w:rsidRPr="005670A6">
              <w:rPr>
                <w:b/>
                <w:bCs/>
                <w:sz w:val="22"/>
                <w:szCs w:val="24"/>
              </w:rPr>
              <w:t>22</w:t>
            </w:r>
            <w:r w:rsidRPr="005670A6">
              <w:rPr>
                <w:sz w:val="22"/>
                <w:szCs w:val="24"/>
              </w:rPr>
              <w:t xml:space="preserve"> du Règlement des radiocommunications</w:t>
            </w:r>
          </w:p>
        </w:tc>
        <w:tc>
          <w:tcPr>
            <w:tcW w:w="1842" w:type="dxa"/>
            <w:vAlign w:val="center"/>
          </w:tcPr>
          <w:p w14:paraId="4F71684C" w14:textId="77777777" w:rsidR="006C2E1C" w:rsidRPr="005670A6" w:rsidRDefault="006C2E1C" w:rsidP="006C2E1C">
            <w:pPr>
              <w:pStyle w:val="Tabletext"/>
              <w:jc w:val="center"/>
              <w:rPr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4/92(Rév.1)</w:t>
            </w:r>
          </w:p>
        </w:tc>
      </w:tr>
    </w:tbl>
    <w:p w14:paraId="2A6AC4B1" w14:textId="29D1F007" w:rsidR="006C2E1C" w:rsidRPr="005670A6" w:rsidRDefault="006C2E1C" w:rsidP="006049A7">
      <w:pPr>
        <w:pStyle w:val="AnnexNoTitle"/>
        <w:spacing w:before="960" w:after="480"/>
        <w:rPr>
          <w:sz w:val="28"/>
          <w:szCs w:val="28"/>
        </w:rPr>
      </w:pPr>
      <w:r w:rsidRPr="005670A6">
        <w:rPr>
          <w:sz w:val="28"/>
          <w:szCs w:val="28"/>
        </w:rPr>
        <w:t>Annexe 2</w:t>
      </w:r>
      <w:r w:rsidR="00C62031" w:rsidRPr="005670A6">
        <w:rPr>
          <w:sz w:val="28"/>
          <w:szCs w:val="28"/>
        </w:rPr>
        <w:br/>
      </w:r>
      <w:r w:rsidRPr="005670A6">
        <w:rPr>
          <w:sz w:val="28"/>
          <w:szCs w:val="28"/>
        </w:rPr>
        <w:br/>
        <w:t>Recommandation UIT-R supprimée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329"/>
      </w:tblGrid>
      <w:tr w:rsidR="006C2E1C" w:rsidRPr="005670A6" w14:paraId="11CE2C8E" w14:textId="77777777" w:rsidTr="006049A7">
        <w:trPr>
          <w:jc w:val="center"/>
        </w:trPr>
        <w:tc>
          <w:tcPr>
            <w:tcW w:w="2122" w:type="dxa"/>
            <w:vAlign w:val="center"/>
          </w:tcPr>
          <w:p w14:paraId="5D087FFC" w14:textId="77777777" w:rsidR="006C2E1C" w:rsidRPr="005670A6" w:rsidRDefault="006C2E1C" w:rsidP="00DD0DB2">
            <w:pPr>
              <w:pStyle w:val="Tablehead"/>
              <w:rPr>
                <w:rFonts w:asciiTheme="minorHAnsi" w:hAnsiTheme="minorHAnsi" w:cstheme="minorHAnsi"/>
                <w:sz w:val="22"/>
                <w:szCs w:val="24"/>
              </w:rPr>
            </w:pPr>
            <w:r w:rsidRPr="005670A6">
              <w:rPr>
                <w:bCs/>
                <w:sz w:val="22"/>
                <w:szCs w:val="24"/>
              </w:rPr>
              <w:t>Recommandation UIT-R</w:t>
            </w:r>
          </w:p>
        </w:tc>
        <w:tc>
          <w:tcPr>
            <w:tcW w:w="7329" w:type="dxa"/>
            <w:vAlign w:val="center"/>
          </w:tcPr>
          <w:p w14:paraId="2A22BD8A" w14:textId="77777777" w:rsidR="006C2E1C" w:rsidRPr="005670A6" w:rsidRDefault="006C2E1C" w:rsidP="00DD0DB2">
            <w:pPr>
              <w:pStyle w:val="Tablehead"/>
              <w:rPr>
                <w:rFonts w:asciiTheme="minorHAnsi" w:hAnsiTheme="minorHAnsi" w:cstheme="minorHAnsi"/>
                <w:sz w:val="22"/>
                <w:szCs w:val="24"/>
              </w:rPr>
            </w:pPr>
            <w:r w:rsidRPr="005670A6">
              <w:rPr>
                <w:bCs/>
                <w:sz w:val="22"/>
                <w:szCs w:val="24"/>
              </w:rPr>
              <w:t>Titre</w:t>
            </w:r>
          </w:p>
        </w:tc>
      </w:tr>
      <w:tr w:rsidR="006C2E1C" w:rsidRPr="005670A6" w14:paraId="0C1B3C81" w14:textId="77777777" w:rsidTr="006049A7">
        <w:trPr>
          <w:jc w:val="center"/>
        </w:trPr>
        <w:tc>
          <w:tcPr>
            <w:tcW w:w="2122" w:type="dxa"/>
          </w:tcPr>
          <w:p w14:paraId="2D8FF9C3" w14:textId="77777777" w:rsidR="006C2E1C" w:rsidRPr="005670A6" w:rsidRDefault="006C2E1C" w:rsidP="00DD0DB2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S.354</w:t>
            </w:r>
          </w:p>
        </w:tc>
        <w:tc>
          <w:tcPr>
            <w:tcW w:w="7329" w:type="dxa"/>
          </w:tcPr>
          <w:p w14:paraId="076D6DD5" w14:textId="6B659593" w:rsidR="006C2E1C" w:rsidRPr="005670A6" w:rsidRDefault="006C2E1C" w:rsidP="00DD0DB2">
            <w:pPr>
              <w:pStyle w:val="Tabletext"/>
              <w:rPr>
                <w:rFonts w:asciiTheme="minorHAnsi" w:hAnsiTheme="minorHAnsi" w:cstheme="minorHAnsi"/>
                <w:sz w:val="22"/>
                <w:szCs w:val="24"/>
              </w:rPr>
            </w:pPr>
            <w:r w:rsidRPr="005670A6">
              <w:rPr>
                <w:sz w:val="22"/>
                <w:szCs w:val="24"/>
              </w:rPr>
              <w:t>Largeur de la bande vidéofréquence et niveau de bruit admissible dans le circuit fictif de référence pour le service fixe par satellite</w:t>
            </w:r>
          </w:p>
        </w:tc>
      </w:tr>
    </w:tbl>
    <w:p w14:paraId="75E9727B" w14:textId="77777777" w:rsidR="006C2E1C" w:rsidRPr="005670A6" w:rsidRDefault="006C2E1C" w:rsidP="006049A7">
      <w:pPr>
        <w:spacing w:before="480" w:after="120"/>
        <w:jc w:val="center"/>
      </w:pPr>
      <w:bookmarkStart w:id="0" w:name="ddistribution"/>
      <w:bookmarkEnd w:id="0"/>
      <w:r w:rsidRPr="005670A6">
        <w:t>______________</w:t>
      </w:r>
    </w:p>
    <w:sectPr w:rsidR="006C2E1C" w:rsidRPr="005670A6" w:rsidSect="003F2F3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0596" w14:textId="77777777" w:rsidR="002E27C4" w:rsidRPr="005670A6" w:rsidRDefault="002E27C4">
      <w:r w:rsidRPr="005670A6">
        <w:separator/>
      </w:r>
    </w:p>
  </w:endnote>
  <w:endnote w:type="continuationSeparator" w:id="0">
    <w:p w14:paraId="31E963E9" w14:textId="77777777" w:rsidR="002E27C4" w:rsidRPr="005670A6" w:rsidRDefault="002E27C4">
      <w:r w:rsidRPr="005670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42D" w14:textId="0814CF87" w:rsidR="00D0704E" w:rsidRPr="005670A6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</w:rPr>
    </w:pPr>
    <w:r w:rsidRPr="005670A6">
      <w:rPr>
        <w:rFonts w:asciiTheme="minorHAnsi" w:hAnsiTheme="minorHAnsi"/>
        <w:color w:val="4F81BD"/>
        <w:sz w:val="19"/>
        <w:szCs w:val="19"/>
      </w:rPr>
      <w:t>Union internationale des télécommunications • Place des Nations, CH</w:t>
    </w:r>
    <w:r w:rsidRPr="005670A6">
      <w:rPr>
        <w:rFonts w:asciiTheme="minorHAnsi" w:hAnsiTheme="minorHAnsi"/>
        <w:color w:val="4F81BD"/>
        <w:sz w:val="19"/>
        <w:szCs w:val="19"/>
      </w:rPr>
      <w:noBreakHyphen/>
      <w:t>1211 Genève 20, Suisse</w:t>
    </w:r>
    <w:r w:rsidRPr="005670A6">
      <w:rPr>
        <w:rFonts w:asciiTheme="minorHAnsi" w:hAnsiTheme="minorHAnsi"/>
        <w:color w:val="4F81BD"/>
        <w:sz w:val="19"/>
        <w:szCs w:val="19"/>
      </w:rPr>
      <w:br/>
      <w:t xml:space="preserve">Tél.: +41 22 730 5111 • Courriel: </w:t>
    </w:r>
    <w:hyperlink r:id="rId1" w:history="1">
      <w:r w:rsidRPr="005670A6">
        <w:rPr>
          <w:rStyle w:val="Hyperlink"/>
          <w:rFonts w:asciiTheme="minorHAnsi" w:hAnsiTheme="minorHAnsi"/>
          <w:sz w:val="19"/>
          <w:szCs w:val="19"/>
        </w:rPr>
        <w:t>itumail@itu.int</w:t>
      </w:r>
    </w:hyperlink>
    <w:r w:rsidRPr="005670A6">
      <w:rPr>
        <w:rFonts w:asciiTheme="minorHAnsi" w:hAnsiTheme="minorHAnsi"/>
        <w:sz w:val="19"/>
        <w:szCs w:val="19"/>
      </w:rPr>
      <w:t xml:space="preserve"> </w:t>
    </w:r>
    <w:r w:rsidRPr="005670A6">
      <w:rPr>
        <w:rFonts w:asciiTheme="minorHAnsi" w:hAnsiTheme="minorHAnsi"/>
        <w:color w:val="4F81BD"/>
        <w:sz w:val="19"/>
        <w:szCs w:val="19"/>
      </w:rPr>
      <w:t xml:space="preserve">• </w:t>
    </w:r>
    <w:r w:rsidR="006C2E1C" w:rsidRPr="005670A6">
      <w:rPr>
        <w:rFonts w:asciiTheme="minorHAnsi" w:hAnsiTheme="minorHAnsi"/>
        <w:color w:val="4F81BD"/>
        <w:sz w:val="19"/>
        <w:szCs w:val="19"/>
      </w:rPr>
      <w:t>Télécopie</w:t>
    </w:r>
    <w:r w:rsidRPr="005670A6">
      <w:rPr>
        <w:rFonts w:asciiTheme="minorHAnsi" w:hAnsiTheme="minorHAnsi"/>
        <w:color w:val="4F81BD"/>
        <w:sz w:val="19"/>
        <w:szCs w:val="19"/>
      </w:rPr>
      <w:t xml:space="preserve">: +41 22 733 7256 • </w:t>
    </w:r>
    <w:hyperlink r:id="rId2" w:history="1">
      <w:r w:rsidRPr="005670A6">
        <w:rPr>
          <w:rStyle w:val="Hyperlink"/>
          <w:sz w:val="19"/>
          <w:szCs w:val="19"/>
        </w:rPr>
        <w:t>www.itu.int</w:t>
      </w:r>
    </w:hyperlink>
    <w:r w:rsidRPr="005670A6">
      <w:rPr>
        <w:color w:val="4F81BD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01D5" w14:textId="77777777" w:rsidR="002E27C4" w:rsidRPr="005670A6" w:rsidRDefault="002E27C4">
      <w:r w:rsidRPr="005670A6">
        <w:t>____________________</w:t>
      </w:r>
    </w:p>
  </w:footnote>
  <w:footnote w:type="continuationSeparator" w:id="0">
    <w:p w14:paraId="5815AE35" w14:textId="77777777" w:rsidR="002E27C4" w:rsidRPr="005670A6" w:rsidRDefault="002E27C4">
      <w:r w:rsidRPr="005670A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5670A6" w:rsidRDefault="00E915AF" w:rsidP="003F2F34">
    <w:pPr>
      <w:pStyle w:val="Header"/>
      <w:rPr>
        <w:sz w:val="18"/>
        <w:szCs w:val="16"/>
      </w:rPr>
    </w:pPr>
    <w:r w:rsidRPr="005670A6">
      <w:rPr>
        <w:sz w:val="18"/>
        <w:szCs w:val="16"/>
      </w:rPr>
      <w:tab/>
    </w:r>
    <w:r w:rsidRPr="005670A6">
      <w:rPr>
        <w:sz w:val="18"/>
        <w:szCs w:val="16"/>
      </w:rPr>
      <w:tab/>
    </w:r>
    <w:r w:rsidR="001B42C9" w:rsidRPr="005670A6">
      <w:rPr>
        <w:rStyle w:val="PageNumber"/>
        <w:sz w:val="18"/>
        <w:szCs w:val="16"/>
      </w:rPr>
      <w:fldChar w:fldCharType="begin"/>
    </w:r>
    <w:r w:rsidRPr="005670A6">
      <w:rPr>
        <w:rStyle w:val="PageNumber"/>
        <w:sz w:val="18"/>
        <w:szCs w:val="16"/>
      </w:rPr>
      <w:instrText xml:space="preserve"> PAGE </w:instrText>
    </w:r>
    <w:r w:rsidR="001B42C9" w:rsidRPr="005670A6">
      <w:rPr>
        <w:rStyle w:val="PageNumber"/>
        <w:sz w:val="18"/>
        <w:szCs w:val="16"/>
      </w:rPr>
      <w:fldChar w:fldCharType="separate"/>
    </w:r>
    <w:r w:rsidR="003F2F34" w:rsidRPr="005670A6">
      <w:rPr>
        <w:rStyle w:val="PageNumber"/>
        <w:sz w:val="18"/>
        <w:szCs w:val="16"/>
      </w:rPr>
      <w:t>2</w:t>
    </w:r>
    <w:r w:rsidR="001B42C9" w:rsidRPr="005670A6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14D" w14:textId="77777777" w:rsidR="003F2F34" w:rsidRPr="005670A6" w:rsidRDefault="003F2F34" w:rsidP="003F2F34">
    <w:pPr>
      <w:pStyle w:val="Header"/>
      <w:jc w:val="center"/>
      <w:rPr>
        <w:sz w:val="18"/>
        <w:szCs w:val="16"/>
      </w:rPr>
    </w:pPr>
    <w:r w:rsidRPr="005670A6">
      <w:rPr>
        <w:sz w:val="18"/>
        <w:szCs w:val="16"/>
      </w:rPr>
      <w:fldChar w:fldCharType="begin"/>
    </w:r>
    <w:r w:rsidRPr="005670A6">
      <w:rPr>
        <w:sz w:val="18"/>
        <w:szCs w:val="16"/>
      </w:rPr>
      <w:instrText xml:space="preserve"> PAGE </w:instrText>
    </w:r>
    <w:r w:rsidRPr="005670A6">
      <w:rPr>
        <w:sz w:val="18"/>
        <w:szCs w:val="16"/>
      </w:rPr>
      <w:fldChar w:fldCharType="separate"/>
    </w:r>
    <w:r w:rsidRPr="005670A6">
      <w:rPr>
        <w:sz w:val="18"/>
        <w:szCs w:val="16"/>
      </w:rPr>
      <w:t>2</w:t>
    </w:r>
    <w:r w:rsidRPr="005670A6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:rsidRPr="005670A6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64F56775" w:rsidR="004F47EA" w:rsidRPr="005670A6" w:rsidRDefault="002E27C4" w:rsidP="002E27C4">
          <w:pPr>
            <w:pStyle w:val="Header"/>
            <w:spacing w:line="360" w:lineRule="auto"/>
            <w:jc w:val="both"/>
          </w:pPr>
          <w:r w:rsidRPr="005670A6">
            <w:rPr>
              <w:noProof/>
              <w:lang w:eastAsia="en-GB"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EC52BAC" w14:textId="7D3FDF61" w:rsidR="004F47EA" w:rsidRPr="005670A6" w:rsidRDefault="002E27C4" w:rsidP="002E27C4">
          <w:pPr>
            <w:pStyle w:val="Header"/>
            <w:spacing w:line="360" w:lineRule="auto"/>
            <w:jc w:val="right"/>
          </w:pPr>
          <w:r w:rsidRPr="005670A6"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5670A6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7435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82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2E27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23109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7C4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55975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0A6"/>
    <w:rsid w:val="0056741E"/>
    <w:rsid w:val="0057325A"/>
    <w:rsid w:val="0057469A"/>
    <w:rsid w:val="00580814"/>
    <w:rsid w:val="00583A0B"/>
    <w:rsid w:val="005977A4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1B3A"/>
    <w:rsid w:val="00602D53"/>
    <w:rsid w:val="006047E5"/>
    <w:rsid w:val="006049A7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2E1C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2031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6C2E1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6C2E1C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C2E1C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C2E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2E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2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9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1E5D-DA07-4269-B1F3-D5E80C59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389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BRSGD</cp:lastModifiedBy>
  <cp:revision>6</cp:revision>
  <cp:lastPrinted>2013-03-08T10:15:00Z</cp:lastPrinted>
  <dcterms:created xsi:type="dcterms:W3CDTF">2023-09-22T05:50:00Z</dcterms:created>
  <dcterms:modified xsi:type="dcterms:W3CDTF">2023-09-25T07:36:00Z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