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2816267" w14:textId="77777777" w:rsidTr="00153E23">
        <w:tc>
          <w:tcPr>
            <w:tcW w:w="5000" w:type="pct"/>
            <w:gridSpan w:val="3"/>
            <w:shd w:val="clear" w:color="auto" w:fill="auto"/>
          </w:tcPr>
          <w:p w14:paraId="23DB060D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2483E1FD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20AD5CE6" w14:textId="77777777" w:rsidTr="00153E23">
        <w:tc>
          <w:tcPr>
            <w:tcW w:w="2707" w:type="pct"/>
            <w:gridSpan w:val="2"/>
            <w:shd w:val="clear" w:color="auto" w:fill="auto"/>
          </w:tcPr>
          <w:p w14:paraId="447206EC" w14:textId="77777777" w:rsidR="001674CD" w:rsidRPr="00A01741" w:rsidRDefault="001674CD" w:rsidP="001674CD">
            <w:pPr>
              <w:spacing w:before="80" w:line="300" w:lineRule="exact"/>
              <w:rPr>
                <w:position w:val="2"/>
                <w:lang w:bidi="ar-EG"/>
              </w:rPr>
            </w:pPr>
            <w:r w:rsidRPr="00A0174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336ADDFB" w14:textId="658075D5" w:rsidR="000F7BBE" w:rsidRPr="004449A8" w:rsidRDefault="001674CD" w:rsidP="001674CD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A01741">
              <w:rPr>
                <w:b/>
                <w:bCs/>
                <w:position w:val="2"/>
                <w:lang w:val="en-GB" w:bidi="ar-EG"/>
              </w:rPr>
              <w:t>CACE/</w:t>
            </w:r>
            <w:r>
              <w:rPr>
                <w:b/>
                <w:bCs/>
                <w:position w:val="2"/>
                <w:lang w:val="en-GB" w:bidi="ar-EG"/>
              </w:rPr>
              <w:t>1079</w:t>
            </w:r>
          </w:p>
        </w:tc>
        <w:tc>
          <w:tcPr>
            <w:tcW w:w="2293" w:type="pct"/>
            <w:shd w:val="clear" w:color="auto" w:fill="auto"/>
          </w:tcPr>
          <w:p w14:paraId="25D2BD1A" w14:textId="47715D71" w:rsidR="000F7BBE" w:rsidRPr="004449A8" w:rsidRDefault="004449A8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SY"/>
              </w:rPr>
            </w:pPr>
            <w:r>
              <w:rPr>
                <w:position w:val="2"/>
                <w:lang w:val="fr-FR" w:bidi="ar-EG"/>
              </w:rPr>
              <w:t>26</w:t>
            </w:r>
            <w:r>
              <w:rPr>
                <w:rFonts w:hint="cs"/>
                <w:position w:val="2"/>
                <w:rtl/>
                <w:lang w:val="fr-FR" w:bidi="ar-SY"/>
              </w:rPr>
              <w:t xml:space="preserve"> سبتمبر </w:t>
            </w:r>
            <w:r>
              <w:rPr>
                <w:position w:val="2"/>
                <w:lang w:bidi="ar-SY"/>
              </w:rPr>
              <w:t>2023</w:t>
            </w:r>
          </w:p>
        </w:tc>
      </w:tr>
      <w:tr w:rsidR="000F7BBE" w:rsidRPr="000F7BBE" w14:paraId="45A173CF" w14:textId="77777777" w:rsidTr="00153E23">
        <w:tc>
          <w:tcPr>
            <w:tcW w:w="5000" w:type="pct"/>
            <w:gridSpan w:val="3"/>
            <w:shd w:val="clear" w:color="auto" w:fill="auto"/>
          </w:tcPr>
          <w:p w14:paraId="35D19DDA" w14:textId="77777777" w:rsidR="000F7BBE" w:rsidRPr="000F7BBE" w:rsidRDefault="000F7BBE" w:rsidP="004449A8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8FBF136" w14:textId="77777777" w:rsidTr="00153E23">
        <w:tc>
          <w:tcPr>
            <w:tcW w:w="5000" w:type="pct"/>
            <w:gridSpan w:val="3"/>
            <w:shd w:val="clear" w:color="auto" w:fill="auto"/>
          </w:tcPr>
          <w:p w14:paraId="5DE4AE34" w14:textId="77777777" w:rsidR="000F7BBE" w:rsidRPr="000F7BBE" w:rsidRDefault="000F7BBE" w:rsidP="004449A8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7186FE7" w14:textId="77777777" w:rsidTr="00153E23">
        <w:tc>
          <w:tcPr>
            <w:tcW w:w="5000" w:type="pct"/>
            <w:gridSpan w:val="3"/>
            <w:shd w:val="clear" w:color="auto" w:fill="auto"/>
          </w:tcPr>
          <w:p w14:paraId="646162CE" w14:textId="03A6E3C1" w:rsidR="000F7BBE" w:rsidRPr="000F7BBE" w:rsidRDefault="004449A8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A01741">
              <w:rPr>
                <w:b/>
                <w:bCs/>
                <w:position w:val="2"/>
                <w:rtl/>
                <w:lang w:bidi="ar-EG"/>
              </w:rPr>
              <w:t>إلى إدارات الدول الأعضاء في الاتحاد وأعضاء قطاع الاتصالات الراديوية</w:t>
            </w:r>
            <w:r w:rsidRPr="00A0174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A01741">
              <w:rPr>
                <w:b/>
                <w:bCs/>
                <w:position w:val="2"/>
                <w:rtl/>
                <w:lang w:bidi="ar-EG"/>
              </w:rPr>
              <w:t>والمنتسبين إليه</w:t>
            </w:r>
            <w:r w:rsidRPr="00A01741">
              <w:rPr>
                <w:b/>
                <w:bCs/>
                <w:position w:val="2"/>
                <w:rtl/>
                <w:lang w:bidi="ar-EG"/>
              </w:rPr>
              <w:br/>
              <w:t xml:space="preserve">المشاركين في أعمال لجنة الدراسات </w:t>
            </w:r>
            <w:r>
              <w:rPr>
                <w:rFonts w:hint="cs"/>
                <w:b/>
                <w:bCs/>
                <w:position w:val="2"/>
                <w:rtl/>
              </w:rPr>
              <w:t>4</w:t>
            </w:r>
            <w:r w:rsidRPr="00A01741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A0174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A01741">
              <w:rPr>
                <w:rFonts w:hint="cs"/>
                <w:b/>
                <w:bCs/>
                <w:position w:val="2"/>
                <w:rtl/>
              </w:rPr>
              <w:t>والهيئات الأكاديمية المنضمة إلى الاتحاد</w:t>
            </w:r>
          </w:p>
        </w:tc>
      </w:tr>
      <w:tr w:rsidR="000F7BBE" w:rsidRPr="000F7BBE" w14:paraId="6C4F8110" w14:textId="77777777" w:rsidTr="00153E23">
        <w:tc>
          <w:tcPr>
            <w:tcW w:w="5000" w:type="pct"/>
            <w:gridSpan w:val="3"/>
            <w:shd w:val="clear" w:color="auto" w:fill="auto"/>
          </w:tcPr>
          <w:p w14:paraId="4F899615" w14:textId="77777777" w:rsidR="000F7BBE" w:rsidRPr="000F7BBE" w:rsidRDefault="000F7BBE" w:rsidP="004449A8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19B82FF" w14:textId="77777777" w:rsidTr="00153E23">
        <w:tc>
          <w:tcPr>
            <w:tcW w:w="5000" w:type="pct"/>
            <w:gridSpan w:val="3"/>
            <w:shd w:val="clear" w:color="auto" w:fill="auto"/>
          </w:tcPr>
          <w:p w14:paraId="4117300F" w14:textId="77777777" w:rsidR="000F7BBE" w:rsidRPr="000F7BBE" w:rsidRDefault="000F7BBE" w:rsidP="004449A8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C6C6903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5FD386B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9DFC57B" w14:textId="77777777" w:rsidR="004449A8" w:rsidRPr="00130E76" w:rsidRDefault="004449A8" w:rsidP="004449A8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3D0B90">
              <w:rPr>
                <w:b/>
                <w:bCs/>
                <w:rtl/>
                <w:lang w:bidi="ar-EG"/>
              </w:rPr>
              <w:t xml:space="preserve">لجنة الدراسات </w:t>
            </w:r>
            <w:r>
              <w:rPr>
                <w:rFonts w:hint="cs"/>
                <w:b/>
                <w:bCs/>
                <w:rtl/>
                <w:lang w:bidi="ar-EG"/>
              </w:rPr>
              <w:t>4</w:t>
            </w:r>
            <w:r w:rsidRPr="003D0B90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3D0B90">
              <w:rPr>
                <w:rFonts w:hint="cs"/>
                <w:b/>
                <w:bCs/>
                <w:rtl/>
                <w:lang w:bidi="ar-EG"/>
              </w:rPr>
              <w:t>ة</w:t>
            </w:r>
            <w:r w:rsidRPr="003D0B90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A1485E7407214714BCD92A13BC0F9102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rtl/>
                    </w:rPr>
                    <w:id w:val="1324467921"/>
                    <w:placeholder>
                      <w:docPart w:val="B0E2EE57483F4F079FEE8987B895C0FD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Pr="003D0B90">
                      <w:rPr>
                        <w:b/>
                        <w:bCs/>
                        <w:rtl/>
                      </w:rPr>
                      <w:t>(الخدمات الساتلية)</w:t>
                    </w:r>
                  </w:sdtContent>
                </w:sdt>
              </w:sdtContent>
            </w:sdt>
          </w:p>
          <w:p w14:paraId="08A7C60C" w14:textId="77777777" w:rsidR="004449A8" w:rsidRPr="008D3F8E" w:rsidRDefault="004449A8" w:rsidP="004449A8">
            <w:pPr>
              <w:tabs>
                <w:tab w:val="clear" w:pos="794"/>
                <w:tab w:val="left" w:pos="386"/>
              </w:tabs>
              <w:spacing w:before="60" w:after="60" w:line="30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C73C4F">
              <w:rPr>
                <w:rFonts w:hint="cs"/>
                <w:b/>
                <w:bCs/>
                <w:rtl/>
                <w:lang w:bidi="ar-EG"/>
              </w:rPr>
              <w:t>-</w:t>
            </w:r>
            <w:r w:rsidRPr="00C73C4F">
              <w:rPr>
                <w:b/>
                <w:bCs/>
                <w:rtl/>
                <w:lang w:bidi="ar-EG"/>
              </w:rPr>
              <w:tab/>
            </w:r>
            <w:r w:rsidRPr="001012C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1012C4">
              <w:rPr>
                <w:b/>
                <w:bCs/>
                <w:rtl/>
                <w:lang w:bidi="ar-EG"/>
              </w:rPr>
              <w:t>اعتماد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توصيتين جديدتين</w:t>
            </w:r>
            <w:r w:rsidRPr="001012C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و</w:t>
            </w:r>
            <w:r w:rsidRPr="001012C4">
              <w:rPr>
                <w:rFonts w:hint="cs"/>
                <w:b/>
                <w:bCs/>
                <w:rtl/>
              </w:rPr>
              <w:t xml:space="preserve">مراجعة </w:t>
            </w:r>
            <w:r>
              <w:rPr>
                <w:rFonts w:hint="cs"/>
                <w:b/>
                <w:bCs/>
                <w:rtl/>
                <w:lang w:bidi="ar-SY"/>
              </w:rPr>
              <w:t>توصية</w:t>
            </w:r>
            <w:r w:rsidRPr="001012C4">
              <w:rPr>
                <w:rFonts w:hint="cs"/>
                <w:b/>
                <w:bCs/>
                <w:rtl/>
              </w:rPr>
              <w:t xml:space="preserve"> لقطاع الاتصالات الراديوية</w:t>
            </w:r>
            <w:r w:rsidRPr="001012C4">
              <w:rPr>
                <w:b/>
                <w:bCs/>
                <w:rtl/>
                <w:lang w:bidi="ar-EG"/>
              </w:rPr>
              <w:t xml:space="preserve"> والموافقة عليها في</w:t>
            </w:r>
            <w:r w:rsidRPr="001012C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1012C4">
              <w:rPr>
                <w:b/>
                <w:bCs/>
                <w:rtl/>
                <w:lang w:bidi="ar-EG"/>
              </w:rPr>
              <w:t>نفس الوقت</w:t>
            </w:r>
            <w:r w:rsidRPr="001012C4">
              <w:rPr>
                <w:rFonts w:hint="cs"/>
                <w:b/>
                <w:bCs/>
                <w:rtl/>
                <w:lang w:bidi="ar-EG"/>
              </w:rPr>
              <w:t xml:space="preserve"> بالمراسلة</w:t>
            </w:r>
            <w:r w:rsidRPr="001012C4">
              <w:rPr>
                <w:b/>
                <w:bCs/>
                <w:rtl/>
                <w:lang w:bidi="ar-EG"/>
              </w:rPr>
              <w:t xml:space="preserve"> وفقاً للفقرة</w:t>
            </w:r>
            <w:r w:rsidRPr="001012C4">
              <w:rPr>
                <w:rFonts w:hint="cs"/>
                <w:b/>
                <w:bCs/>
                <w:rtl/>
                <w:lang w:bidi="ar-EG"/>
              </w:rPr>
              <w:t> </w:t>
            </w:r>
            <w:r w:rsidRPr="001012C4">
              <w:rPr>
                <w:b/>
                <w:bCs/>
                <w:lang w:val="fr-FR" w:bidi="ar-SY"/>
              </w:rPr>
              <w:t>4.2.6.A2</w:t>
            </w:r>
            <w:r w:rsidRPr="001012C4">
              <w:rPr>
                <w:b/>
                <w:bCs/>
                <w:rtl/>
                <w:lang w:bidi="ar-EG"/>
              </w:rPr>
              <w:t xml:space="preserve"> من القرار </w:t>
            </w:r>
            <w:r w:rsidRPr="001012C4">
              <w:rPr>
                <w:b/>
                <w:bCs/>
                <w:lang w:val="fr-FR" w:bidi="ar-SY"/>
              </w:rPr>
              <w:t>ITU-R 1-8</w:t>
            </w:r>
            <w:r w:rsidRPr="001012C4">
              <w:rPr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Pr="001012C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1012C4">
              <w:rPr>
                <w:b/>
                <w:bCs/>
                <w:rtl/>
                <w:lang w:bidi="ar-EG"/>
              </w:rPr>
              <w:t xml:space="preserve">نفس الوقت </w:t>
            </w:r>
            <w:r w:rsidRPr="001012C4">
              <w:rPr>
                <w:rFonts w:hint="cs"/>
                <w:b/>
                <w:bCs/>
                <w:rtl/>
                <w:lang w:bidi="ar-EG"/>
              </w:rPr>
              <w:t>عن طريق المراسلة</w:t>
            </w:r>
            <w:r w:rsidRPr="001012C4">
              <w:rPr>
                <w:b/>
                <w:bCs/>
                <w:rtl/>
                <w:lang w:bidi="ar-EG"/>
              </w:rPr>
              <w:t>)</w:t>
            </w:r>
          </w:p>
          <w:p w14:paraId="4E6A3B29" w14:textId="27655CFA" w:rsidR="000F7BBE" w:rsidRPr="000F7BBE" w:rsidRDefault="004449A8" w:rsidP="004449A8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ab/>
            </w:r>
            <w:r w:rsidRPr="00D226D5">
              <w:rPr>
                <w:rFonts w:hint="cs"/>
                <w:b/>
                <w:bCs/>
                <w:rtl/>
                <w:lang w:bidi="ar-EG"/>
              </w:rPr>
              <w:t>إلغاء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توصية </w:t>
            </w:r>
            <w:r w:rsidRPr="00D226D5">
              <w:rPr>
                <w:rFonts w:hint="cs"/>
                <w:b/>
                <w:bCs/>
                <w:rtl/>
                <w:lang w:bidi="ar-EG"/>
              </w:rPr>
              <w:t>لقطاع الاتصالات الراديوية</w:t>
            </w:r>
          </w:p>
        </w:tc>
      </w:tr>
      <w:tr w:rsidR="00FC09E8" w:rsidRPr="000F7BBE" w14:paraId="4C32837F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6057F1E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BEA725F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48EB88EF" w14:textId="77777777" w:rsidR="00F16820" w:rsidRDefault="00F16820" w:rsidP="00F16820">
      <w:pPr>
        <w:rPr>
          <w:rtl/>
          <w:lang w:bidi="ar-EG"/>
        </w:rPr>
      </w:pPr>
    </w:p>
    <w:p w14:paraId="55F8C35E" w14:textId="77777777" w:rsidR="004449A8" w:rsidRPr="00E32A3B" w:rsidRDefault="004449A8" w:rsidP="004449A8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436BCA96" w14:textId="652CCB3C" w:rsidR="004449A8" w:rsidRPr="00732664" w:rsidRDefault="004449A8" w:rsidP="004449A8">
      <w:pPr>
        <w:pStyle w:val="Tablelegend"/>
        <w:spacing w:before="120"/>
        <w:rPr>
          <w:rtl/>
          <w:lang w:bidi="ar-EG"/>
        </w:rPr>
      </w:pPr>
      <w:r w:rsidRPr="00732664">
        <w:rPr>
          <w:rtl/>
          <w:lang w:bidi="ar-SA"/>
        </w:rPr>
        <w:t xml:space="preserve">تم </w:t>
      </w:r>
      <w:r w:rsidRPr="00732664">
        <w:rPr>
          <w:rtl/>
          <w:lang w:bidi="ar-EG"/>
        </w:rPr>
        <w:t xml:space="preserve">بموجب الرسالة الإدارية المعممة </w:t>
      </w:r>
      <w:hyperlink r:id="rId8" w:history="1">
        <w:r w:rsidR="00732664" w:rsidRPr="00732664">
          <w:rPr>
            <w:rStyle w:val="Hyperlink"/>
            <w:lang w:val="en-GB"/>
          </w:rPr>
          <w:t>CACE/1069</w:t>
        </w:r>
      </w:hyperlink>
      <w:r w:rsidRPr="00732664">
        <w:rPr>
          <w:rtl/>
          <w:lang w:bidi="ar-EG"/>
        </w:rPr>
        <w:t xml:space="preserve"> المؤرخة 20 يوليو 2023، تقديم مشروعي توصيتين جديدتين </w:t>
      </w:r>
      <w:r w:rsidRPr="00732664">
        <w:rPr>
          <w:rtl/>
        </w:rPr>
        <w:t xml:space="preserve">ومراجعة توصية </w:t>
      </w:r>
      <w:r w:rsidRPr="00732664">
        <w:rPr>
          <w:rtl/>
          <w:lang w:bidi="ar-EG"/>
        </w:rPr>
        <w:t xml:space="preserve">لقطاع الاتصالات الراديوية لاعتمادها والموافقة عليها في نفس الوقت عن طريق المراسلة </w:t>
      </w:r>
      <w:r w:rsidRPr="00732664">
        <w:rPr>
          <w:lang w:bidi="ar-EG"/>
        </w:rPr>
        <w:t>(PSAA)</w:t>
      </w:r>
      <w:r w:rsidRPr="00732664">
        <w:rPr>
          <w:rtl/>
          <w:lang w:bidi="ar-EG"/>
        </w:rPr>
        <w:t xml:space="preserve"> وفقاً للإجراء المنصوص عليه في القرار </w:t>
      </w:r>
      <w:r w:rsidRPr="00732664">
        <w:rPr>
          <w:lang w:bidi="ar-EG"/>
        </w:rPr>
        <w:t>ITU-R 1-8</w:t>
      </w:r>
      <w:r w:rsidRPr="00732664">
        <w:rPr>
          <w:rtl/>
          <w:lang w:bidi="ar-EG"/>
        </w:rPr>
        <w:t xml:space="preserve"> (الفقرة </w:t>
      </w:r>
      <w:r w:rsidRPr="00732664">
        <w:rPr>
          <w:lang w:bidi="ar-EG"/>
        </w:rPr>
        <w:t>4.2.6.A2</w:t>
      </w:r>
      <w:r w:rsidRPr="00732664">
        <w:rPr>
          <w:rtl/>
          <w:lang w:bidi="ar-EG"/>
        </w:rPr>
        <w:t>). وإضافةً إلى ذلك، اقترحت لجنة الدراسات إلغاء توصية من توصيات قطاع الاتصالات الراديوية.</w:t>
      </w:r>
    </w:p>
    <w:p w14:paraId="1947A361" w14:textId="77777777" w:rsidR="004449A8" w:rsidRPr="00D226D5" w:rsidRDefault="004449A8" w:rsidP="004449A8">
      <w:pPr>
        <w:pStyle w:val="Tablelegend"/>
        <w:spacing w:before="120"/>
        <w:rPr>
          <w:rtl/>
          <w:lang w:bidi="ar-EG"/>
        </w:rPr>
      </w:pPr>
      <w:r w:rsidRPr="00D226D5">
        <w:rPr>
          <w:rtl/>
          <w:lang w:bidi="ar-EG"/>
        </w:rPr>
        <w:t xml:space="preserve">وقد </w:t>
      </w:r>
      <w:r w:rsidRPr="00D226D5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>م</w:t>
      </w:r>
      <w:r w:rsidRPr="00D226D5">
        <w:rPr>
          <w:rtl/>
          <w:lang w:bidi="ar-EG"/>
        </w:rPr>
        <w:t xml:space="preserve"> استيفاء الشروط التي </w:t>
      </w:r>
      <w:r w:rsidRPr="00D226D5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>ح</w:t>
      </w:r>
      <w:r w:rsidRPr="00D226D5">
        <w:rPr>
          <w:rFonts w:hint="cs"/>
          <w:rtl/>
          <w:lang w:bidi="ar-EG"/>
        </w:rPr>
        <w:t>كم</w:t>
      </w:r>
      <w:r w:rsidRPr="00D226D5">
        <w:rPr>
          <w:rtl/>
          <w:lang w:bidi="ar-EG"/>
        </w:rPr>
        <w:t xml:space="preserve"> </w:t>
      </w:r>
      <w:r w:rsidRPr="00D226D5">
        <w:rPr>
          <w:rFonts w:hint="cs"/>
          <w:rtl/>
          <w:lang w:bidi="ar-EG"/>
        </w:rPr>
        <w:t xml:space="preserve">هذا الإجراء في </w:t>
      </w:r>
      <w:r>
        <w:rPr>
          <w:rFonts w:hint="cs"/>
          <w:rtl/>
          <w:lang w:bidi="ar-EG"/>
        </w:rPr>
        <w:t>20 سبتمبر 2023</w:t>
      </w:r>
      <w:r w:rsidRPr="00D226D5">
        <w:rPr>
          <w:rtl/>
          <w:lang w:bidi="ar-EG"/>
        </w:rPr>
        <w:t>.</w:t>
      </w:r>
    </w:p>
    <w:p w14:paraId="6C536D45" w14:textId="77777777" w:rsidR="004449A8" w:rsidRPr="00D226D5" w:rsidRDefault="004449A8" w:rsidP="00732664">
      <w:pPr>
        <w:rPr>
          <w:rtl/>
          <w:lang w:bidi="ar-EG"/>
        </w:rPr>
      </w:pPr>
      <w:r>
        <w:rPr>
          <w:rFonts w:hint="cs"/>
          <w:rtl/>
          <w:lang w:bidi="ar-EG"/>
        </w:rPr>
        <w:t>وسينشر الاتحاد التوصيات</w:t>
      </w:r>
      <w:r w:rsidRPr="00D226D5">
        <w:rPr>
          <w:rtl/>
          <w:lang w:bidi="ar-EG"/>
        </w:rPr>
        <w:t xml:space="preserve"> </w:t>
      </w:r>
      <w:r>
        <w:rPr>
          <w:rtl/>
          <w:lang w:bidi="ar-EG"/>
        </w:rPr>
        <w:t>المواف</w:t>
      </w:r>
      <w:r>
        <w:rPr>
          <w:rFonts w:hint="cs"/>
          <w:rtl/>
          <w:lang w:bidi="ar-EG"/>
        </w:rPr>
        <w:t>َ</w:t>
      </w:r>
      <w:r>
        <w:rPr>
          <w:rtl/>
          <w:lang w:bidi="ar-EG"/>
        </w:rPr>
        <w:t>ق</w:t>
      </w:r>
      <w:r w:rsidRPr="00D226D5">
        <w:rPr>
          <w:rtl/>
          <w:lang w:bidi="ar-EG"/>
        </w:rPr>
        <w:t xml:space="preserve"> عليها</w:t>
      </w:r>
      <w:r>
        <w:rPr>
          <w:rFonts w:hint="cs"/>
          <w:rtl/>
          <w:lang w:bidi="ar-EG"/>
        </w:rPr>
        <w:t>،</w:t>
      </w:r>
      <w:r w:rsidRPr="00D226D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وترد في </w:t>
      </w:r>
      <w:r w:rsidRPr="003D0B90">
        <w:rPr>
          <w:rFonts w:hint="cs"/>
          <w:rtl/>
          <w:lang w:bidi="ar-EG"/>
        </w:rPr>
        <w:t xml:space="preserve">الملحق 1 </w:t>
      </w:r>
      <w:r>
        <w:rPr>
          <w:rFonts w:hint="cs"/>
          <w:rtl/>
          <w:lang w:bidi="ar-EG"/>
        </w:rPr>
        <w:t>بهذه الرسالة المعممة عناوين التوصيات والأرقام المخصصة لها</w:t>
      </w:r>
      <w:r w:rsidRPr="00D226D5">
        <w:rPr>
          <w:rtl/>
          <w:lang w:bidi="ar-EG"/>
        </w:rPr>
        <w:t>. ويبين الملحق</w:t>
      </w:r>
      <w:r w:rsidRPr="00D226D5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>2</w:t>
      </w:r>
      <w:r w:rsidRPr="00D226D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التوصية</w:t>
      </w:r>
      <w:r w:rsidRPr="00D226D5">
        <w:rPr>
          <w:rFonts w:hint="cs"/>
          <w:rtl/>
          <w:lang w:bidi="ar-EG"/>
        </w:rPr>
        <w:t> ال</w:t>
      </w:r>
      <w:r>
        <w:rPr>
          <w:rFonts w:hint="cs"/>
          <w:rtl/>
          <w:lang w:bidi="ar-EG"/>
        </w:rPr>
        <w:t>م</w:t>
      </w:r>
      <w:r w:rsidRPr="00D226D5">
        <w:rPr>
          <w:rFonts w:hint="cs"/>
          <w:rtl/>
          <w:lang w:bidi="ar-EG"/>
        </w:rPr>
        <w:t>لغاة</w:t>
      </w:r>
      <w:r w:rsidRPr="00D226D5">
        <w:rPr>
          <w:rtl/>
          <w:lang w:bidi="ar-EG"/>
        </w:rPr>
        <w:t>.</w:t>
      </w:r>
    </w:p>
    <w:p w14:paraId="5793D046" w14:textId="77777777" w:rsidR="004449A8" w:rsidRDefault="004449A8" w:rsidP="00732664">
      <w:pPr>
        <w:pStyle w:val="Tablelegend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5CA9EFF5" w14:textId="77777777" w:rsidR="004449A8" w:rsidRDefault="004449A8" w:rsidP="00130E76">
      <w:pPr>
        <w:spacing w:before="1200"/>
        <w:jc w:val="left"/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7E6784BC" w14:textId="77777777" w:rsidR="004449A8" w:rsidRDefault="004449A8" w:rsidP="00130E76">
      <w:pPr>
        <w:spacing w:before="960"/>
        <w:rPr>
          <w:lang w:bidi="ar-EG"/>
        </w:rPr>
      </w:pPr>
      <w:r w:rsidRPr="003D0B90">
        <w:rPr>
          <w:rFonts w:hint="cs"/>
          <w:b/>
          <w:bCs/>
          <w:rtl/>
          <w:lang w:bidi="ar-EG"/>
        </w:rPr>
        <w:t>الملحقات</w:t>
      </w:r>
      <w:r w:rsidRPr="003D0B90">
        <w:rPr>
          <w:rFonts w:hint="cs"/>
          <w:rtl/>
          <w:lang w:bidi="ar-EG"/>
        </w:rPr>
        <w:t>: 2</w:t>
      </w:r>
    </w:p>
    <w:p w14:paraId="65D6A3AC" w14:textId="77777777" w:rsidR="00FC09E8" w:rsidRDefault="00FC09E8" w:rsidP="004449A8">
      <w:pPr>
        <w:rPr>
          <w:rtl/>
        </w:rPr>
      </w:pPr>
      <w:r>
        <w:rPr>
          <w:rtl/>
        </w:rPr>
        <w:br w:type="page"/>
      </w:r>
    </w:p>
    <w:p w14:paraId="2E200494" w14:textId="535C8260" w:rsidR="004449A8" w:rsidRPr="00732664" w:rsidRDefault="004449A8" w:rsidP="00732664">
      <w:pPr>
        <w:pStyle w:val="AnnexNotitle"/>
        <w:rPr>
          <w:rtl/>
        </w:rPr>
      </w:pPr>
      <w:r w:rsidRPr="00732664">
        <w:rPr>
          <w:rFonts w:hint="cs"/>
          <w:rtl/>
        </w:rPr>
        <w:lastRenderedPageBreak/>
        <w:t>الملحق </w:t>
      </w:r>
      <w:r w:rsidRPr="00732664">
        <w:t>1</w:t>
      </w:r>
      <w:r w:rsidR="00732664" w:rsidRPr="00732664">
        <w:rPr>
          <w:rtl/>
        </w:rPr>
        <w:br/>
      </w:r>
      <w:r w:rsidR="00732664" w:rsidRPr="00732664">
        <w:rPr>
          <w:rtl/>
        </w:rPr>
        <w:br/>
      </w:r>
      <w:r w:rsidRPr="00732664">
        <w:rPr>
          <w:rFonts w:hint="cs"/>
          <w:rtl/>
        </w:rPr>
        <w:t>عناوين التوصيات الموافَق عليها لقطاع الاتصالات الراديوية</w:t>
      </w:r>
    </w:p>
    <w:tbl>
      <w:tblPr>
        <w:bidiVisual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955"/>
        <w:gridCol w:w="1842"/>
      </w:tblGrid>
      <w:tr w:rsidR="00732664" w:rsidRPr="00EE5FBB" w14:paraId="29E33076" w14:textId="77777777" w:rsidTr="00EE5FBB">
        <w:trPr>
          <w:jc w:val="center"/>
        </w:trPr>
        <w:tc>
          <w:tcPr>
            <w:tcW w:w="1696" w:type="dxa"/>
            <w:vAlign w:val="center"/>
          </w:tcPr>
          <w:p w14:paraId="55F15EB4" w14:textId="061051D2" w:rsidR="00732664" w:rsidRPr="00EE5FBB" w:rsidRDefault="00732664" w:rsidP="00EE5FBB">
            <w:pPr>
              <w:pStyle w:val="Tablehead0"/>
              <w:bidi/>
              <w:spacing w:before="40" w:after="40" w:line="260" w:lineRule="exact"/>
              <w:rPr>
                <w:rFonts w:ascii="Dubai" w:hAnsi="Dubai" w:cs="Dubai"/>
                <w:position w:val="2"/>
                <w:szCs w:val="20"/>
                <w:lang w:val="en-GB"/>
              </w:rPr>
            </w:pPr>
            <w:r w:rsidRPr="00EE5FBB">
              <w:rPr>
                <w:rFonts w:ascii="Dubai" w:hAnsi="Dubai" w:cs="Dubai"/>
                <w:b w:val="0"/>
                <w:bCs/>
                <w:position w:val="2"/>
                <w:szCs w:val="20"/>
                <w:rtl/>
                <w:lang w:val="en-GB"/>
              </w:rPr>
              <w:t>التوصية</w:t>
            </w:r>
            <w:r w:rsidRPr="00EE5FBB">
              <w:rPr>
                <w:rFonts w:ascii="Dubai" w:hAnsi="Dubai" w:cs="Dubai"/>
                <w:position w:val="2"/>
                <w:szCs w:val="20"/>
                <w:lang w:val="en-GB"/>
              </w:rPr>
              <w:br/>
              <w:t>ITU-R</w:t>
            </w:r>
          </w:p>
        </w:tc>
        <w:tc>
          <w:tcPr>
            <w:tcW w:w="5955" w:type="dxa"/>
            <w:vAlign w:val="center"/>
          </w:tcPr>
          <w:p w14:paraId="27CAF184" w14:textId="52E5E669" w:rsidR="00732664" w:rsidRPr="00EE5FBB" w:rsidRDefault="00732664" w:rsidP="00EE5FBB">
            <w:pPr>
              <w:pStyle w:val="Tablehead0"/>
              <w:bidi/>
              <w:spacing w:before="40" w:after="40" w:line="260" w:lineRule="exact"/>
              <w:rPr>
                <w:rFonts w:ascii="Dubai" w:hAnsi="Dubai" w:cs="Dubai"/>
                <w:position w:val="2"/>
                <w:szCs w:val="20"/>
                <w:lang w:val="en-GB"/>
              </w:rPr>
            </w:pPr>
            <w:r w:rsidRPr="00EE5FBB">
              <w:rPr>
                <w:rFonts w:ascii="Dubai" w:hAnsi="Dubai" w:cs="Dubai"/>
                <w:bCs/>
                <w:position w:val="2"/>
                <w:szCs w:val="20"/>
                <w:rtl/>
                <w:lang w:val="en-GB"/>
              </w:rPr>
              <w:t>العنوان</w:t>
            </w:r>
          </w:p>
        </w:tc>
        <w:tc>
          <w:tcPr>
            <w:tcW w:w="1842" w:type="dxa"/>
            <w:vAlign w:val="center"/>
          </w:tcPr>
          <w:p w14:paraId="2FA00B6D" w14:textId="6B3ED8CD" w:rsidR="00732664" w:rsidRPr="00EE5FBB" w:rsidRDefault="00732664" w:rsidP="00EE5FBB">
            <w:pPr>
              <w:pStyle w:val="Tablehead0"/>
              <w:bidi/>
              <w:spacing w:before="40" w:after="40" w:line="260" w:lineRule="exact"/>
              <w:rPr>
                <w:rFonts w:ascii="Dubai" w:hAnsi="Dubai" w:cs="Dubai"/>
                <w:bCs/>
                <w:position w:val="2"/>
                <w:szCs w:val="20"/>
                <w:lang w:val="en-GB"/>
              </w:rPr>
            </w:pPr>
            <w:r w:rsidRPr="00EE5FBB">
              <w:rPr>
                <w:rFonts w:ascii="Dubai" w:hAnsi="Dubai" w:cs="Dubai"/>
                <w:bCs/>
                <w:position w:val="2"/>
                <w:szCs w:val="20"/>
                <w:rtl/>
                <w:lang w:val="en-GB"/>
              </w:rPr>
              <w:t>رقم الوثيقة</w:t>
            </w:r>
          </w:p>
        </w:tc>
      </w:tr>
      <w:tr w:rsidR="00732664" w:rsidRPr="00EE5FBB" w14:paraId="7372FF18" w14:textId="77777777" w:rsidTr="00EE5FBB">
        <w:trPr>
          <w:jc w:val="center"/>
        </w:trPr>
        <w:tc>
          <w:tcPr>
            <w:tcW w:w="1696" w:type="dxa"/>
            <w:vAlign w:val="center"/>
          </w:tcPr>
          <w:p w14:paraId="0BC6ECDF" w14:textId="77777777" w:rsidR="00732664" w:rsidRPr="00EE5FBB" w:rsidRDefault="00732664" w:rsidP="00EE5FBB">
            <w:pPr>
              <w:pStyle w:val="Tabletext"/>
              <w:bidi/>
              <w:spacing w:line="260" w:lineRule="exact"/>
              <w:jc w:val="center"/>
              <w:rPr>
                <w:rFonts w:ascii="Dubai" w:hAnsi="Dubai" w:cs="Dubai"/>
                <w:position w:val="2"/>
                <w:szCs w:val="20"/>
                <w:lang w:val="en-GB"/>
              </w:rPr>
            </w:pPr>
            <w:r w:rsidRPr="00EE5FBB">
              <w:rPr>
                <w:rFonts w:ascii="Dubai" w:hAnsi="Dubai" w:cs="Dubai"/>
                <w:position w:val="2"/>
                <w:szCs w:val="20"/>
              </w:rPr>
              <w:t>S.2157-0</w:t>
            </w:r>
          </w:p>
        </w:tc>
        <w:tc>
          <w:tcPr>
            <w:tcW w:w="5955" w:type="dxa"/>
            <w:vAlign w:val="center"/>
          </w:tcPr>
          <w:p w14:paraId="6979DDDB" w14:textId="14F1F874" w:rsidR="00732664" w:rsidRPr="00EE5FBB" w:rsidRDefault="00732664" w:rsidP="00EE5FBB">
            <w:pPr>
              <w:pStyle w:val="Tabletext"/>
              <w:bidi/>
              <w:spacing w:line="260" w:lineRule="exact"/>
              <w:jc w:val="both"/>
              <w:rPr>
                <w:rFonts w:ascii="Dubai" w:hAnsi="Dubai" w:cs="Dubai"/>
                <w:position w:val="2"/>
                <w:szCs w:val="20"/>
                <w:lang w:val="en-GB"/>
              </w:rPr>
            </w:pPr>
            <w:r w:rsidRPr="00EE5FBB">
              <w:rPr>
                <w:rFonts w:ascii="Dubai" w:hAnsi="Dubai" w:cs="Dubai"/>
                <w:position w:val="2"/>
                <w:szCs w:val="20"/>
                <w:rtl/>
              </w:rPr>
              <w:t xml:space="preserve">إجراءات تقييم التداخل من أي نظام غير مستقر بالنسبة إلى الأرض في مجموعة عالمية من الوصلات المرجعية العامة المستقرة بالنسبة إلى الأرض في نطاقات التردد </w:t>
            </w:r>
            <w:r w:rsidRPr="00EE5FBB">
              <w:rPr>
                <w:rFonts w:ascii="Dubai" w:hAnsi="Dubai" w:cs="Dubai"/>
                <w:position w:val="2"/>
                <w:szCs w:val="20"/>
              </w:rPr>
              <w:t>GHz 39,5-37,5</w:t>
            </w:r>
            <w:r w:rsidRPr="00EE5FBB">
              <w:rPr>
                <w:rFonts w:ascii="Dubai" w:hAnsi="Dubai" w:cs="Dubai"/>
                <w:position w:val="2"/>
                <w:szCs w:val="20"/>
                <w:rtl/>
              </w:rPr>
              <w:t xml:space="preserve"> (فضاء-أرض) و</w:t>
            </w:r>
            <w:r w:rsidRPr="00EE5FBB">
              <w:rPr>
                <w:rFonts w:ascii="Dubai" w:hAnsi="Dubai" w:cs="Dubai"/>
                <w:position w:val="2"/>
                <w:szCs w:val="20"/>
              </w:rPr>
              <w:t>GHz 42,5</w:t>
            </w:r>
            <w:r w:rsidRPr="00EE5FBB">
              <w:rPr>
                <w:rFonts w:ascii="Dubai" w:hAnsi="Dubai" w:cs="Dubai"/>
                <w:position w:val="2"/>
                <w:szCs w:val="20"/>
              </w:rPr>
              <w:noBreakHyphen/>
              <w:t>3</w:t>
            </w:r>
            <w:r w:rsidRPr="00130E76">
              <w:rPr>
                <w:rFonts w:ascii="Dubai" w:hAnsi="Dubai" w:cs="Dubai"/>
                <w:position w:val="2"/>
                <w:szCs w:val="20"/>
                <w:lang w:val="en-GB"/>
              </w:rPr>
              <w:t>9</w:t>
            </w:r>
            <w:r w:rsidRPr="00EE5FBB">
              <w:rPr>
                <w:rFonts w:ascii="Dubai" w:hAnsi="Dubai" w:cs="Dubai"/>
                <w:position w:val="2"/>
                <w:szCs w:val="20"/>
              </w:rPr>
              <w:t>,5</w:t>
            </w:r>
            <w:r w:rsidRPr="00EE5FBB">
              <w:rPr>
                <w:rFonts w:ascii="Dubai" w:hAnsi="Dubai" w:cs="Dubai"/>
                <w:position w:val="2"/>
                <w:szCs w:val="20"/>
                <w:rtl/>
              </w:rPr>
              <w:t xml:space="preserve"> (فضاء-أرض) و</w:t>
            </w:r>
            <w:r w:rsidRPr="00EE5FBB">
              <w:rPr>
                <w:rFonts w:ascii="Dubai" w:hAnsi="Dubai" w:cs="Dubai"/>
                <w:position w:val="2"/>
                <w:szCs w:val="20"/>
              </w:rPr>
              <w:t>GHz 50,2-47,2</w:t>
            </w:r>
            <w:r w:rsidRPr="00EE5FBB">
              <w:rPr>
                <w:rFonts w:ascii="Dubai" w:hAnsi="Dubai" w:cs="Dubai"/>
                <w:position w:val="2"/>
                <w:szCs w:val="20"/>
                <w:rtl/>
              </w:rPr>
              <w:t xml:space="preserve"> (أرض فضاء) و</w:t>
            </w:r>
            <w:r w:rsidRPr="00EE5FBB">
              <w:rPr>
                <w:rFonts w:ascii="Dubai" w:hAnsi="Dubai" w:cs="Dubai"/>
                <w:position w:val="2"/>
                <w:szCs w:val="20"/>
              </w:rPr>
              <w:t>GHz 51,4-50,4</w:t>
            </w:r>
            <w:r w:rsidRPr="00EE5FBB">
              <w:rPr>
                <w:rFonts w:ascii="Dubai" w:hAnsi="Dubai" w:cs="Dubai"/>
                <w:position w:val="2"/>
                <w:szCs w:val="20"/>
                <w:rtl/>
              </w:rPr>
              <w:t>(أرض-فضاء)</w:t>
            </w:r>
          </w:p>
        </w:tc>
        <w:tc>
          <w:tcPr>
            <w:tcW w:w="1842" w:type="dxa"/>
            <w:vAlign w:val="center"/>
          </w:tcPr>
          <w:p w14:paraId="03411944" w14:textId="77777777" w:rsidR="00732664" w:rsidRPr="00EE5FBB" w:rsidRDefault="00732664" w:rsidP="00EE5FBB">
            <w:pPr>
              <w:pStyle w:val="Tabletext"/>
              <w:bidi/>
              <w:spacing w:line="260" w:lineRule="exact"/>
              <w:jc w:val="center"/>
              <w:rPr>
                <w:rFonts w:ascii="Dubai" w:hAnsi="Dubai" w:cs="Dubai"/>
                <w:position w:val="2"/>
                <w:szCs w:val="20"/>
                <w:lang w:val="en-GB"/>
              </w:rPr>
            </w:pPr>
            <w:r w:rsidRPr="00EE5FBB">
              <w:rPr>
                <w:rFonts w:ascii="Dubai" w:hAnsi="Dubai" w:cs="Dubai"/>
                <w:position w:val="2"/>
                <w:szCs w:val="20"/>
                <w:lang w:val="en-GB"/>
              </w:rPr>
              <w:t>4/91</w:t>
            </w:r>
          </w:p>
        </w:tc>
      </w:tr>
      <w:tr w:rsidR="00732664" w:rsidRPr="00EE5FBB" w:rsidDel="005322BB" w14:paraId="7A46B1D5" w14:textId="77777777" w:rsidTr="00EE5FBB">
        <w:trPr>
          <w:jc w:val="center"/>
        </w:trPr>
        <w:tc>
          <w:tcPr>
            <w:tcW w:w="1696" w:type="dxa"/>
            <w:vAlign w:val="center"/>
          </w:tcPr>
          <w:p w14:paraId="1DB1412C" w14:textId="77777777" w:rsidR="00732664" w:rsidRPr="00EE5FBB" w:rsidRDefault="00732664" w:rsidP="00EE5FBB">
            <w:pPr>
              <w:pStyle w:val="Tabletext"/>
              <w:bidi/>
              <w:spacing w:line="260" w:lineRule="exact"/>
              <w:jc w:val="center"/>
              <w:rPr>
                <w:rFonts w:ascii="Dubai" w:hAnsi="Dubai" w:cs="Dubai"/>
                <w:position w:val="2"/>
                <w:szCs w:val="20"/>
                <w:highlight w:val="yellow"/>
              </w:rPr>
            </w:pPr>
            <w:r w:rsidRPr="00EE5FBB">
              <w:rPr>
                <w:rFonts w:ascii="Dubai" w:hAnsi="Dubai" w:cs="Dubai"/>
                <w:position w:val="2"/>
                <w:szCs w:val="20"/>
                <w:lang w:val="en-GB"/>
              </w:rPr>
              <w:t>S.2158-0</w:t>
            </w:r>
          </w:p>
        </w:tc>
        <w:tc>
          <w:tcPr>
            <w:tcW w:w="5955" w:type="dxa"/>
            <w:vAlign w:val="center"/>
          </w:tcPr>
          <w:p w14:paraId="341DEC5C" w14:textId="1561EBC1" w:rsidR="00732664" w:rsidRPr="00EE5FBB" w:rsidRDefault="00732664" w:rsidP="00EE5FBB">
            <w:pPr>
              <w:pStyle w:val="Tabletext"/>
              <w:bidi/>
              <w:spacing w:line="260" w:lineRule="exact"/>
              <w:jc w:val="both"/>
              <w:rPr>
                <w:rFonts w:ascii="Dubai" w:hAnsi="Dubai" w:cs="Dubai"/>
                <w:bCs/>
                <w:position w:val="2"/>
                <w:szCs w:val="20"/>
                <w:lang w:val="en-GB"/>
              </w:rPr>
            </w:pPr>
            <w:r w:rsidRPr="00EE5FBB">
              <w:rPr>
                <w:rFonts w:ascii="Dubai" w:hAnsi="Dubai" w:cs="Dubai"/>
                <w:position w:val="2"/>
                <w:szCs w:val="20"/>
                <w:rtl/>
              </w:rPr>
              <w:t>منهجية لتفحص امتثال المحطات الأرضية المتحركة للطيران (</w:t>
            </w:r>
            <w:r w:rsidRPr="00EE5FBB">
              <w:rPr>
                <w:rFonts w:ascii="Dubai" w:hAnsi="Dubai" w:cs="Dubai"/>
                <w:position w:val="2"/>
                <w:szCs w:val="20"/>
              </w:rPr>
              <w:t>A-ESIM</w:t>
            </w:r>
            <w:r w:rsidRPr="00EE5FBB">
              <w:rPr>
                <w:rFonts w:ascii="Dubai" w:hAnsi="Dubai" w:cs="Dubai"/>
                <w:position w:val="2"/>
                <w:szCs w:val="20"/>
                <w:rtl/>
              </w:rPr>
              <w:t xml:space="preserve">) التي تتواصل مع المحطات الفضائية المستقرة بالنسبة إلى الأرض في الخدمة الثابتة الساتلية في النطاق </w:t>
            </w:r>
            <w:r w:rsidRPr="00EE5FBB">
              <w:rPr>
                <w:rFonts w:ascii="Dubai" w:hAnsi="Dubai" w:cs="Dubai"/>
                <w:position w:val="2"/>
                <w:szCs w:val="20"/>
              </w:rPr>
              <w:t>GHz 29,5-27,5</w:t>
            </w:r>
            <w:r w:rsidRPr="00EE5FBB">
              <w:rPr>
                <w:rFonts w:ascii="Dubai" w:hAnsi="Dubai" w:cs="Dubai"/>
                <w:position w:val="2"/>
                <w:szCs w:val="20"/>
                <w:rtl/>
              </w:rPr>
              <w:t xml:space="preserve"> لمجموعة من الحدود المحددة مسبقاً</w:t>
            </w:r>
            <w:r w:rsidRPr="00EE5FBB">
              <w:rPr>
                <w:rFonts w:ascii="Dubai" w:hAnsi="Dubai" w:cs="Dubai" w:hint="cs"/>
                <w:position w:val="2"/>
                <w:szCs w:val="20"/>
                <w:rtl/>
              </w:rPr>
              <w:t xml:space="preserve"> </w:t>
            </w:r>
            <w:r w:rsidRPr="00EE5FBB">
              <w:rPr>
                <w:rFonts w:ascii="Dubai" w:hAnsi="Dubai" w:cs="Dubai"/>
                <w:position w:val="2"/>
                <w:szCs w:val="20"/>
                <w:rtl/>
              </w:rPr>
              <w:t>لكثافة تدفق القدرة على سطح الأرض</w:t>
            </w:r>
          </w:p>
        </w:tc>
        <w:tc>
          <w:tcPr>
            <w:tcW w:w="1842" w:type="dxa"/>
            <w:vAlign w:val="center"/>
          </w:tcPr>
          <w:p w14:paraId="7B0141D0" w14:textId="77777777" w:rsidR="00732664" w:rsidRPr="00EE5FBB" w:rsidDel="005322BB" w:rsidRDefault="00732664" w:rsidP="00EE5FBB">
            <w:pPr>
              <w:pStyle w:val="Tabletext"/>
              <w:bidi/>
              <w:spacing w:line="260" w:lineRule="exact"/>
              <w:jc w:val="center"/>
              <w:rPr>
                <w:rFonts w:ascii="Dubai" w:hAnsi="Dubai" w:cs="Dubai"/>
                <w:position w:val="2"/>
                <w:szCs w:val="20"/>
                <w:highlight w:val="yellow"/>
                <w:lang w:val="en-GB"/>
              </w:rPr>
            </w:pPr>
            <w:r w:rsidRPr="00EE5FBB">
              <w:rPr>
                <w:rFonts w:ascii="Dubai" w:hAnsi="Dubai" w:cs="Dubai"/>
                <w:position w:val="2"/>
                <w:szCs w:val="20"/>
                <w:lang w:val="en-GB"/>
              </w:rPr>
              <w:t>4/93(Rev.1)</w:t>
            </w:r>
          </w:p>
        </w:tc>
      </w:tr>
      <w:tr w:rsidR="00732664" w:rsidRPr="00EE5FBB" w14:paraId="4EB65DE5" w14:textId="77777777" w:rsidTr="00EE5FBB">
        <w:trPr>
          <w:jc w:val="center"/>
        </w:trPr>
        <w:tc>
          <w:tcPr>
            <w:tcW w:w="1696" w:type="dxa"/>
            <w:vAlign w:val="center"/>
          </w:tcPr>
          <w:p w14:paraId="05214087" w14:textId="77777777" w:rsidR="00732664" w:rsidRPr="00EE5FBB" w:rsidRDefault="00732664" w:rsidP="00EE5FBB">
            <w:pPr>
              <w:pStyle w:val="Tabletext"/>
              <w:bidi/>
              <w:spacing w:line="260" w:lineRule="exact"/>
              <w:jc w:val="center"/>
              <w:rPr>
                <w:rFonts w:ascii="Dubai" w:hAnsi="Dubai" w:cs="Dubai"/>
                <w:position w:val="2"/>
                <w:szCs w:val="20"/>
                <w:lang w:val="en-GB"/>
              </w:rPr>
            </w:pPr>
            <w:r w:rsidRPr="00EE5FBB">
              <w:rPr>
                <w:rFonts w:ascii="Dubai" w:hAnsi="Dubai" w:cs="Dubai"/>
                <w:position w:val="2"/>
                <w:szCs w:val="20"/>
                <w:lang w:val="en-GB"/>
              </w:rPr>
              <w:t>S.1503-4</w:t>
            </w:r>
          </w:p>
        </w:tc>
        <w:tc>
          <w:tcPr>
            <w:tcW w:w="5955" w:type="dxa"/>
            <w:vAlign w:val="center"/>
          </w:tcPr>
          <w:p w14:paraId="67B5302A" w14:textId="5189254E" w:rsidR="00732664" w:rsidRPr="00EE5FBB" w:rsidRDefault="00732664" w:rsidP="00EE5FBB">
            <w:pPr>
              <w:pStyle w:val="Tabletext"/>
              <w:bidi/>
              <w:spacing w:line="260" w:lineRule="exact"/>
              <w:jc w:val="both"/>
              <w:rPr>
                <w:rFonts w:ascii="Dubai" w:hAnsi="Dubai" w:cs="Dubai"/>
                <w:position w:val="2"/>
                <w:szCs w:val="20"/>
                <w:lang w:val="en-GB"/>
              </w:rPr>
            </w:pPr>
            <w:r w:rsidRPr="00EE5FBB">
              <w:rPr>
                <w:rFonts w:ascii="Dubai" w:hAnsi="Dubai" w:cs="Dubai"/>
                <w:position w:val="2"/>
                <w:szCs w:val="20"/>
                <w:rtl/>
              </w:rPr>
              <w:t>وصف وظيفي لاستعماله في تطوير أدوات برمجية من أجل تحديد مدى توافق أنظمة</w:t>
            </w:r>
            <w:r w:rsidRPr="00EE5FBB">
              <w:rPr>
                <w:rFonts w:ascii="Dubai" w:hAnsi="Dubai" w:cs="Dubai" w:hint="cs"/>
                <w:position w:val="2"/>
                <w:szCs w:val="20"/>
                <w:rtl/>
              </w:rPr>
              <w:t xml:space="preserve"> </w:t>
            </w:r>
            <w:r w:rsidRPr="00EE5FBB">
              <w:rPr>
                <w:rFonts w:ascii="Dubai" w:hAnsi="Dubai" w:cs="Dubai"/>
                <w:position w:val="2"/>
                <w:szCs w:val="20"/>
                <w:rtl/>
              </w:rPr>
              <w:t>أو شبكات الخدمة الثابتة الساتلية غير المستقرة بالنسبة إلى الأرض</w:t>
            </w:r>
            <w:r w:rsidRPr="00EE5FBB">
              <w:rPr>
                <w:rFonts w:ascii="Dubai" w:hAnsi="Dubai" w:cs="Dubai" w:hint="cs"/>
                <w:position w:val="2"/>
                <w:szCs w:val="20"/>
                <w:rtl/>
              </w:rPr>
              <w:t xml:space="preserve"> </w:t>
            </w:r>
            <w:r w:rsidRPr="00EE5FBB">
              <w:rPr>
                <w:rFonts w:ascii="Dubai" w:hAnsi="Dubai" w:cs="Dubai"/>
                <w:position w:val="2"/>
                <w:szCs w:val="20"/>
                <w:rtl/>
              </w:rPr>
              <w:t xml:space="preserve">مع الحدود المنصوص عليها في المادة </w:t>
            </w:r>
            <w:r w:rsidRPr="00EE5FBB">
              <w:rPr>
                <w:rFonts w:ascii="Dubai" w:hAnsi="Dubai" w:cs="Dubai"/>
                <w:b/>
                <w:bCs/>
                <w:position w:val="2"/>
                <w:szCs w:val="20"/>
                <w:rtl/>
              </w:rPr>
              <w:t>22</w:t>
            </w:r>
            <w:r w:rsidRPr="00EE5FBB">
              <w:rPr>
                <w:rFonts w:ascii="Dubai" w:hAnsi="Dubai" w:cs="Dubai"/>
                <w:position w:val="2"/>
                <w:szCs w:val="20"/>
                <w:rtl/>
              </w:rPr>
              <w:t xml:space="preserve"> من لوائح الراديو</w:t>
            </w:r>
          </w:p>
        </w:tc>
        <w:tc>
          <w:tcPr>
            <w:tcW w:w="1842" w:type="dxa"/>
            <w:vAlign w:val="center"/>
          </w:tcPr>
          <w:p w14:paraId="2D05B325" w14:textId="77777777" w:rsidR="00732664" w:rsidRPr="00EE5FBB" w:rsidRDefault="00732664" w:rsidP="00EE5FBB">
            <w:pPr>
              <w:pStyle w:val="Tabletext"/>
              <w:bidi/>
              <w:spacing w:line="260" w:lineRule="exact"/>
              <w:jc w:val="center"/>
              <w:rPr>
                <w:rFonts w:ascii="Dubai" w:hAnsi="Dubai" w:cs="Dubai"/>
                <w:position w:val="2"/>
                <w:szCs w:val="20"/>
                <w:lang w:val="en-GB"/>
              </w:rPr>
            </w:pPr>
            <w:r w:rsidRPr="00EE5FBB">
              <w:rPr>
                <w:rFonts w:ascii="Dubai" w:hAnsi="Dubai" w:cs="Dubai"/>
                <w:position w:val="2"/>
                <w:szCs w:val="20"/>
                <w:lang w:val="en-GB"/>
              </w:rPr>
              <w:t>4/92(Rev.1)</w:t>
            </w:r>
          </w:p>
        </w:tc>
      </w:tr>
    </w:tbl>
    <w:p w14:paraId="454ED352" w14:textId="77777777" w:rsidR="00732664" w:rsidRDefault="00732664" w:rsidP="00732664"/>
    <w:p w14:paraId="21EA1348" w14:textId="60234D06" w:rsidR="004449A8" w:rsidRDefault="004449A8" w:rsidP="004449A8">
      <w:pPr>
        <w:pStyle w:val="AnnexNotitle"/>
      </w:pPr>
      <w:r w:rsidRPr="0088113C">
        <w:rPr>
          <w:rFonts w:hint="cs"/>
          <w:rtl/>
        </w:rPr>
        <w:t xml:space="preserve">الملحق </w:t>
      </w:r>
      <w:r>
        <w:rPr>
          <w:rFonts w:hint="cs"/>
          <w:rtl/>
          <w:lang w:bidi="ar-SA"/>
        </w:rPr>
        <w:t>2</w:t>
      </w:r>
      <w:r>
        <w:rPr>
          <w:rtl/>
          <w:lang w:bidi="ar-SA"/>
        </w:rPr>
        <w:br/>
      </w:r>
      <w:r>
        <w:rPr>
          <w:rtl/>
          <w:lang w:bidi="ar-SA"/>
        </w:rPr>
        <w:br/>
      </w:r>
      <w:r>
        <w:rPr>
          <w:rFonts w:hint="cs"/>
          <w:rtl/>
        </w:rPr>
        <w:t>التوصية</w:t>
      </w:r>
      <w:r w:rsidRPr="00BB2E1E">
        <w:rPr>
          <w:rFonts w:hint="cs"/>
          <w:rtl/>
        </w:rPr>
        <w:t xml:space="preserve"> </w:t>
      </w:r>
      <w:r>
        <w:rPr>
          <w:rFonts w:hint="cs"/>
          <w:rtl/>
        </w:rPr>
        <w:t>الملغاة</w:t>
      </w:r>
      <w:r w:rsidRPr="00BB2E1E">
        <w:rPr>
          <w:rFonts w:hint="cs"/>
          <w:rtl/>
        </w:rPr>
        <w:t xml:space="preserve"> لقطاع الاتصالات الراديوية</w:t>
      </w:r>
    </w:p>
    <w:tbl>
      <w:tblPr>
        <w:bidiVisual/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188"/>
      </w:tblGrid>
      <w:tr w:rsidR="00732664" w:rsidRPr="00732664" w14:paraId="12F5B603" w14:textId="77777777" w:rsidTr="00732664">
        <w:trPr>
          <w:jc w:val="center"/>
        </w:trPr>
        <w:tc>
          <w:tcPr>
            <w:tcW w:w="2263" w:type="dxa"/>
            <w:vAlign w:val="center"/>
          </w:tcPr>
          <w:p w14:paraId="196EDB5B" w14:textId="60E260A3" w:rsidR="00732664" w:rsidRPr="00732664" w:rsidRDefault="00732664" w:rsidP="00EE5FBB">
            <w:pPr>
              <w:pStyle w:val="Tablehead0"/>
              <w:bidi/>
              <w:spacing w:before="40" w:after="40" w:line="260" w:lineRule="exact"/>
              <w:rPr>
                <w:rFonts w:ascii="Dubai" w:hAnsi="Dubai" w:cs="Dubai"/>
                <w:szCs w:val="20"/>
                <w:lang w:val="en-GB"/>
              </w:rPr>
            </w:pPr>
            <w:r w:rsidRPr="00732664">
              <w:rPr>
                <w:rFonts w:ascii="Dubai" w:hAnsi="Dubai" w:cs="Dubai"/>
                <w:b w:val="0"/>
                <w:bCs/>
                <w:szCs w:val="20"/>
                <w:rtl/>
                <w:lang w:val="en-GB"/>
              </w:rPr>
              <w:t>التوصية</w:t>
            </w:r>
            <w:r w:rsidRPr="00732664">
              <w:rPr>
                <w:rFonts w:ascii="Dubai" w:hAnsi="Dubai" w:cs="Dubai"/>
                <w:szCs w:val="20"/>
                <w:lang w:val="en-GB"/>
              </w:rPr>
              <w:br/>
              <w:t>ITU-R</w:t>
            </w:r>
          </w:p>
        </w:tc>
        <w:tc>
          <w:tcPr>
            <w:tcW w:w="7188" w:type="dxa"/>
            <w:vAlign w:val="center"/>
          </w:tcPr>
          <w:p w14:paraId="4CE1F15F" w14:textId="7520F752" w:rsidR="00732664" w:rsidRPr="00732664" w:rsidRDefault="00732664" w:rsidP="00EE5FBB">
            <w:pPr>
              <w:pStyle w:val="Tablehead0"/>
              <w:bidi/>
              <w:spacing w:before="40" w:after="40" w:line="260" w:lineRule="exact"/>
              <w:rPr>
                <w:rFonts w:ascii="Dubai" w:hAnsi="Dubai" w:cs="Dubai"/>
                <w:szCs w:val="20"/>
                <w:lang w:val="en-GB"/>
              </w:rPr>
            </w:pPr>
            <w:r w:rsidRPr="00732664">
              <w:rPr>
                <w:rFonts w:ascii="Dubai" w:hAnsi="Dubai" w:cs="Dubai"/>
                <w:bCs/>
                <w:szCs w:val="20"/>
                <w:rtl/>
                <w:lang w:val="en-GB"/>
              </w:rPr>
              <w:t>العنوان</w:t>
            </w:r>
          </w:p>
        </w:tc>
      </w:tr>
      <w:tr w:rsidR="00732664" w:rsidRPr="00732664" w14:paraId="2CFFBF00" w14:textId="77777777" w:rsidTr="00732664">
        <w:trPr>
          <w:jc w:val="center"/>
        </w:trPr>
        <w:tc>
          <w:tcPr>
            <w:tcW w:w="2263" w:type="dxa"/>
          </w:tcPr>
          <w:p w14:paraId="77544529" w14:textId="77777777" w:rsidR="00732664" w:rsidRPr="00732664" w:rsidRDefault="00732664" w:rsidP="00EE5FBB">
            <w:pPr>
              <w:pStyle w:val="Tabletext"/>
              <w:bidi/>
              <w:spacing w:line="260" w:lineRule="exact"/>
              <w:jc w:val="center"/>
              <w:rPr>
                <w:rFonts w:ascii="Dubai" w:hAnsi="Dubai" w:cs="Dubai"/>
                <w:szCs w:val="20"/>
                <w:highlight w:val="yellow"/>
                <w:lang w:val="en-GB"/>
              </w:rPr>
            </w:pPr>
            <w:r w:rsidRPr="00732664">
              <w:rPr>
                <w:rFonts w:ascii="Dubai" w:hAnsi="Dubai" w:cs="Dubai"/>
                <w:szCs w:val="20"/>
                <w:lang w:val="en-GB"/>
              </w:rPr>
              <w:t>S.354</w:t>
            </w:r>
          </w:p>
        </w:tc>
        <w:tc>
          <w:tcPr>
            <w:tcW w:w="7188" w:type="dxa"/>
          </w:tcPr>
          <w:p w14:paraId="76EE3F4F" w14:textId="7C0B5C1C" w:rsidR="00732664" w:rsidRPr="00732664" w:rsidRDefault="00732664" w:rsidP="00EE5FBB">
            <w:pPr>
              <w:pStyle w:val="Tabletext"/>
              <w:bidi/>
              <w:spacing w:line="260" w:lineRule="exact"/>
              <w:jc w:val="both"/>
              <w:rPr>
                <w:rFonts w:ascii="Dubai" w:hAnsi="Dubai" w:cs="Dubai"/>
                <w:szCs w:val="20"/>
                <w:highlight w:val="yellow"/>
                <w:lang w:val="en-GB"/>
              </w:rPr>
            </w:pPr>
            <w:r w:rsidRPr="00732664">
              <w:rPr>
                <w:rFonts w:ascii="Dubai" w:hAnsi="Dubai" w:cs="Dubai"/>
                <w:szCs w:val="20"/>
                <w:rtl/>
                <w:lang w:val="en-GB" w:eastAsia="ja-JP"/>
              </w:rPr>
              <w:t xml:space="preserve">عرض النطاق </w:t>
            </w:r>
            <w:proofErr w:type="spellStart"/>
            <w:r w:rsidRPr="00732664">
              <w:rPr>
                <w:rFonts w:ascii="Dubai" w:hAnsi="Dubai" w:cs="Dubai"/>
                <w:szCs w:val="20"/>
                <w:rtl/>
                <w:lang w:val="en-GB" w:eastAsia="ja-JP"/>
              </w:rPr>
              <w:t>الفيديوي</w:t>
            </w:r>
            <w:proofErr w:type="spellEnd"/>
            <w:r w:rsidRPr="00732664">
              <w:rPr>
                <w:rFonts w:ascii="Dubai" w:hAnsi="Dubai" w:cs="Dubai"/>
                <w:szCs w:val="20"/>
                <w:rtl/>
                <w:lang w:val="en-GB" w:eastAsia="ja-JP"/>
              </w:rPr>
              <w:t xml:space="preserve"> وسوية الضوضاء المسموح بها في الدارة المرجعية الافتراضية الخاصة بالخدمة الثابتة الساتلية</w:t>
            </w:r>
          </w:p>
        </w:tc>
      </w:tr>
    </w:tbl>
    <w:p w14:paraId="1742D9A3" w14:textId="54CAF8C1" w:rsidR="003B5733" w:rsidRDefault="004449A8" w:rsidP="004449A8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DE5D" w14:textId="77777777" w:rsidR="001674CD" w:rsidRDefault="001674CD" w:rsidP="006C3242">
      <w:pPr>
        <w:spacing w:before="0" w:line="240" w:lineRule="auto"/>
      </w:pPr>
      <w:r>
        <w:separator/>
      </w:r>
    </w:p>
  </w:endnote>
  <w:endnote w:type="continuationSeparator" w:id="0">
    <w:p w14:paraId="74DFD202" w14:textId="77777777" w:rsidR="001674CD" w:rsidRDefault="001674C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C2E0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0067" w14:textId="77777777" w:rsidR="001674CD" w:rsidRDefault="001674CD" w:rsidP="006C3242">
      <w:pPr>
        <w:spacing w:before="0" w:line="240" w:lineRule="auto"/>
      </w:pPr>
      <w:r>
        <w:separator/>
      </w:r>
    </w:p>
  </w:footnote>
  <w:footnote w:type="continuationSeparator" w:id="0">
    <w:p w14:paraId="0A58484A" w14:textId="77777777" w:rsidR="001674CD" w:rsidRDefault="001674C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0324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5FB0968D" w14:textId="77777777" w:rsidTr="004C39C6">
      <w:tc>
        <w:tcPr>
          <w:tcW w:w="4814" w:type="dxa"/>
        </w:tcPr>
        <w:p w14:paraId="5B367F82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1DD2715" wp14:editId="0C312A79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54C68A33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55370F44" wp14:editId="3C517D18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8C78C4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CD"/>
    <w:rsid w:val="0006468A"/>
    <w:rsid w:val="00090574"/>
    <w:rsid w:val="000C1C0E"/>
    <w:rsid w:val="000C548A"/>
    <w:rsid w:val="000F7BBE"/>
    <w:rsid w:val="00130E76"/>
    <w:rsid w:val="00150DB9"/>
    <w:rsid w:val="001674CD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704CA"/>
    <w:rsid w:val="00383829"/>
    <w:rsid w:val="003B5733"/>
    <w:rsid w:val="003F4B29"/>
    <w:rsid w:val="004111FB"/>
    <w:rsid w:val="0042686F"/>
    <w:rsid w:val="004317D8"/>
    <w:rsid w:val="00434183"/>
    <w:rsid w:val="00443869"/>
    <w:rsid w:val="004449A8"/>
    <w:rsid w:val="00447F32"/>
    <w:rsid w:val="004563AF"/>
    <w:rsid w:val="004C39C6"/>
    <w:rsid w:val="004E11DC"/>
    <w:rsid w:val="00525DDD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32664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4A32"/>
    <w:rsid w:val="008A7F84"/>
    <w:rsid w:val="008E0031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1143A"/>
    <w:rsid w:val="00B64B47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EE5FBB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E42AB"/>
  <w15:chartTrackingRefBased/>
  <w15:docId w15:val="{58C5B189-AFE0-4DA5-BD12-C4837E6C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AnnexNotitle">
    <w:name w:val="Annex_No &amp; title"/>
    <w:basedOn w:val="Annextitle"/>
    <w:qFormat/>
    <w:rsid w:val="004449A8"/>
  </w:style>
  <w:style w:type="paragraph" w:customStyle="1" w:styleId="Tablehead0">
    <w:name w:val="Table_head"/>
    <w:basedOn w:val="Normal"/>
    <w:next w:val="Tabletext"/>
    <w:link w:val="TableheadChar"/>
    <w:rsid w:val="00732664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Calibri" w:eastAsia="Times New Roman" w:hAnsi="Calibri" w:cs="Calibri"/>
      <w:b/>
      <w:sz w:val="20"/>
      <w:lang w:eastAsia="en-US"/>
    </w:rPr>
  </w:style>
  <w:style w:type="paragraph" w:customStyle="1" w:styleId="Tabletext">
    <w:name w:val="Table_text"/>
    <w:basedOn w:val="Normal"/>
    <w:link w:val="TabletextChar"/>
    <w:rsid w:val="00732664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Calibri"/>
      <w:sz w:val="20"/>
      <w:lang w:eastAsia="en-US"/>
    </w:rPr>
  </w:style>
  <w:style w:type="character" w:customStyle="1" w:styleId="TabletextChar">
    <w:name w:val="Table_text Char"/>
    <w:link w:val="Tabletext"/>
    <w:locked/>
    <w:rsid w:val="00732664"/>
    <w:rPr>
      <w:rFonts w:ascii="Calibri" w:eastAsia="Times New Roman" w:hAnsi="Calibri" w:cs="Calibri"/>
      <w:sz w:val="20"/>
      <w:lang w:eastAsia="en-US"/>
    </w:rPr>
  </w:style>
  <w:style w:type="character" w:customStyle="1" w:styleId="TableheadChar">
    <w:name w:val="Table_head Char"/>
    <w:basedOn w:val="DefaultParagraphFont"/>
    <w:link w:val="Tablehead0"/>
    <w:locked/>
    <w:rsid w:val="00732664"/>
    <w:rPr>
      <w:rFonts w:ascii="Calibri" w:eastAsia="Times New Roman" w:hAnsi="Calibri" w:cs="Calibri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9/e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ITU-R%20(BR)\PA_BR_CR_CA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485E7407214714BCD92A13BC0F9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3C415-7905-4FB4-AB5C-4192A0FE4C68}"/>
      </w:docPartPr>
      <w:docPartBody>
        <w:p w:rsidR="00E91DD2" w:rsidRDefault="00E91DD2" w:rsidP="00E91DD2">
          <w:pPr>
            <w:pStyle w:val="A1485E7407214714BCD92A13BC0F9102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2EE57483F4F079FEE8987B895C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3D2E7-FFF1-4876-9F58-D29F767A07D3}"/>
      </w:docPartPr>
      <w:docPartBody>
        <w:p w:rsidR="00E91DD2" w:rsidRDefault="00E91DD2" w:rsidP="00E91DD2">
          <w:pPr>
            <w:pStyle w:val="B0E2EE57483F4F079FEE8987B895C0FD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D2"/>
    <w:rsid w:val="00E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DD2"/>
    <w:rPr>
      <w:color w:val="808080"/>
    </w:rPr>
  </w:style>
  <w:style w:type="paragraph" w:customStyle="1" w:styleId="A1485E7407214714BCD92A13BC0F9102">
    <w:name w:val="A1485E7407214714BCD92A13BC0F9102"/>
    <w:rsid w:val="00E91DD2"/>
  </w:style>
  <w:style w:type="paragraph" w:customStyle="1" w:styleId="B0E2EE57483F4F079FEE8987B895C0FD">
    <w:name w:val="B0E2EE57483F4F079FEE8987B895C0FD"/>
    <w:rsid w:val="00E91D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57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Panoussopoulos, Sonia</cp:lastModifiedBy>
  <cp:revision>5</cp:revision>
  <dcterms:created xsi:type="dcterms:W3CDTF">2023-09-25T07:41:00Z</dcterms:created>
  <dcterms:modified xsi:type="dcterms:W3CDTF">2023-09-26T08:25:00Z</dcterms:modified>
</cp:coreProperties>
</file>