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360285" w14:paraId="7C037C9F" w14:textId="77777777" w:rsidTr="00306452">
        <w:trPr>
          <w:jc w:val="center"/>
        </w:trPr>
        <w:tc>
          <w:tcPr>
            <w:tcW w:w="9889" w:type="dxa"/>
            <w:gridSpan w:val="3"/>
            <w:shd w:val="clear" w:color="auto" w:fill="auto"/>
          </w:tcPr>
          <w:p w14:paraId="17BEE82F" w14:textId="77777777" w:rsidR="00E53DCE" w:rsidRPr="00360285" w:rsidRDefault="00A96D3A" w:rsidP="006160CB">
            <w:pPr>
              <w:spacing w:before="0"/>
              <w:jc w:val="left"/>
              <w:rPr>
                <w:rFonts w:cstheme="minorHAnsi"/>
                <w:b/>
                <w:bCs/>
                <w:color w:val="808080"/>
                <w:sz w:val="28"/>
                <w:szCs w:val="28"/>
                <w:lang w:val="es-ES_tradnl"/>
              </w:rPr>
            </w:pPr>
            <w:r w:rsidRPr="00360285">
              <w:rPr>
                <w:rFonts w:cstheme="minorHAnsi"/>
                <w:b/>
                <w:bCs/>
                <w:color w:val="808080"/>
                <w:sz w:val="28"/>
                <w:szCs w:val="28"/>
                <w:lang w:val="es-ES_tradnl"/>
              </w:rPr>
              <w:t>Oficina de Radiocomunicaciones (BR)</w:t>
            </w:r>
          </w:p>
          <w:p w14:paraId="11DE03C8" w14:textId="77777777" w:rsidR="00E53DCE" w:rsidRPr="00360285" w:rsidRDefault="00E53DCE" w:rsidP="006160CB">
            <w:pPr>
              <w:spacing w:before="0"/>
              <w:jc w:val="left"/>
              <w:rPr>
                <w:rFonts w:cstheme="minorHAnsi"/>
                <w:b/>
                <w:bCs/>
                <w:color w:val="808080"/>
                <w:sz w:val="28"/>
                <w:szCs w:val="28"/>
                <w:lang w:val="es-ES_tradnl"/>
              </w:rPr>
            </w:pPr>
          </w:p>
          <w:p w14:paraId="0D43C5AF" w14:textId="77777777" w:rsidR="00E53DCE" w:rsidRPr="00360285" w:rsidRDefault="00E53DCE" w:rsidP="006160CB">
            <w:pPr>
              <w:spacing w:before="0"/>
              <w:jc w:val="left"/>
              <w:rPr>
                <w:rFonts w:cs="Times New Roman Bold"/>
                <w:b/>
                <w:bCs/>
                <w:color w:val="808080"/>
                <w:sz w:val="28"/>
                <w:szCs w:val="28"/>
                <w:lang w:val="es-ES_tradnl"/>
              </w:rPr>
            </w:pPr>
          </w:p>
        </w:tc>
      </w:tr>
      <w:tr w:rsidR="00E53DCE" w:rsidRPr="00360285" w14:paraId="375BE031" w14:textId="77777777" w:rsidTr="00306452">
        <w:trPr>
          <w:jc w:val="center"/>
        </w:trPr>
        <w:tc>
          <w:tcPr>
            <w:tcW w:w="7054" w:type="dxa"/>
            <w:gridSpan w:val="2"/>
            <w:shd w:val="clear" w:color="auto" w:fill="auto"/>
          </w:tcPr>
          <w:p w14:paraId="2CD0ECDA" w14:textId="2646D2A2" w:rsidR="00E53DCE" w:rsidRPr="00360285" w:rsidRDefault="00A96D3A" w:rsidP="006160CB">
            <w:pPr>
              <w:spacing w:before="0"/>
              <w:jc w:val="left"/>
              <w:rPr>
                <w:szCs w:val="24"/>
                <w:lang w:val="es-ES_tradnl"/>
              </w:rPr>
            </w:pPr>
            <w:r w:rsidRPr="00360285">
              <w:rPr>
                <w:szCs w:val="24"/>
                <w:lang w:val="es-ES_tradnl"/>
              </w:rPr>
              <w:t>Circular Administrativa</w:t>
            </w:r>
          </w:p>
          <w:p w14:paraId="661B423B" w14:textId="4973C63F" w:rsidR="00E53DCE" w:rsidRPr="00360285" w:rsidRDefault="001B3D4D" w:rsidP="006160CB">
            <w:pPr>
              <w:spacing w:before="0"/>
              <w:jc w:val="left"/>
              <w:rPr>
                <w:b/>
                <w:bCs/>
                <w:szCs w:val="24"/>
                <w:lang w:val="es-ES_tradnl"/>
              </w:rPr>
            </w:pPr>
            <w:r w:rsidRPr="00360285">
              <w:rPr>
                <w:b/>
                <w:bCs/>
                <w:szCs w:val="24"/>
                <w:lang w:val="es-ES_tradnl"/>
              </w:rPr>
              <w:t>CACE/</w:t>
            </w:r>
            <w:r w:rsidR="001A7881" w:rsidRPr="00360285">
              <w:rPr>
                <w:b/>
                <w:bCs/>
                <w:szCs w:val="24"/>
                <w:lang w:val="es-ES_tradnl"/>
              </w:rPr>
              <w:t>1069</w:t>
            </w:r>
          </w:p>
        </w:tc>
        <w:tc>
          <w:tcPr>
            <w:tcW w:w="2835" w:type="dxa"/>
            <w:shd w:val="clear" w:color="auto" w:fill="auto"/>
          </w:tcPr>
          <w:p w14:paraId="3EC8C5DF" w14:textId="03E69F68" w:rsidR="00E53DCE" w:rsidRPr="00360285" w:rsidRDefault="001A7881" w:rsidP="006160CB">
            <w:pPr>
              <w:spacing w:before="0"/>
              <w:jc w:val="right"/>
              <w:rPr>
                <w:szCs w:val="24"/>
                <w:lang w:val="es-ES_tradnl"/>
              </w:rPr>
            </w:pPr>
            <w:r w:rsidRPr="00360285">
              <w:rPr>
                <w:bCs/>
                <w:szCs w:val="24"/>
                <w:lang w:val="es-ES_tradnl"/>
              </w:rPr>
              <w:t>20 de julio</w:t>
            </w:r>
            <w:r w:rsidR="00A96D3A" w:rsidRPr="00360285">
              <w:rPr>
                <w:bCs/>
                <w:szCs w:val="24"/>
                <w:lang w:val="es-ES_tradnl"/>
              </w:rPr>
              <w:t xml:space="preserve"> de 20</w:t>
            </w:r>
            <w:r w:rsidRPr="00360285">
              <w:rPr>
                <w:bCs/>
                <w:szCs w:val="24"/>
                <w:lang w:val="es-ES_tradnl"/>
              </w:rPr>
              <w:t>2</w:t>
            </w:r>
            <w:r w:rsidR="00A96D3A" w:rsidRPr="00360285">
              <w:rPr>
                <w:bCs/>
                <w:szCs w:val="24"/>
                <w:lang w:val="es-ES_tradnl"/>
              </w:rPr>
              <w:t>3</w:t>
            </w:r>
          </w:p>
        </w:tc>
      </w:tr>
      <w:tr w:rsidR="00E53DCE" w:rsidRPr="00360285" w14:paraId="5B6C7BF3" w14:textId="77777777" w:rsidTr="00306452">
        <w:trPr>
          <w:jc w:val="center"/>
        </w:trPr>
        <w:tc>
          <w:tcPr>
            <w:tcW w:w="9889" w:type="dxa"/>
            <w:gridSpan w:val="3"/>
            <w:shd w:val="clear" w:color="auto" w:fill="auto"/>
          </w:tcPr>
          <w:p w14:paraId="5AB48C05" w14:textId="77777777" w:rsidR="00E53DCE" w:rsidRPr="00360285" w:rsidRDefault="00E53DCE" w:rsidP="006160CB">
            <w:pPr>
              <w:spacing w:before="0"/>
              <w:jc w:val="left"/>
              <w:rPr>
                <w:rFonts w:cs="Arial"/>
                <w:szCs w:val="24"/>
                <w:lang w:val="es-ES_tradnl"/>
              </w:rPr>
            </w:pPr>
          </w:p>
        </w:tc>
      </w:tr>
      <w:tr w:rsidR="00E53DCE" w:rsidRPr="00360285" w14:paraId="704CB498" w14:textId="77777777" w:rsidTr="00306452">
        <w:trPr>
          <w:jc w:val="center"/>
        </w:trPr>
        <w:tc>
          <w:tcPr>
            <w:tcW w:w="9889" w:type="dxa"/>
            <w:gridSpan w:val="3"/>
            <w:shd w:val="clear" w:color="auto" w:fill="auto"/>
          </w:tcPr>
          <w:p w14:paraId="6BDBF4D6" w14:textId="77777777" w:rsidR="00E53DCE" w:rsidRPr="00360285" w:rsidRDefault="00E53DCE" w:rsidP="006160CB">
            <w:pPr>
              <w:spacing w:before="0"/>
              <w:jc w:val="left"/>
              <w:rPr>
                <w:szCs w:val="24"/>
                <w:lang w:val="es-ES_tradnl"/>
              </w:rPr>
            </w:pPr>
          </w:p>
        </w:tc>
      </w:tr>
      <w:tr w:rsidR="00E53DCE" w:rsidRPr="00986F9C" w14:paraId="77337F6F" w14:textId="77777777" w:rsidTr="00306452">
        <w:trPr>
          <w:jc w:val="center"/>
        </w:trPr>
        <w:tc>
          <w:tcPr>
            <w:tcW w:w="9889" w:type="dxa"/>
            <w:gridSpan w:val="3"/>
            <w:shd w:val="clear" w:color="auto" w:fill="auto"/>
          </w:tcPr>
          <w:p w14:paraId="5D007FCB" w14:textId="4AC444C0" w:rsidR="00E53DCE" w:rsidRPr="00360285" w:rsidRDefault="001A7881" w:rsidP="006160CB">
            <w:pPr>
              <w:spacing w:before="0"/>
              <w:jc w:val="left"/>
              <w:rPr>
                <w:b/>
                <w:bCs/>
                <w:szCs w:val="24"/>
                <w:lang w:val="es-ES_tradnl"/>
              </w:rPr>
            </w:pPr>
            <w:r w:rsidRPr="00360285">
              <w:rPr>
                <w:b/>
                <w:szCs w:val="24"/>
                <w:lang w:val="es-ES_tradnl"/>
              </w:rPr>
              <w:t xml:space="preserve">A las Administraciones de los Estados Miembros de la UIT, a los Miembros del Sector de Radiocomunicaciones, a los Asociados del UIT-R que participan en los trabajos de la </w:t>
            </w:r>
            <w:r w:rsidR="00986F9C">
              <w:rPr>
                <w:b/>
                <w:szCs w:val="24"/>
                <w:lang w:val="es-ES_tradnl"/>
              </w:rPr>
              <w:br/>
            </w:r>
            <w:r w:rsidRPr="00360285">
              <w:rPr>
                <w:b/>
                <w:szCs w:val="24"/>
                <w:lang w:val="es-ES_tradnl"/>
              </w:rPr>
              <w:t>Comisión de Estudio 4 de Radiocomunicaciones y a las Instituciones Académicas de la UIT</w:t>
            </w:r>
          </w:p>
        </w:tc>
      </w:tr>
      <w:tr w:rsidR="00E53DCE" w:rsidRPr="00986F9C" w14:paraId="39369160" w14:textId="77777777" w:rsidTr="00306452">
        <w:trPr>
          <w:jc w:val="center"/>
        </w:trPr>
        <w:tc>
          <w:tcPr>
            <w:tcW w:w="9889" w:type="dxa"/>
            <w:gridSpan w:val="3"/>
            <w:shd w:val="clear" w:color="auto" w:fill="auto"/>
          </w:tcPr>
          <w:p w14:paraId="0DACCCB9" w14:textId="77777777" w:rsidR="00E53DCE" w:rsidRPr="00360285" w:rsidRDefault="00E53DCE" w:rsidP="006160CB">
            <w:pPr>
              <w:spacing w:before="0"/>
              <w:jc w:val="left"/>
              <w:rPr>
                <w:szCs w:val="24"/>
                <w:lang w:val="es-ES_tradnl"/>
              </w:rPr>
            </w:pPr>
          </w:p>
        </w:tc>
      </w:tr>
      <w:tr w:rsidR="00E53DCE" w:rsidRPr="00986F9C" w14:paraId="62080C97" w14:textId="77777777" w:rsidTr="00306452">
        <w:trPr>
          <w:jc w:val="center"/>
        </w:trPr>
        <w:tc>
          <w:tcPr>
            <w:tcW w:w="9889" w:type="dxa"/>
            <w:gridSpan w:val="3"/>
            <w:shd w:val="clear" w:color="auto" w:fill="auto"/>
          </w:tcPr>
          <w:p w14:paraId="7D73E43E" w14:textId="77777777" w:rsidR="00E53DCE" w:rsidRPr="00360285" w:rsidRDefault="00E53DCE" w:rsidP="006160CB">
            <w:pPr>
              <w:spacing w:before="0"/>
              <w:jc w:val="left"/>
              <w:rPr>
                <w:szCs w:val="24"/>
                <w:lang w:val="es-ES_tradnl"/>
              </w:rPr>
            </w:pPr>
          </w:p>
        </w:tc>
      </w:tr>
      <w:tr w:rsidR="00E53DCE" w:rsidRPr="00986F9C" w14:paraId="73C7BE0D" w14:textId="77777777" w:rsidTr="00306452">
        <w:trPr>
          <w:jc w:val="center"/>
        </w:trPr>
        <w:tc>
          <w:tcPr>
            <w:tcW w:w="1526" w:type="dxa"/>
            <w:shd w:val="clear" w:color="auto" w:fill="auto"/>
          </w:tcPr>
          <w:p w14:paraId="69D7F69D" w14:textId="77777777" w:rsidR="00E53DCE" w:rsidRPr="00360285" w:rsidRDefault="00311970" w:rsidP="006160CB">
            <w:pPr>
              <w:tabs>
                <w:tab w:val="clear" w:pos="1588"/>
                <w:tab w:val="left" w:pos="1560"/>
              </w:tabs>
              <w:spacing w:before="0"/>
              <w:jc w:val="left"/>
              <w:rPr>
                <w:szCs w:val="24"/>
                <w:lang w:val="es-ES_tradnl"/>
              </w:rPr>
            </w:pPr>
            <w:r w:rsidRPr="00360285">
              <w:rPr>
                <w:szCs w:val="24"/>
                <w:lang w:val="es-ES_tradnl"/>
              </w:rPr>
              <w:t>Asunto:</w:t>
            </w:r>
          </w:p>
        </w:tc>
        <w:tc>
          <w:tcPr>
            <w:tcW w:w="8363" w:type="dxa"/>
            <w:gridSpan w:val="2"/>
            <w:vMerge w:val="restart"/>
            <w:shd w:val="clear" w:color="auto" w:fill="auto"/>
          </w:tcPr>
          <w:p w14:paraId="70D92C25" w14:textId="1733DD99" w:rsidR="001A7881" w:rsidRPr="00360285" w:rsidRDefault="001A7881" w:rsidP="001A7881">
            <w:pPr>
              <w:spacing w:before="0"/>
              <w:jc w:val="left"/>
              <w:rPr>
                <w:b/>
                <w:bCs/>
                <w:lang w:val="es-ES_tradnl"/>
              </w:rPr>
            </w:pPr>
            <w:r w:rsidRPr="00360285">
              <w:rPr>
                <w:b/>
                <w:bCs/>
                <w:lang w:val="es-ES_tradnl"/>
              </w:rPr>
              <w:t>Comisión de Estudio de Radiocomunicaciones</w:t>
            </w:r>
            <w:r w:rsidRPr="00360285">
              <w:rPr>
                <w:lang w:val="es-ES_tradnl"/>
              </w:rPr>
              <w:t xml:space="preserve"> </w:t>
            </w:r>
            <w:r w:rsidRPr="00360285">
              <w:rPr>
                <w:b/>
                <w:bCs/>
                <w:lang w:val="es-ES_tradnl"/>
              </w:rPr>
              <w:t>4 (</w:t>
            </w:r>
            <w:r w:rsidR="00986F9C">
              <w:rPr>
                <w:b/>
                <w:bCs/>
                <w:lang w:val="es-ES_tradnl"/>
              </w:rPr>
              <w:t>Servicios por satélite</w:t>
            </w:r>
            <w:r w:rsidRPr="00360285">
              <w:rPr>
                <w:b/>
                <w:bCs/>
                <w:lang w:val="es-ES_tradnl"/>
              </w:rPr>
              <w:t>)</w:t>
            </w:r>
          </w:p>
          <w:p w14:paraId="567F882B" w14:textId="08F7F5FA" w:rsidR="001A7881" w:rsidRPr="00360285" w:rsidRDefault="001A7881" w:rsidP="001A7881">
            <w:pPr>
              <w:spacing w:before="120"/>
              <w:ind w:left="794" w:hanging="794"/>
              <w:jc w:val="left"/>
              <w:rPr>
                <w:rFonts w:asciiTheme="minorHAnsi" w:hAnsiTheme="minorHAnsi" w:cstheme="minorHAnsi"/>
                <w:b/>
                <w:bCs/>
                <w:szCs w:val="24"/>
                <w:lang w:val="es-ES_tradnl"/>
              </w:rPr>
            </w:pPr>
            <w:r w:rsidRPr="00360285">
              <w:rPr>
                <w:b/>
                <w:bCs/>
                <w:lang w:val="es-ES_tradnl"/>
              </w:rPr>
              <w:t>–</w:t>
            </w:r>
            <w:r w:rsidRPr="00360285">
              <w:rPr>
                <w:lang w:val="es-ES_tradnl"/>
              </w:rPr>
              <w:tab/>
            </w:r>
            <w:r w:rsidRPr="00360285">
              <w:rPr>
                <w:b/>
                <w:bCs/>
                <w:lang w:val="es-ES_tradnl"/>
              </w:rPr>
              <w:t>Propuesta de adopción de 2 proyectos de nueva Recomendación UIT-R y 1 proyecto de Recomendación UIT-R revisada y su aprobación simultánea por correspondencia de conformidad con el § A2.6.2.4 de la Resolución UIT-R 1-8 (Procedimiento para la adopción y aprobación simultáneas por correspondencia)</w:t>
            </w:r>
          </w:p>
          <w:p w14:paraId="1D1CC53F" w14:textId="7597B5DB" w:rsidR="00E53DCE" w:rsidRPr="00360285" w:rsidRDefault="001A7881" w:rsidP="00986F9C">
            <w:pPr>
              <w:tabs>
                <w:tab w:val="clear" w:pos="1588"/>
                <w:tab w:val="left" w:pos="1560"/>
              </w:tabs>
              <w:spacing w:before="120"/>
              <w:rPr>
                <w:b/>
                <w:bCs/>
                <w:szCs w:val="24"/>
                <w:lang w:val="es-ES_tradnl"/>
              </w:rPr>
            </w:pPr>
            <w:r w:rsidRPr="00360285">
              <w:rPr>
                <w:b/>
                <w:bCs/>
                <w:lang w:val="es-ES_tradnl"/>
              </w:rPr>
              <w:t>–</w:t>
            </w:r>
            <w:r w:rsidRPr="00360285">
              <w:rPr>
                <w:lang w:val="es-ES_tradnl"/>
              </w:rPr>
              <w:tab/>
            </w:r>
            <w:r w:rsidRPr="00360285">
              <w:rPr>
                <w:b/>
                <w:bCs/>
                <w:lang w:val="es-ES_tradnl"/>
              </w:rPr>
              <w:t>Propuesta de supresión de 1 Recomendación UIT-R</w:t>
            </w:r>
          </w:p>
        </w:tc>
      </w:tr>
      <w:tr w:rsidR="00E53DCE" w:rsidRPr="00986F9C" w14:paraId="750585AD" w14:textId="77777777" w:rsidTr="00306452">
        <w:trPr>
          <w:jc w:val="center"/>
        </w:trPr>
        <w:tc>
          <w:tcPr>
            <w:tcW w:w="1526" w:type="dxa"/>
            <w:shd w:val="clear" w:color="auto" w:fill="auto"/>
          </w:tcPr>
          <w:p w14:paraId="50D2F374" w14:textId="77777777" w:rsidR="00E53DCE" w:rsidRPr="0036028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7D2975C" w14:textId="77777777" w:rsidR="00E53DCE" w:rsidRPr="00360285" w:rsidRDefault="00E53DCE" w:rsidP="006160CB">
            <w:pPr>
              <w:tabs>
                <w:tab w:val="clear" w:pos="1588"/>
                <w:tab w:val="left" w:pos="1560"/>
              </w:tabs>
              <w:spacing w:before="0"/>
              <w:rPr>
                <w:b/>
                <w:bCs/>
                <w:szCs w:val="24"/>
                <w:lang w:val="es-ES_tradnl"/>
              </w:rPr>
            </w:pPr>
          </w:p>
        </w:tc>
      </w:tr>
      <w:tr w:rsidR="00E53DCE" w:rsidRPr="00986F9C" w14:paraId="65ABEEED" w14:textId="77777777" w:rsidTr="00306452">
        <w:trPr>
          <w:jc w:val="center"/>
        </w:trPr>
        <w:tc>
          <w:tcPr>
            <w:tcW w:w="1526" w:type="dxa"/>
            <w:shd w:val="clear" w:color="auto" w:fill="auto"/>
          </w:tcPr>
          <w:p w14:paraId="6FE63535" w14:textId="77777777" w:rsidR="00E53DCE" w:rsidRPr="0036028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D9419BA" w14:textId="77777777" w:rsidR="00E53DCE" w:rsidRPr="00360285" w:rsidRDefault="00E53DCE" w:rsidP="006160CB">
            <w:pPr>
              <w:tabs>
                <w:tab w:val="clear" w:pos="1588"/>
                <w:tab w:val="left" w:pos="1560"/>
              </w:tabs>
              <w:spacing w:before="0"/>
              <w:rPr>
                <w:b/>
                <w:bCs/>
                <w:szCs w:val="24"/>
                <w:lang w:val="es-ES_tradnl"/>
              </w:rPr>
            </w:pPr>
          </w:p>
        </w:tc>
      </w:tr>
      <w:tr w:rsidR="00E53DCE" w:rsidRPr="00986F9C" w14:paraId="01D686BD" w14:textId="77777777" w:rsidTr="00306452">
        <w:trPr>
          <w:jc w:val="center"/>
        </w:trPr>
        <w:tc>
          <w:tcPr>
            <w:tcW w:w="9889" w:type="dxa"/>
            <w:gridSpan w:val="3"/>
            <w:shd w:val="clear" w:color="auto" w:fill="auto"/>
          </w:tcPr>
          <w:p w14:paraId="0FF9EBC4" w14:textId="77777777" w:rsidR="00E53DCE" w:rsidRPr="00360285" w:rsidRDefault="00E53DCE" w:rsidP="00E53DCE">
            <w:pPr>
              <w:tabs>
                <w:tab w:val="clear" w:pos="1588"/>
                <w:tab w:val="left" w:pos="1560"/>
              </w:tabs>
              <w:spacing w:before="0"/>
              <w:jc w:val="left"/>
              <w:rPr>
                <w:szCs w:val="24"/>
                <w:lang w:val="es-ES_tradnl"/>
              </w:rPr>
            </w:pPr>
          </w:p>
        </w:tc>
      </w:tr>
      <w:tr w:rsidR="00E53DCE" w:rsidRPr="00986F9C" w14:paraId="5B3D7FC5" w14:textId="77777777" w:rsidTr="00306452">
        <w:trPr>
          <w:jc w:val="center"/>
        </w:trPr>
        <w:tc>
          <w:tcPr>
            <w:tcW w:w="9889" w:type="dxa"/>
            <w:gridSpan w:val="3"/>
            <w:shd w:val="clear" w:color="auto" w:fill="auto"/>
          </w:tcPr>
          <w:p w14:paraId="1DFBAD8B" w14:textId="77777777" w:rsidR="00E53DCE" w:rsidRPr="00360285" w:rsidRDefault="00E53DCE" w:rsidP="006160CB">
            <w:pPr>
              <w:spacing w:before="0"/>
              <w:jc w:val="left"/>
              <w:rPr>
                <w:b/>
                <w:bCs/>
                <w:szCs w:val="24"/>
                <w:lang w:val="es-ES_tradnl"/>
              </w:rPr>
            </w:pPr>
          </w:p>
        </w:tc>
      </w:tr>
    </w:tbl>
    <w:p w14:paraId="295632BD" w14:textId="153DAC5E" w:rsidR="001A7881" w:rsidRPr="00360285" w:rsidRDefault="001A7881" w:rsidP="00EF4583">
      <w:pPr>
        <w:rPr>
          <w:szCs w:val="24"/>
          <w:lang w:val="es-ES_tradnl"/>
        </w:rPr>
      </w:pPr>
      <w:r w:rsidRPr="00360285">
        <w:rPr>
          <w:lang w:val="es-ES_tradnl"/>
        </w:rPr>
        <w:t>En la reunión de la Comisión de Estudio 4 de Radiocomunicaciones celebrada el 7 de julio de 2023, la Comisión de Estudio decidió solicitar la adopción de 2 proyectos de nueva Recomendación UIT-R y de 1 proyecto de Recomendación UIT-R revisada por correspondencia (§ A2.6.2 de la Resolución UIT-R 1-8) y además decidió aplicar el procedimiento de adopción y aprobación simultáneas por correspondencia (PAAS, § A2.6.2.4 de la Resolución UIT-R 1-8). Los títulos y resúmenes de los proyectos de Recomendación aparecen en el Anexo 1. Todo Estado Miembro que objete la adopción de un proyecto de Recomendación debe informar al Director y al Presidente de la Comisión de Estudio de los motivos de dicha objeción.</w:t>
      </w:r>
      <w:bookmarkStart w:id="0" w:name="_Hlk116571750"/>
      <w:bookmarkEnd w:id="0"/>
    </w:p>
    <w:p w14:paraId="6AE53CCC" w14:textId="4A35B5CD" w:rsidR="001A7881" w:rsidRPr="00360285" w:rsidRDefault="001A7881" w:rsidP="00EF4583">
      <w:pPr>
        <w:rPr>
          <w:szCs w:val="24"/>
          <w:lang w:val="es-ES_tradnl"/>
        </w:rPr>
      </w:pPr>
      <w:r w:rsidRPr="00360285">
        <w:rPr>
          <w:lang w:val="es-ES_tradnl"/>
        </w:rPr>
        <w:t xml:space="preserve">El periodo de consideración se extenderá durante 2 meses finalizando el </w:t>
      </w:r>
      <w:r w:rsidRPr="00360285">
        <w:rPr>
          <w:u w:val="single"/>
          <w:lang w:val="es-ES_tradnl"/>
        </w:rPr>
        <w:t>20 de septiembre de 2023</w:t>
      </w:r>
      <w:r w:rsidRPr="00360285">
        <w:rPr>
          <w:lang w:val="es-ES_tradnl"/>
        </w:rPr>
        <w:t>. Si durante este periodo no se reciben objeciones de los Estados Miembros, se considerarán adoptados los proyectos de Recomendación por la Comisión de Estudio 4. Además, dado que se ha seguido el procedimiento de PAAS, los proyectos de Recomendación también se considerarán aprobados.</w:t>
      </w:r>
    </w:p>
    <w:p w14:paraId="775A4A87" w14:textId="77777777" w:rsidR="001A7881" w:rsidRPr="00360285" w:rsidRDefault="001A7881" w:rsidP="00EF4583">
      <w:pPr>
        <w:rPr>
          <w:szCs w:val="24"/>
          <w:lang w:val="es-ES_tradnl"/>
        </w:rPr>
      </w:pPr>
      <w:r w:rsidRPr="00360285">
        <w:rPr>
          <w:lang w:val="es-ES_tradnl"/>
        </w:rPr>
        <w:t>Por otra parte, la Comisión de Estudio propuso la supresión de 1 Recomendación, indicada en el Anexo 2, de conformidad con la Resolución UIT-R 1-8 (§ A2.6.3). Todo Estado Miembro que objete la supresión de una Recomendación debe informar al Director y al Presidente de la Comisión de Estudio de los motivos de dicha objeción.</w:t>
      </w:r>
    </w:p>
    <w:p w14:paraId="5DEA16F3" w14:textId="6767D59A" w:rsidR="001A7881" w:rsidRPr="00360285" w:rsidRDefault="001A7881" w:rsidP="00EF4583">
      <w:pPr>
        <w:rPr>
          <w:szCs w:val="24"/>
          <w:lang w:val="es-ES_tradnl"/>
        </w:rPr>
      </w:pPr>
      <w:r w:rsidRPr="00360285">
        <w:rPr>
          <w:lang w:val="es-ES_tradnl"/>
        </w:rPr>
        <w:t xml:space="preserve">El periodo de consideración se extenderá durante 2 meses finalizando el </w:t>
      </w:r>
      <w:r w:rsidRPr="00360285">
        <w:rPr>
          <w:u w:val="single"/>
          <w:lang w:val="es-ES_tradnl"/>
        </w:rPr>
        <w:t>20 de septiembre de 2023</w:t>
      </w:r>
      <w:r w:rsidRPr="00360285">
        <w:rPr>
          <w:lang w:val="es-ES_tradnl"/>
        </w:rPr>
        <w:t>. Si durante este periodo no se reciben objeciones de los Estados Miembros a la propuesta de supresión, se considerará que la Recomendación queda suprimida.</w:t>
      </w:r>
    </w:p>
    <w:p w14:paraId="787F567E" w14:textId="098C5364" w:rsidR="001A7881" w:rsidRPr="00360285" w:rsidRDefault="001A7881" w:rsidP="00EF4583">
      <w:pPr>
        <w:rPr>
          <w:lang w:val="es-ES_tradnl"/>
        </w:rPr>
      </w:pPr>
      <w:r w:rsidRPr="00360285">
        <w:rPr>
          <w:lang w:val="es-ES_tradnl"/>
        </w:rPr>
        <w:t xml:space="preserve">Tras la fecha límite mencionada, los resultados los procedimientos arriba citados se comunicarán mediante Circular Administrativa y se publicarán las Recomendaciones aprobadas tan pronto como sea posible (véase </w:t>
      </w:r>
      <w:hyperlink r:id="rId8" w:history="1">
        <w:r w:rsidRPr="00360285">
          <w:rPr>
            <w:rStyle w:val="Hyperlink"/>
            <w:lang w:val="es-ES_tradnl"/>
          </w:rPr>
          <w:t>http://www.itu.int/pub/R-REC</w:t>
        </w:r>
      </w:hyperlink>
      <w:r w:rsidRPr="00360285">
        <w:rPr>
          <w:lang w:val="es-ES_tradnl"/>
        </w:rPr>
        <w:t>).</w:t>
      </w:r>
    </w:p>
    <w:p w14:paraId="48262765" w14:textId="77777777" w:rsidR="001A7881" w:rsidRPr="00360285" w:rsidRDefault="001A7881" w:rsidP="00EF4583">
      <w:pPr>
        <w:rPr>
          <w:szCs w:val="24"/>
          <w:lang w:val="es-ES_tradnl"/>
        </w:rPr>
      </w:pPr>
      <w:r w:rsidRPr="00360285">
        <w:rPr>
          <w:lang w:val="es-ES_tradnl"/>
        </w:rPr>
        <w:lastRenderedPageBreak/>
        <w:t xml:space="preserve">Se solicita a toda organización Miembro de la UIT que tenga conocimiento de una patente, de su propiedad o de propiedad ajena, que cubra total o parcialmente elementos de los proyectos de Recomendación mencionados en esta carta, que comunique dicha información a la Secretaría tan pronto como sea posible. La Política común en materia de patentes para UIT-T/UIT-R/ISO/CEI puede consultarse en </w:t>
      </w:r>
      <w:hyperlink r:id="rId9" w:history="1">
        <w:r w:rsidRPr="00360285">
          <w:rPr>
            <w:rStyle w:val="Hyperlink"/>
            <w:lang w:val="es-ES_tradnl"/>
          </w:rPr>
          <w:t>http://www.itu.int/en/ITU-T/ipr/Pages/policy.aspx</w:t>
        </w:r>
      </w:hyperlink>
      <w:r w:rsidRPr="00360285">
        <w:rPr>
          <w:lang w:val="es-ES_tradnl"/>
        </w:rPr>
        <w:t>.</w:t>
      </w:r>
    </w:p>
    <w:p w14:paraId="7AC21ED6" w14:textId="2B213CFA" w:rsidR="001A7881" w:rsidRPr="00360285" w:rsidRDefault="001A7881" w:rsidP="008E5AF8">
      <w:pPr>
        <w:spacing w:before="1320" w:line="240" w:lineRule="auto"/>
        <w:jc w:val="left"/>
        <w:rPr>
          <w:rFonts w:asciiTheme="minorHAnsi" w:hAnsiTheme="minorHAnsi" w:cstheme="minorHAnsi"/>
          <w:szCs w:val="24"/>
          <w:lang w:val="es-ES_tradnl"/>
        </w:rPr>
      </w:pPr>
      <w:r w:rsidRPr="00360285">
        <w:rPr>
          <w:lang w:val="es-ES_tradnl"/>
        </w:rPr>
        <w:t>Mario Maniewicz</w:t>
      </w:r>
      <w:r w:rsidR="00EF4583" w:rsidRPr="00360285">
        <w:rPr>
          <w:lang w:val="es-ES_tradnl"/>
        </w:rPr>
        <w:br/>
      </w:r>
      <w:r w:rsidRPr="00360285">
        <w:rPr>
          <w:lang w:val="es-ES_tradnl"/>
        </w:rPr>
        <w:t>Director</w:t>
      </w:r>
    </w:p>
    <w:p w14:paraId="0425ED15" w14:textId="77777777" w:rsidR="001A7881" w:rsidRPr="00360285" w:rsidRDefault="001A7881" w:rsidP="008E5AF8">
      <w:pPr>
        <w:spacing w:before="2400"/>
        <w:ind w:left="1191" w:hanging="1191"/>
        <w:rPr>
          <w:szCs w:val="24"/>
          <w:lang w:val="es-ES_tradnl"/>
        </w:rPr>
      </w:pPr>
      <w:r w:rsidRPr="00360285">
        <w:rPr>
          <w:b/>
          <w:bCs/>
          <w:lang w:val="es-ES_tradnl"/>
        </w:rPr>
        <w:t>Anexo 1:</w:t>
      </w:r>
      <w:r w:rsidRPr="00360285">
        <w:rPr>
          <w:lang w:val="es-ES_tradnl"/>
        </w:rPr>
        <w:t xml:space="preserve"> </w:t>
      </w:r>
      <w:r w:rsidRPr="00360285">
        <w:rPr>
          <w:lang w:val="es-ES_tradnl"/>
        </w:rPr>
        <w:tab/>
        <w:t>Títulos y resúmenes de los proyectos de Recomendación</w:t>
      </w:r>
    </w:p>
    <w:p w14:paraId="3E05037D" w14:textId="77777777" w:rsidR="001A7881" w:rsidRPr="00360285" w:rsidRDefault="001A7881" w:rsidP="001A7881">
      <w:pPr>
        <w:ind w:left="1191" w:hanging="1191"/>
        <w:rPr>
          <w:szCs w:val="24"/>
          <w:lang w:val="es-ES_tradnl"/>
        </w:rPr>
      </w:pPr>
      <w:r w:rsidRPr="00360285">
        <w:rPr>
          <w:b/>
          <w:bCs/>
          <w:lang w:val="es-ES_tradnl"/>
        </w:rPr>
        <w:t>Anexo 2:</w:t>
      </w:r>
      <w:r w:rsidRPr="00360285">
        <w:rPr>
          <w:lang w:val="es-ES_tradnl"/>
        </w:rPr>
        <w:tab/>
        <w:t>Propuesta de supresión de Recomendación</w:t>
      </w:r>
    </w:p>
    <w:p w14:paraId="6163A97A" w14:textId="77777777" w:rsidR="001A7881" w:rsidRPr="00360285" w:rsidRDefault="001A7881" w:rsidP="001A7881">
      <w:pPr>
        <w:spacing w:before="1320"/>
        <w:rPr>
          <w:szCs w:val="24"/>
          <w:lang w:val="es-ES_tradnl"/>
        </w:rPr>
      </w:pPr>
      <w:r w:rsidRPr="00360285">
        <w:rPr>
          <w:b/>
          <w:bCs/>
          <w:lang w:val="es-ES_tradnl"/>
        </w:rPr>
        <w:t>Documentos:</w:t>
      </w:r>
      <w:r w:rsidRPr="00360285">
        <w:rPr>
          <w:lang w:val="es-ES_tradnl"/>
        </w:rPr>
        <w:tab/>
        <w:t>Documentos 4/91, 4/92(Rev.1) y 4/93(Rev.1)</w:t>
      </w:r>
    </w:p>
    <w:p w14:paraId="476989B5" w14:textId="53972464" w:rsidR="001A7881" w:rsidRPr="00360285" w:rsidRDefault="001A7881" w:rsidP="00986F9C">
      <w:pPr>
        <w:tabs>
          <w:tab w:val="clear" w:pos="1588"/>
          <w:tab w:val="left" w:pos="2552"/>
        </w:tabs>
        <w:rPr>
          <w:szCs w:val="24"/>
          <w:lang w:val="es-ES_tradnl"/>
        </w:rPr>
      </w:pPr>
      <w:r w:rsidRPr="00360285">
        <w:rPr>
          <w:lang w:val="es-ES_tradnl"/>
        </w:rPr>
        <w:t xml:space="preserve">Dichos documentos están disponibles en formato electrónico en la dirección: </w:t>
      </w:r>
      <w:hyperlink r:id="rId10" w:history="1">
        <w:r w:rsidR="00A51900" w:rsidRPr="003B1DB6">
          <w:rPr>
            <w:rStyle w:val="Hyperlink"/>
            <w:lang w:val="es-ES_tradnl"/>
          </w:rPr>
          <w:t>https://www.itu.int/md/R 19-SG 04-C/en</w:t>
        </w:r>
      </w:hyperlink>
      <w:r w:rsidRPr="00360285">
        <w:rPr>
          <w:lang w:val="es-ES_tradnl"/>
        </w:rPr>
        <w:t xml:space="preserve"> </w:t>
      </w:r>
    </w:p>
    <w:p w14:paraId="36D4BD2C" w14:textId="77777777" w:rsidR="001A7881" w:rsidRPr="00360285" w:rsidRDefault="001A7881" w:rsidP="001A7881">
      <w:pPr>
        <w:pStyle w:val="BodyTextIndent"/>
        <w:ind w:left="284" w:hanging="284"/>
        <w:rPr>
          <w:lang w:val="es-ES_tradnl"/>
        </w:rPr>
      </w:pPr>
      <w:r w:rsidRPr="00360285">
        <w:rPr>
          <w:lang w:val="es-ES_tradnl"/>
        </w:rPr>
        <w:br w:type="page"/>
      </w:r>
    </w:p>
    <w:p w14:paraId="1A6A015A" w14:textId="37958FF9" w:rsidR="001A7881" w:rsidRPr="00360285" w:rsidRDefault="001A7881" w:rsidP="00EF4583">
      <w:pPr>
        <w:pStyle w:val="AnnexNotitle0"/>
        <w:rPr>
          <w:rFonts w:asciiTheme="minorHAnsi" w:hAnsiTheme="minorHAnsi" w:cstheme="minorHAnsi"/>
          <w:lang w:val="es-ES_tradnl"/>
        </w:rPr>
      </w:pPr>
      <w:r w:rsidRPr="00360285">
        <w:rPr>
          <w:rFonts w:asciiTheme="minorHAnsi" w:hAnsiTheme="minorHAnsi" w:cstheme="minorHAnsi"/>
          <w:lang w:val="es-ES_tradnl"/>
        </w:rPr>
        <w:lastRenderedPageBreak/>
        <w:t>Anexo 1</w:t>
      </w:r>
      <w:r w:rsidR="00986F9C">
        <w:rPr>
          <w:rFonts w:asciiTheme="minorHAnsi" w:hAnsiTheme="minorHAnsi" w:cstheme="minorHAnsi"/>
          <w:lang w:val="es-ES_tradnl"/>
        </w:rPr>
        <w:br/>
      </w:r>
      <w:r w:rsidR="00EF4583" w:rsidRPr="00360285">
        <w:rPr>
          <w:rFonts w:asciiTheme="minorHAnsi" w:hAnsiTheme="minorHAnsi" w:cstheme="minorHAnsi"/>
          <w:lang w:val="es-ES_tradnl"/>
        </w:rPr>
        <w:br/>
      </w:r>
      <w:r w:rsidRPr="00360285">
        <w:rPr>
          <w:rFonts w:asciiTheme="minorHAnsi" w:hAnsiTheme="minorHAnsi" w:cstheme="minorHAnsi"/>
          <w:lang w:val="es-ES_tradnl"/>
        </w:rPr>
        <w:t>Títulos y resúmenes de los proyectos de Recomendación UIT-R</w:t>
      </w:r>
    </w:p>
    <w:p w14:paraId="6FC28E4B" w14:textId="76B1BD9F" w:rsidR="001A7881" w:rsidRPr="00360285" w:rsidRDefault="001A7881" w:rsidP="00986F9C">
      <w:pPr>
        <w:spacing w:before="360"/>
        <w:rPr>
          <w:szCs w:val="24"/>
          <w:lang w:val="es-ES_tradnl"/>
        </w:rPr>
      </w:pPr>
      <w:r w:rsidRPr="00360285">
        <w:rPr>
          <w:u w:val="single"/>
          <w:lang w:val="es-ES_tradnl"/>
        </w:rPr>
        <w:t>Proyecto de nueva Recomendación UIT-R S.[QV-METH-REF-LINKS]</w:t>
      </w:r>
      <w:r w:rsidRPr="00360285">
        <w:rPr>
          <w:lang w:val="es-ES_tradnl"/>
        </w:rPr>
        <w:tab/>
      </w:r>
      <w:r w:rsidR="00EF4583" w:rsidRPr="00360285">
        <w:rPr>
          <w:lang w:val="es-ES_tradnl"/>
        </w:rPr>
        <w:tab/>
      </w:r>
      <w:r w:rsidR="00EF4583" w:rsidRPr="00360285">
        <w:rPr>
          <w:lang w:val="es-ES_tradnl"/>
        </w:rPr>
        <w:tab/>
      </w:r>
      <w:r w:rsidR="00EF4583" w:rsidRPr="00360285">
        <w:rPr>
          <w:lang w:val="es-ES_tradnl"/>
        </w:rPr>
        <w:tab/>
      </w:r>
      <w:r w:rsidRPr="00360285">
        <w:rPr>
          <w:lang w:val="es-ES_tradnl"/>
        </w:rPr>
        <w:t>Doc. 4/91</w:t>
      </w:r>
    </w:p>
    <w:p w14:paraId="15D9C0B8" w14:textId="2A0A8967" w:rsidR="001A7881" w:rsidRPr="00986F9C" w:rsidRDefault="001A7881" w:rsidP="00986F9C">
      <w:pPr>
        <w:pStyle w:val="Reftitle"/>
        <w:spacing w:before="360"/>
        <w:rPr>
          <w:sz w:val="28"/>
          <w:szCs w:val="24"/>
          <w:lang w:val="es-ES_tradnl"/>
        </w:rPr>
      </w:pPr>
      <w:r w:rsidRPr="00986F9C">
        <w:rPr>
          <w:sz w:val="28"/>
          <w:szCs w:val="24"/>
          <w:lang w:val="es-ES_tradnl"/>
        </w:rPr>
        <w:t>Procedimientos para la evaluación de la interferencia causada por un sistema no OSG a un conjunto mundial de enlaces OSG de referencia en las bandas de frecuencias 37,5-39,5 GHz (espacio-Tierra), 39,5-42,5 GHz (espacio-Tierra), 47,2</w:t>
      </w:r>
      <w:r w:rsidR="00986F9C">
        <w:rPr>
          <w:sz w:val="28"/>
          <w:szCs w:val="24"/>
          <w:lang w:val="es-ES_tradnl"/>
        </w:rPr>
        <w:noBreakHyphen/>
      </w:r>
      <w:r w:rsidRPr="00986F9C">
        <w:rPr>
          <w:sz w:val="28"/>
          <w:szCs w:val="24"/>
          <w:lang w:val="es-ES_tradnl"/>
        </w:rPr>
        <w:t>50,2 GHz (Tierra-espacio)</w:t>
      </w:r>
      <w:r w:rsidR="00986F9C">
        <w:rPr>
          <w:sz w:val="28"/>
          <w:szCs w:val="24"/>
          <w:lang w:val="es-ES_tradnl"/>
        </w:rPr>
        <w:t xml:space="preserve"> </w:t>
      </w:r>
      <w:r w:rsidRPr="00986F9C">
        <w:rPr>
          <w:sz w:val="28"/>
          <w:szCs w:val="24"/>
          <w:lang w:val="es-ES_tradnl"/>
        </w:rPr>
        <w:t>y 50,4-51,4 GHz (Tierra-espacio)</w:t>
      </w:r>
    </w:p>
    <w:p w14:paraId="5DC314DB" w14:textId="6C041629" w:rsidR="001A7881" w:rsidRPr="00360285" w:rsidRDefault="001A7881" w:rsidP="00986F9C">
      <w:pPr>
        <w:pStyle w:val="Normalaftertitle0"/>
        <w:spacing w:before="240"/>
        <w:jc w:val="both"/>
        <w:rPr>
          <w:rFonts w:asciiTheme="minorHAnsi" w:hAnsiTheme="minorHAnsi" w:cstheme="minorHAnsi"/>
          <w:lang w:val="es-ES_tradnl"/>
        </w:rPr>
      </w:pPr>
      <w:r w:rsidRPr="00360285">
        <w:rPr>
          <w:rFonts w:asciiTheme="minorHAnsi" w:hAnsiTheme="minorHAnsi" w:cstheme="minorHAnsi"/>
          <w:lang w:val="es-ES_tradnl"/>
        </w:rPr>
        <w:t xml:space="preserve">Esta Recomendación proporciona procedimientos para la evaluación de la conformidad de cualquier sistema no OSG con el número </w:t>
      </w:r>
      <w:r w:rsidRPr="00360285">
        <w:rPr>
          <w:rFonts w:asciiTheme="minorHAnsi" w:hAnsiTheme="minorHAnsi" w:cstheme="minorHAnsi"/>
          <w:b/>
          <w:bCs/>
          <w:lang w:val="es-ES_tradnl"/>
        </w:rPr>
        <w:t>22</w:t>
      </w:r>
      <w:r w:rsidR="00A51900">
        <w:rPr>
          <w:rFonts w:asciiTheme="minorHAnsi" w:hAnsiTheme="minorHAnsi" w:cstheme="minorHAnsi"/>
          <w:b/>
          <w:bCs/>
          <w:lang w:val="es-ES_tradnl"/>
        </w:rPr>
        <w:t>.</w:t>
      </w:r>
      <w:r w:rsidRPr="00360285">
        <w:rPr>
          <w:rFonts w:asciiTheme="minorHAnsi" w:hAnsiTheme="minorHAnsi" w:cstheme="minorHAnsi"/>
          <w:b/>
          <w:bCs/>
          <w:lang w:val="es-ES_tradnl"/>
        </w:rPr>
        <w:t>5L</w:t>
      </w:r>
      <w:r w:rsidRPr="00360285">
        <w:rPr>
          <w:rFonts w:asciiTheme="minorHAnsi" w:hAnsiTheme="minorHAnsi" w:cstheme="minorHAnsi"/>
          <w:lang w:val="es-ES_tradnl"/>
        </w:rPr>
        <w:t xml:space="preserve"> del Reglamento de Radiocomunicaciones a fin de garantizar la protección de las redes de satélites OSG en las bandas de frecuencias 37,5-39,5 GHz (espacio-Tierra), 39,5-42,5 GHz (espacio-Tierra), 47,2-50,2 GHz (Tierra-espacio) y 50,4-51,4 GHz (Tierra-espacio).</w:t>
      </w:r>
    </w:p>
    <w:p w14:paraId="2003F060" w14:textId="20050E2C" w:rsidR="001A7881" w:rsidRPr="00360285" w:rsidRDefault="001A7881" w:rsidP="00986F9C">
      <w:pPr>
        <w:spacing w:before="360"/>
        <w:rPr>
          <w:rFonts w:asciiTheme="minorHAnsi" w:hAnsiTheme="minorHAnsi" w:cstheme="minorHAnsi"/>
          <w:szCs w:val="24"/>
          <w:lang w:val="es-ES_tradnl"/>
        </w:rPr>
      </w:pPr>
      <w:r w:rsidRPr="00360285">
        <w:rPr>
          <w:rFonts w:asciiTheme="minorHAnsi" w:hAnsiTheme="minorHAnsi" w:cstheme="minorHAnsi"/>
          <w:u w:val="single"/>
          <w:lang w:val="es-ES_tradnl"/>
        </w:rPr>
        <w:t xml:space="preserve">Proyecto de nueva </w:t>
      </w:r>
      <w:r w:rsidRPr="00360285">
        <w:rPr>
          <w:u w:val="single"/>
          <w:lang w:val="es-ES_tradnl"/>
        </w:rPr>
        <w:t>Recomendación</w:t>
      </w:r>
      <w:r w:rsidRPr="00360285">
        <w:rPr>
          <w:rFonts w:asciiTheme="minorHAnsi" w:hAnsiTheme="minorHAnsi" w:cstheme="minorHAnsi"/>
          <w:u w:val="single"/>
          <w:lang w:val="es-ES_tradnl"/>
        </w:rPr>
        <w:t xml:space="preserve"> UIT-R S.[METHOD]</w:t>
      </w:r>
      <w:r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Pr="00360285">
        <w:rPr>
          <w:rFonts w:asciiTheme="minorHAnsi" w:hAnsiTheme="minorHAnsi" w:cstheme="minorHAnsi"/>
          <w:lang w:val="es-ES_tradnl"/>
        </w:rPr>
        <w:t>Doc. 4/93(Rev.1)</w:t>
      </w:r>
    </w:p>
    <w:p w14:paraId="52294C0B" w14:textId="02F6BD4B" w:rsidR="001A7881" w:rsidRPr="00986F9C" w:rsidRDefault="001A7881" w:rsidP="00986F9C">
      <w:pPr>
        <w:pStyle w:val="Reftitle"/>
        <w:spacing w:before="240"/>
        <w:rPr>
          <w:sz w:val="28"/>
          <w:szCs w:val="24"/>
          <w:lang w:val="es-ES_tradnl"/>
        </w:rPr>
      </w:pPr>
      <w:r w:rsidRPr="00986F9C">
        <w:rPr>
          <w:sz w:val="28"/>
          <w:szCs w:val="24"/>
          <w:lang w:val="es-ES_tradnl"/>
        </w:rPr>
        <w:t>Metodología para examinar la conformidad de las estaciones terrenas aeronáuticas en movimiento (ETEM-A) que se comunican con estaciones espaciales geoestacionarias</w:t>
      </w:r>
      <w:r w:rsidR="00986F9C">
        <w:rPr>
          <w:sz w:val="28"/>
          <w:szCs w:val="24"/>
          <w:lang w:val="es-ES_tradnl"/>
        </w:rPr>
        <w:t xml:space="preserve"> </w:t>
      </w:r>
      <w:r w:rsidRPr="00986F9C">
        <w:rPr>
          <w:sz w:val="28"/>
          <w:szCs w:val="24"/>
          <w:lang w:val="es-ES_tradnl"/>
        </w:rPr>
        <w:t xml:space="preserve">del servicio fijo por satélite en la </w:t>
      </w:r>
      <w:r w:rsidR="00986F9C">
        <w:rPr>
          <w:sz w:val="28"/>
          <w:szCs w:val="24"/>
          <w:lang w:val="es-ES_tradnl"/>
        </w:rPr>
        <w:br/>
      </w:r>
      <w:r w:rsidRPr="00986F9C">
        <w:rPr>
          <w:sz w:val="28"/>
          <w:szCs w:val="24"/>
          <w:lang w:val="es-ES_tradnl"/>
        </w:rPr>
        <w:t>banda 27,5-29,5 GHz con un conjunto</w:t>
      </w:r>
      <w:r w:rsidR="00986F9C">
        <w:rPr>
          <w:sz w:val="28"/>
          <w:szCs w:val="24"/>
          <w:lang w:val="es-ES_tradnl"/>
        </w:rPr>
        <w:t xml:space="preserve"> </w:t>
      </w:r>
      <w:r w:rsidRPr="00986F9C">
        <w:rPr>
          <w:sz w:val="28"/>
          <w:szCs w:val="24"/>
          <w:lang w:val="es-ES_tradnl"/>
        </w:rPr>
        <w:t xml:space="preserve">de límites de </w:t>
      </w:r>
      <w:proofErr w:type="spellStart"/>
      <w:r w:rsidRPr="00986F9C">
        <w:rPr>
          <w:sz w:val="28"/>
          <w:szCs w:val="24"/>
          <w:lang w:val="es-ES_tradnl"/>
        </w:rPr>
        <w:t>dfp</w:t>
      </w:r>
      <w:proofErr w:type="spellEnd"/>
      <w:r w:rsidRPr="00986F9C">
        <w:rPr>
          <w:sz w:val="28"/>
          <w:szCs w:val="24"/>
          <w:lang w:val="es-ES_tradnl"/>
        </w:rPr>
        <w:t xml:space="preserve"> </w:t>
      </w:r>
      <w:r w:rsidR="00986F9C">
        <w:rPr>
          <w:sz w:val="28"/>
          <w:szCs w:val="24"/>
          <w:lang w:val="es-ES_tradnl"/>
        </w:rPr>
        <w:br/>
      </w:r>
      <w:r w:rsidRPr="00986F9C">
        <w:rPr>
          <w:sz w:val="28"/>
          <w:szCs w:val="24"/>
          <w:lang w:val="es-ES_tradnl"/>
        </w:rPr>
        <w:t>preestablecidos en la superficie de la Tierra</w:t>
      </w:r>
    </w:p>
    <w:p w14:paraId="1557328B" w14:textId="521E6FDD" w:rsidR="001A7881" w:rsidRPr="00360285" w:rsidRDefault="001A7881" w:rsidP="00986F9C">
      <w:pPr>
        <w:pStyle w:val="Normalaftertitle0"/>
        <w:spacing w:before="240"/>
        <w:jc w:val="both"/>
        <w:rPr>
          <w:rFonts w:asciiTheme="minorHAnsi" w:hAnsiTheme="minorHAnsi" w:cstheme="minorHAnsi"/>
          <w:lang w:val="es-ES_tradnl"/>
        </w:rPr>
      </w:pPr>
      <w:r w:rsidRPr="00360285">
        <w:rPr>
          <w:rFonts w:asciiTheme="minorHAnsi" w:hAnsiTheme="minorHAnsi" w:cstheme="minorHAnsi"/>
          <w:lang w:val="es-ES_tradnl"/>
        </w:rPr>
        <w:t>Esta Recomendación proporciona una metodología para que la Oficina de Radiocomunicaciones de la UIT pueda examinar las características de una estación terrena aeronáutica en movimiento (A</w:t>
      </w:r>
      <w:r w:rsidR="00A51900">
        <w:rPr>
          <w:rFonts w:asciiTheme="minorHAnsi" w:hAnsiTheme="minorHAnsi" w:cstheme="minorHAnsi"/>
          <w:lang w:val="es-ES_tradnl"/>
        </w:rPr>
        <w:noBreakHyphen/>
      </w:r>
      <w:r w:rsidRPr="00360285">
        <w:rPr>
          <w:rFonts w:asciiTheme="minorHAnsi" w:hAnsiTheme="minorHAnsi" w:cstheme="minorHAnsi"/>
          <w:lang w:val="es-ES_tradnl"/>
        </w:rPr>
        <w:t>ESIM) que funciona con redes de satélites geoestacionarios con respecto a la conformidad con los límites de densidad de flujo de potencia especificados en la Parte II, Anexo 3 de la Resolución</w:t>
      </w:r>
      <w:r w:rsidR="00986F9C">
        <w:rPr>
          <w:rFonts w:asciiTheme="minorHAnsi" w:hAnsiTheme="minorHAnsi" w:cstheme="minorHAnsi"/>
          <w:lang w:val="es-ES_tradnl"/>
        </w:rPr>
        <w:t> </w:t>
      </w:r>
      <w:r w:rsidRPr="00360285">
        <w:rPr>
          <w:rFonts w:asciiTheme="minorHAnsi" w:hAnsiTheme="minorHAnsi" w:cstheme="minorHAnsi"/>
          <w:b/>
          <w:bCs/>
          <w:lang w:val="es-ES_tradnl"/>
        </w:rPr>
        <w:t>169 (CMR-19)</w:t>
      </w:r>
      <w:r w:rsidRPr="00360285">
        <w:rPr>
          <w:rFonts w:asciiTheme="minorHAnsi" w:hAnsiTheme="minorHAnsi" w:cstheme="minorHAnsi"/>
          <w:lang w:val="es-ES_tradnl"/>
        </w:rPr>
        <w:t xml:space="preserve"> del Reglamento de Radiocomunicaciones.</w:t>
      </w:r>
    </w:p>
    <w:p w14:paraId="4D3AAB3A" w14:textId="7AC65F2D" w:rsidR="001A7881" w:rsidRPr="00360285" w:rsidRDefault="001A7881" w:rsidP="00986F9C">
      <w:pPr>
        <w:spacing w:before="360"/>
        <w:rPr>
          <w:rFonts w:asciiTheme="minorHAnsi" w:hAnsiTheme="minorHAnsi" w:cstheme="minorHAnsi"/>
          <w:szCs w:val="24"/>
          <w:lang w:val="es-ES_tradnl"/>
        </w:rPr>
      </w:pPr>
      <w:r w:rsidRPr="00360285">
        <w:rPr>
          <w:rFonts w:asciiTheme="minorHAnsi" w:hAnsiTheme="minorHAnsi" w:cstheme="minorHAnsi"/>
          <w:u w:val="single"/>
          <w:lang w:val="es-ES_tradnl"/>
        </w:rPr>
        <w:t xml:space="preserve">Proyecto de revisión de la </w:t>
      </w:r>
      <w:r w:rsidRPr="00360285">
        <w:rPr>
          <w:u w:val="single"/>
          <w:lang w:val="es-ES_tradnl"/>
        </w:rPr>
        <w:t>Recomendación</w:t>
      </w:r>
      <w:r w:rsidRPr="00360285">
        <w:rPr>
          <w:rFonts w:asciiTheme="minorHAnsi" w:hAnsiTheme="minorHAnsi" w:cstheme="minorHAnsi"/>
          <w:u w:val="single"/>
          <w:lang w:val="es-ES_tradnl"/>
        </w:rPr>
        <w:t xml:space="preserve"> UIT-R S.1503-3</w:t>
      </w:r>
      <w:r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00EF4583" w:rsidRPr="00360285">
        <w:rPr>
          <w:rFonts w:asciiTheme="minorHAnsi" w:hAnsiTheme="minorHAnsi" w:cstheme="minorHAnsi"/>
          <w:lang w:val="es-ES_tradnl"/>
        </w:rPr>
        <w:tab/>
      </w:r>
      <w:r w:rsidRPr="00360285">
        <w:rPr>
          <w:rFonts w:asciiTheme="minorHAnsi" w:hAnsiTheme="minorHAnsi" w:cstheme="minorHAnsi"/>
          <w:lang w:val="es-ES_tradnl"/>
        </w:rPr>
        <w:t>Doc. 4/92(Rev.1)</w:t>
      </w:r>
    </w:p>
    <w:p w14:paraId="5EC7BAC4" w14:textId="012F311A" w:rsidR="001A7881" w:rsidRPr="00986F9C" w:rsidRDefault="001A7881" w:rsidP="00986F9C">
      <w:pPr>
        <w:pStyle w:val="Reftitle"/>
        <w:spacing w:before="240"/>
        <w:rPr>
          <w:rFonts w:asciiTheme="minorHAnsi" w:hAnsiTheme="minorHAnsi" w:cstheme="minorHAnsi"/>
          <w:sz w:val="32"/>
          <w:szCs w:val="28"/>
          <w:lang w:val="es-ES_tradnl"/>
        </w:rPr>
      </w:pPr>
      <w:r w:rsidRPr="00986F9C">
        <w:rPr>
          <w:rFonts w:asciiTheme="minorHAnsi" w:hAnsiTheme="minorHAnsi" w:cstheme="minorHAnsi"/>
          <w:bCs/>
          <w:sz w:val="28"/>
          <w:szCs w:val="24"/>
          <w:lang w:val="es-ES_tradnl"/>
        </w:rPr>
        <w:t>Descripción funcional que ha de utilizarse en el desarrollo de herramientas informáticas para determinar la conformidad de sistemas o redes de satélites no</w:t>
      </w:r>
      <w:r w:rsidR="00986F9C">
        <w:rPr>
          <w:rFonts w:asciiTheme="minorHAnsi" w:hAnsiTheme="minorHAnsi" w:cstheme="minorHAnsi"/>
          <w:bCs/>
          <w:sz w:val="28"/>
          <w:szCs w:val="24"/>
          <w:lang w:val="es-ES_tradnl"/>
        </w:rPr>
        <w:t> </w:t>
      </w:r>
      <w:r w:rsidRPr="00986F9C">
        <w:rPr>
          <w:rFonts w:asciiTheme="minorHAnsi" w:hAnsiTheme="minorHAnsi" w:cstheme="minorHAnsi"/>
          <w:bCs/>
          <w:sz w:val="28"/>
          <w:szCs w:val="24"/>
          <w:lang w:val="es-ES_tradnl"/>
        </w:rPr>
        <w:t xml:space="preserve">geoestacionarios del servicio fijo por satélite con los límites contenidos </w:t>
      </w:r>
      <w:r w:rsidR="00986F9C">
        <w:rPr>
          <w:rFonts w:asciiTheme="minorHAnsi" w:hAnsiTheme="minorHAnsi" w:cstheme="minorHAnsi"/>
          <w:bCs/>
          <w:sz w:val="28"/>
          <w:szCs w:val="24"/>
          <w:lang w:val="es-ES_tradnl"/>
        </w:rPr>
        <w:br/>
      </w:r>
      <w:r w:rsidRPr="00986F9C">
        <w:rPr>
          <w:rFonts w:asciiTheme="minorHAnsi" w:hAnsiTheme="minorHAnsi" w:cstheme="minorHAnsi"/>
          <w:bCs/>
          <w:sz w:val="28"/>
          <w:szCs w:val="24"/>
          <w:lang w:val="es-ES_tradnl"/>
        </w:rPr>
        <w:t>en el Artículo 22 del Reglamento de Radiocomunicaciones</w:t>
      </w:r>
    </w:p>
    <w:p w14:paraId="2F54E438" w14:textId="77777777" w:rsidR="001A7881" w:rsidRPr="00360285" w:rsidRDefault="001A7881" w:rsidP="00986F9C">
      <w:pPr>
        <w:pStyle w:val="Normalaftertitle0"/>
        <w:spacing w:before="240"/>
        <w:jc w:val="both"/>
        <w:rPr>
          <w:rFonts w:asciiTheme="minorHAnsi" w:hAnsiTheme="minorHAnsi" w:cstheme="minorHAnsi"/>
          <w:lang w:val="es-ES_tradnl"/>
        </w:rPr>
      </w:pPr>
      <w:r w:rsidRPr="00360285">
        <w:rPr>
          <w:rFonts w:asciiTheme="minorHAnsi" w:hAnsiTheme="minorHAnsi" w:cstheme="minorHAnsi"/>
          <w:lang w:val="es-ES_tradnl"/>
        </w:rPr>
        <w:t xml:space="preserve">La Recomendación </w:t>
      </w:r>
      <w:hyperlink r:id="rId11" w:history="1">
        <w:r w:rsidRPr="00360285">
          <w:rPr>
            <w:rStyle w:val="Hyperlink"/>
            <w:rFonts w:asciiTheme="minorHAnsi" w:hAnsiTheme="minorHAnsi" w:cstheme="minorHAnsi"/>
            <w:lang w:val="es-ES_tradnl"/>
          </w:rPr>
          <w:t>UIT-R S.1503-3</w:t>
        </w:r>
      </w:hyperlink>
      <w:r w:rsidRPr="00360285">
        <w:rPr>
          <w:rFonts w:asciiTheme="minorHAnsi" w:hAnsiTheme="minorHAnsi" w:cstheme="minorHAnsi"/>
          <w:lang w:val="es-ES_tradnl"/>
        </w:rPr>
        <w:t xml:space="preserve"> define una metodología que ha de utilizarse para determinar la conformidad de un sistema de satélites en órbita no geoestacionaria (no OSG) del servicio fijo por satélite (SFS) con los límites de densidad de flujo de potencia equivalente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contenidos en el Artículo </w:t>
      </w:r>
      <w:r w:rsidRPr="00360285">
        <w:rPr>
          <w:rFonts w:asciiTheme="minorHAnsi" w:hAnsiTheme="minorHAnsi" w:cstheme="minorHAnsi"/>
          <w:b/>
          <w:bCs/>
          <w:lang w:val="es-ES_tradnl"/>
        </w:rPr>
        <w:t xml:space="preserve">22 </w:t>
      </w:r>
      <w:r w:rsidRPr="00360285">
        <w:rPr>
          <w:rFonts w:asciiTheme="minorHAnsi" w:hAnsiTheme="minorHAnsi" w:cstheme="minorHAnsi"/>
          <w:lang w:val="es-ES_tradnl"/>
        </w:rPr>
        <w:t xml:space="preserve">del Reglamento de Radiocomunicaciones (RR). Esta metodología calcula la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de un sistema de satélites no OSG en una red de satélites OSG propagando la posición de los satélites no OSG a lo largo del tiempo y combinando la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desde/hacia determinados satélites no OSG en cada intervalo de tiempo. El cumplimiento de los límites de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del Artículo </w:t>
      </w:r>
      <w:r w:rsidRPr="00360285">
        <w:rPr>
          <w:rFonts w:asciiTheme="minorHAnsi" w:hAnsiTheme="minorHAnsi" w:cstheme="minorHAnsi"/>
          <w:b/>
          <w:bCs/>
          <w:lang w:val="es-ES_tradnl"/>
        </w:rPr>
        <w:t>22</w:t>
      </w:r>
      <w:r w:rsidRPr="00360285">
        <w:rPr>
          <w:rFonts w:asciiTheme="minorHAnsi" w:hAnsiTheme="minorHAnsi" w:cstheme="minorHAnsi"/>
          <w:lang w:val="es-ES_tradnl"/>
        </w:rPr>
        <w:t xml:space="preserve"> del RR se determina comparando la función de densidad acumulativa (FDA) de las muestras de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calculadas con la FDA correspondiente a los límites de </w:t>
      </w:r>
      <w:proofErr w:type="spellStart"/>
      <w:r w:rsidRPr="00360285">
        <w:rPr>
          <w:rFonts w:asciiTheme="minorHAnsi" w:hAnsiTheme="minorHAnsi" w:cstheme="minorHAnsi"/>
          <w:lang w:val="es-ES_tradnl"/>
        </w:rPr>
        <w:t>dfpe</w:t>
      </w:r>
      <w:proofErr w:type="spellEnd"/>
      <w:r w:rsidRPr="00360285">
        <w:rPr>
          <w:rFonts w:asciiTheme="minorHAnsi" w:hAnsiTheme="minorHAnsi" w:cstheme="minorHAnsi"/>
          <w:lang w:val="es-ES_tradnl"/>
        </w:rPr>
        <w:t xml:space="preserve"> pertinentes. </w:t>
      </w:r>
    </w:p>
    <w:p w14:paraId="66C40B36" w14:textId="77777777" w:rsidR="001A7881" w:rsidRPr="00360285" w:rsidRDefault="001A7881" w:rsidP="00986F9C">
      <w:pPr>
        <w:spacing w:before="120"/>
        <w:rPr>
          <w:spacing w:val="-2"/>
          <w:lang w:val="es-ES_tradnl"/>
        </w:rPr>
      </w:pPr>
      <w:r w:rsidRPr="00360285">
        <w:rPr>
          <w:lang w:val="es-ES_tradnl"/>
        </w:rPr>
        <w:t>El Grupo de Trabajo 4A ha estado trabajando en una revisión de la Recomendación UIT-R S.1503-3 y ha identificado posibles cambios que modelarían más precisamente las capacidades y el funcionamiento de los sistemas no OSG y mejorarían el texto para garantizar una definición y utilización coherentes de diversos términos.</w:t>
      </w:r>
    </w:p>
    <w:p w14:paraId="09EF12C7" w14:textId="77777777" w:rsidR="001A7881" w:rsidRPr="00360285" w:rsidRDefault="001A7881" w:rsidP="00986F9C">
      <w:pPr>
        <w:keepNext/>
        <w:keepLines/>
        <w:spacing w:before="120"/>
        <w:rPr>
          <w:rFonts w:asciiTheme="minorHAnsi" w:hAnsiTheme="minorHAnsi" w:cstheme="minorHAnsi"/>
          <w:lang w:val="es-ES_tradnl"/>
        </w:rPr>
      </w:pPr>
      <w:r w:rsidRPr="00360285">
        <w:rPr>
          <w:rFonts w:asciiTheme="minorHAnsi" w:hAnsiTheme="minorHAnsi" w:cstheme="minorHAnsi"/>
          <w:lang w:val="es-ES_tradnl"/>
        </w:rPr>
        <w:lastRenderedPageBreak/>
        <w:t xml:space="preserve">Esta propuesta de </w:t>
      </w:r>
      <w:r w:rsidRPr="00360285">
        <w:rPr>
          <w:lang w:val="es-ES_tradnl"/>
        </w:rPr>
        <w:t>revisión</w:t>
      </w:r>
      <w:r w:rsidRPr="00360285">
        <w:rPr>
          <w:rFonts w:asciiTheme="minorHAnsi" w:hAnsiTheme="minorHAnsi" w:cstheme="minorHAnsi"/>
          <w:lang w:val="es-ES_tradnl"/>
        </w:rPr>
        <w:t xml:space="preserve"> de la Recomendación UIT-R S.1503-3 contiene los siguientes cambios:</w:t>
      </w:r>
    </w:p>
    <w:p w14:paraId="33B00EF2" w14:textId="6E8F16D7" w:rsidR="001A7881" w:rsidRPr="00360285" w:rsidRDefault="001A7881" w:rsidP="00EF64CC">
      <w:pPr>
        <w:pStyle w:val="enumlev1"/>
        <w:keepNext/>
        <w:keepLines/>
        <w:rPr>
          <w:lang w:val="es-ES_tradnl"/>
        </w:rPr>
      </w:pPr>
      <w:r w:rsidRPr="00360285">
        <w:rPr>
          <w:lang w:val="es-ES_tradnl"/>
        </w:rPr>
        <w:t>–</w:t>
      </w:r>
      <w:r w:rsidRPr="00360285">
        <w:rPr>
          <w:lang w:val="es-ES_tradnl"/>
        </w:rPr>
        <w:tab/>
        <w:t>Ángulo de separación mínimo entre enlaces de comunicación no OSG en la misma frecuencia de estaciones terrenas (ET) y satélites no OSG</w:t>
      </w:r>
      <w:r w:rsidR="00A51900">
        <w:rPr>
          <w:lang w:val="es-ES_tradnl"/>
        </w:rPr>
        <w:t>.</w:t>
      </w:r>
    </w:p>
    <w:p w14:paraId="043A2BAA" w14:textId="68806BE5" w:rsidR="001A7881" w:rsidRPr="00360285" w:rsidRDefault="001A7881" w:rsidP="00360285">
      <w:pPr>
        <w:pStyle w:val="enumlev1"/>
        <w:rPr>
          <w:lang w:val="es-ES_tradnl"/>
        </w:rPr>
      </w:pPr>
      <w:r w:rsidRPr="00360285">
        <w:rPr>
          <w:lang w:val="es-ES_tradnl"/>
        </w:rPr>
        <w:t>–</w:t>
      </w:r>
      <w:r w:rsidRPr="00360285">
        <w:rPr>
          <w:lang w:val="es-ES_tradnl"/>
        </w:rPr>
        <w:tab/>
        <w:t>Número máximo de ET no OSG en la misma frecuencia que puede rastrear un satélite no</w:t>
      </w:r>
      <w:r w:rsidR="00A51900">
        <w:rPr>
          <w:lang w:val="es-ES_tradnl"/>
        </w:rPr>
        <w:t> </w:t>
      </w:r>
      <w:r w:rsidRPr="00360285">
        <w:rPr>
          <w:lang w:val="es-ES_tradnl"/>
        </w:rPr>
        <w:t>OSG</w:t>
      </w:r>
      <w:r w:rsidR="00A51900">
        <w:rPr>
          <w:lang w:val="es-ES_tradnl"/>
        </w:rPr>
        <w:t>.</w:t>
      </w:r>
    </w:p>
    <w:p w14:paraId="46A9D2C1" w14:textId="09D44440" w:rsidR="001A7881" w:rsidRPr="00360285" w:rsidRDefault="001A7881" w:rsidP="00360285">
      <w:pPr>
        <w:pStyle w:val="enumlev1"/>
        <w:rPr>
          <w:lang w:val="es-ES_tradnl"/>
        </w:rPr>
      </w:pPr>
      <w:r w:rsidRPr="00360285">
        <w:rPr>
          <w:lang w:val="es-ES_tradnl"/>
        </w:rPr>
        <w:t>–</w:t>
      </w:r>
      <w:r w:rsidRPr="00360285">
        <w:rPr>
          <w:lang w:val="es-ES_tradnl"/>
        </w:rPr>
        <w:tab/>
        <w:t>Definición de una máscara de potencia isótropa radiada equivalente (</w:t>
      </w:r>
      <w:proofErr w:type="spellStart"/>
      <w:r w:rsidRPr="00360285">
        <w:rPr>
          <w:lang w:val="es-ES_tradnl"/>
        </w:rPr>
        <w:t>p.i.r.e</w:t>
      </w:r>
      <w:proofErr w:type="spellEnd"/>
      <w:r w:rsidRPr="00360285">
        <w:rPr>
          <w:lang w:val="es-ES_tradnl"/>
        </w:rPr>
        <w:t xml:space="preserve">.) para su uso en el caso de la </w:t>
      </w:r>
      <w:proofErr w:type="spellStart"/>
      <w:r w:rsidRPr="00360285">
        <w:rPr>
          <w:lang w:val="es-ES_tradnl"/>
        </w:rPr>
        <w:t>dfpe</w:t>
      </w:r>
      <w:proofErr w:type="spellEnd"/>
      <w:r w:rsidRPr="00360285">
        <w:rPr>
          <w:lang w:val="es-ES_tradnl"/>
        </w:rPr>
        <w:t xml:space="preserve"> (ascendente)</w:t>
      </w:r>
      <w:r w:rsidR="00A51900">
        <w:rPr>
          <w:lang w:val="es-ES_tradnl"/>
        </w:rPr>
        <w:t>.</w:t>
      </w:r>
    </w:p>
    <w:p w14:paraId="7C070037" w14:textId="77777777" w:rsidR="001A7881" w:rsidRPr="00360285" w:rsidRDefault="001A7881" w:rsidP="00360285">
      <w:pPr>
        <w:pStyle w:val="enumlev1"/>
        <w:rPr>
          <w:lang w:val="es-ES_tradnl"/>
        </w:rPr>
      </w:pPr>
      <w:r w:rsidRPr="00360285">
        <w:rPr>
          <w:lang w:val="es-ES_tradnl"/>
        </w:rPr>
        <w:t>–</w:t>
      </w:r>
      <w:r w:rsidRPr="00360285">
        <w:rPr>
          <w:lang w:val="es-ES_tradnl"/>
        </w:rPr>
        <w:tab/>
        <w:t>Enmiendas al texto existente para garantizar la coherencia en la definición y utilización de diversos conceptos de la Recomendación.</w:t>
      </w:r>
    </w:p>
    <w:p w14:paraId="33A03079" w14:textId="2F4AF729" w:rsidR="001A7881" w:rsidRPr="00360285" w:rsidRDefault="001A7881" w:rsidP="00360285">
      <w:pPr>
        <w:pStyle w:val="enumlev1"/>
        <w:rPr>
          <w:lang w:val="es-ES_tradnl"/>
        </w:rPr>
      </w:pPr>
      <w:r w:rsidRPr="00360285">
        <w:rPr>
          <w:lang w:val="es-ES_tradnl"/>
        </w:rPr>
        <w:t>–</w:t>
      </w:r>
      <w:r w:rsidRPr="00360285">
        <w:rPr>
          <w:lang w:val="es-ES_tradnl"/>
        </w:rPr>
        <w:tab/>
        <w:t>Mínimo ángulo de elevación de la ET OSG</w:t>
      </w:r>
      <w:r w:rsidR="00A51900">
        <w:rPr>
          <w:lang w:val="es-ES_tradnl"/>
        </w:rPr>
        <w:t>.</w:t>
      </w:r>
    </w:p>
    <w:p w14:paraId="23705A6A" w14:textId="69F8BB4C" w:rsidR="001A7881" w:rsidRPr="00360285" w:rsidRDefault="001A7881" w:rsidP="00360285">
      <w:pPr>
        <w:pStyle w:val="enumlev1"/>
        <w:rPr>
          <w:lang w:val="es-ES_tradnl"/>
        </w:rPr>
      </w:pPr>
      <w:r w:rsidRPr="00360285">
        <w:rPr>
          <w:lang w:val="es-ES_tradnl"/>
        </w:rPr>
        <w:t>–</w:t>
      </w:r>
      <w:r w:rsidRPr="00360285">
        <w:rPr>
          <w:lang w:val="es-ES_tradnl"/>
        </w:rPr>
        <w:tab/>
        <w:t xml:space="preserve">Eliminación del formato de máscara de </w:t>
      </w:r>
      <w:proofErr w:type="spellStart"/>
      <w:r w:rsidRPr="00360285">
        <w:rPr>
          <w:lang w:val="es-ES_tradnl"/>
        </w:rPr>
        <w:t>dfp</w:t>
      </w:r>
      <w:proofErr w:type="spellEnd"/>
      <w:r w:rsidRPr="00360285">
        <w:rPr>
          <w:lang w:val="es-ES_tradnl"/>
        </w:rPr>
        <w:t xml:space="preserve"> de ángulo X</w:t>
      </w:r>
      <w:r w:rsidR="00A51900">
        <w:rPr>
          <w:lang w:val="es-ES_tradnl"/>
        </w:rPr>
        <w:t>.</w:t>
      </w:r>
    </w:p>
    <w:p w14:paraId="284960C9" w14:textId="77777777" w:rsidR="001A7881" w:rsidRPr="00360285" w:rsidRDefault="001A7881" w:rsidP="00360285">
      <w:pPr>
        <w:pStyle w:val="enumlev1"/>
        <w:rPr>
          <w:lang w:val="es-ES_tradnl"/>
        </w:rPr>
      </w:pPr>
      <w:r w:rsidRPr="00360285">
        <w:rPr>
          <w:lang w:val="es-ES_tradnl"/>
        </w:rPr>
        <w:t>–</w:t>
      </w:r>
      <w:r w:rsidRPr="00360285">
        <w:rPr>
          <w:lang w:val="es-ES_tradnl"/>
        </w:rPr>
        <w:tab/>
        <w:t>Aclaración de las coordenadas (theta, phi) utilizadas en la Recomendación UIT-R S.1503.</w:t>
      </w:r>
    </w:p>
    <w:p w14:paraId="2212D56A" w14:textId="7DF1FE20" w:rsidR="001A7881" w:rsidRPr="00360285" w:rsidRDefault="001A7881" w:rsidP="00986F9C">
      <w:pPr>
        <w:spacing w:before="120"/>
        <w:rPr>
          <w:lang w:val="es-ES_tradnl"/>
        </w:rPr>
      </w:pPr>
      <w:r w:rsidRPr="00360285">
        <w:rPr>
          <w:lang w:val="es-ES_tradnl"/>
        </w:rPr>
        <w:t xml:space="preserve">El Grupo de Trabajo 4A acordó trabajar inmediatamente sobre una nueva revisión y ha preparado un proyecto de plan de trabajo y un documento de trabajo con miras a un APRR UIT-R S.1503 en los Anexos 9 y 10 al Documento </w:t>
      </w:r>
      <w:hyperlink r:id="rId12" w:history="1">
        <w:r w:rsidRPr="00360285">
          <w:rPr>
            <w:rStyle w:val="Hyperlink"/>
            <w:rFonts w:asciiTheme="minorHAnsi" w:hAnsiTheme="minorHAnsi" w:cstheme="minorHAnsi"/>
            <w:lang w:val="es-ES_tradnl"/>
          </w:rPr>
          <w:t>4A/978</w:t>
        </w:r>
      </w:hyperlink>
      <w:r w:rsidRPr="00360285">
        <w:rPr>
          <w:lang w:val="es-ES_tradnl"/>
        </w:rPr>
        <w:t>. En el documento de trabajo para un APRR UIT-R S.1503 se consideran de particular interés los siguientes elementos:</w:t>
      </w:r>
    </w:p>
    <w:p w14:paraId="4792078B" w14:textId="30427A17" w:rsidR="001A7881" w:rsidRPr="00360285" w:rsidRDefault="001A7881" w:rsidP="00360285">
      <w:pPr>
        <w:pStyle w:val="enumlev1"/>
        <w:rPr>
          <w:lang w:val="es-ES_tradnl"/>
        </w:rPr>
      </w:pPr>
      <w:r w:rsidRPr="00360285">
        <w:rPr>
          <w:lang w:val="es-ES_tradnl"/>
        </w:rPr>
        <w:t>•</w:t>
      </w:r>
      <w:r w:rsidRPr="00360285">
        <w:rPr>
          <w:lang w:val="es-ES_tradnl"/>
        </w:rPr>
        <w:tab/>
        <w:t>Geometría del caso más desfavorable</w:t>
      </w:r>
      <w:r w:rsidR="00A51900">
        <w:rPr>
          <w:lang w:val="es-ES_tradnl"/>
        </w:rPr>
        <w:t>.</w:t>
      </w:r>
    </w:p>
    <w:p w14:paraId="483836A3" w14:textId="01529F8C" w:rsidR="001A7881" w:rsidRPr="00360285" w:rsidRDefault="001A7881" w:rsidP="00360285">
      <w:pPr>
        <w:pStyle w:val="enumlev1"/>
        <w:rPr>
          <w:lang w:val="es-ES_tradnl"/>
        </w:rPr>
      </w:pPr>
      <w:r w:rsidRPr="00360285">
        <w:rPr>
          <w:lang w:val="es-ES_tradnl"/>
        </w:rPr>
        <w:t>•</w:t>
      </w:r>
      <w:r w:rsidRPr="00360285">
        <w:rPr>
          <w:lang w:val="es-ES_tradnl"/>
        </w:rPr>
        <w:tab/>
        <w:t>Ciclo de trabajo de la máscara de emisión del enlace descendente.</w:t>
      </w:r>
    </w:p>
    <w:p w14:paraId="2F94EE92" w14:textId="20BF1E2B" w:rsidR="001A7881" w:rsidRPr="00360285" w:rsidRDefault="001A7881" w:rsidP="00360285">
      <w:pPr>
        <w:pStyle w:val="enumlev1"/>
        <w:rPr>
          <w:lang w:val="es-ES_tradnl"/>
        </w:rPr>
      </w:pPr>
      <w:r w:rsidRPr="00360285">
        <w:rPr>
          <w:lang w:val="es-ES_tradnl"/>
        </w:rPr>
        <w:t>•</w:t>
      </w:r>
      <w:r w:rsidRPr="00360285">
        <w:rPr>
          <w:lang w:val="es-ES_tradnl"/>
        </w:rPr>
        <w:tab/>
        <w:t>Esquema de transmisión en intervalos definidos</w:t>
      </w:r>
      <w:r w:rsidR="00A51900">
        <w:rPr>
          <w:lang w:val="es-ES_tradnl"/>
        </w:rPr>
        <w:t>.</w:t>
      </w:r>
    </w:p>
    <w:p w14:paraId="7F912B54" w14:textId="5EF511B0" w:rsidR="001A7881" w:rsidRPr="00360285" w:rsidRDefault="001A7881" w:rsidP="00360285">
      <w:pPr>
        <w:pStyle w:val="enumlev1"/>
        <w:rPr>
          <w:lang w:val="es-ES_tradnl"/>
        </w:rPr>
      </w:pPr>
      <w:r w:rsidRPr="00360285">
        <w:rPr>
          <w:lang w:val="es-ES_tradnl"/>
        </w:rPr>
        <w:t>•</w:t>
      </w:r>
      <w:r w:rsidRPr="00360285">
        <w:rPr>
          <w:lang w:val="es-ES_tradnl"/>
        </w:rPr>
        <w:tab/>
        <w:t xml:space="preserve">Selección de la </w:t>
      </w:r>
      <w:proofErr w:type="spellStart"/>
      <w:r w:rsidRPr="00360285">
        <w:rPr>
          <w:lang w:val="es-ES_tradnl"/>
        </w:rPr>
        <w:t>dfpe</w:t>
      </w:r>
      <w:proofErr w:type="spellEnd"/>
      <w:r w:rsidR="00A51900">
        <w:rPr>
          <w:lang w:val="es-ES_tradnl"/>
        </w:rPr>
        <w:t xml:space="preserve"> </w:t>
      </w:r>
      <w:r w:rsidRPr="00360285">
        <w:rPr>
          <w:lang w:val="es-ES_tradnl"/>
        </w:rPr>
        <w:t xml:space="preserve">(descendente) de satélite, por </w:t>
      </w:r>
      <w:proofErr w:type="gramStart"/>
      <w:r w:rsidRPr="00360285">
        <w:rPr>
          <w:lang w:val="es-ES_tradnl"/>
        </w:rPr>
        <w:t>ejemplo</w:t>
      </w:r>
      <w:proofErr w:type="gramEnd"/>
      <w:r w:rsidRPr="00360285">
        <w:rPr>
          <w:lang w:val="es-ES_tradnl"/>
        </w:rPr>
        <w:t xml:space="preserve"> el concepto de cuadro alfa.</w:t>
      </w:r>
    </w:p>
    <w:p w14:paraId="7F3842FA" w14:textId="7AB4845F" w:rsidR="001A7881" w:rsidRPr="00360285" w:rsidRDefault="001A7881" w:rsidP="00360285">
      <w:pPr>
        <w:pStyle w:val="enumlev1"/>
        <w:rPr>
          <w:lang w:val="es-ES_tradnl"/>
        </w:rPr>
      </w:pPr>
      <w:r w:rsidRPr="00360285">
        <w:rPr>
          <w:lang w:val="es-ES_tradnl"/>
        </w:rPr>
        <w:t>•</w:t>
      </w:r>
      <w:r w:rsidRPr="00360285">
        <w:rPr>
          <w:lang w:val="es-ES_tradnl"/>
        </w:rPr>
        <w:tab/>
        <w:t>Diagramas de antena de la estación terrena OSG</w:t>
      </w:r>
      <w:r w:rsidR="00A51900">
        <w:rPr>
          <w:lang w:val="es-ES_tradnl"/>
        </w:rPr>
        <w:t>.</w:t>
      </w:r>
    </w:p>
    <w:p w14:paraId="2C6E6EA0" w14:textId="7A471EE1" w:rsidR="001A7881" w:rsidRPr="00360285" w:rsidRDefault="001A7881" w:rsidP="00360285">
      <w:pPr>
        <w:pStyle w:val="enumlev1"/>
        <w:rPr>
          <w:lang w:val="es-ES_tradnl"/>
        </w:rPr>
      </w:pPr>
      <w:r w:rsidRPr="00360285">
        <w:rPr>
          <w:lang w:val="es-ES_tradnl"/>
        </w:rPr>
        <w:t>•</w:t>
      </w:r>
      <w:r w:rsidRPr="00360285">
        <w:rPr>
          <w:lang w:val="es-ES_tradnl"/>
        </w:rPr>
        <w:tab/>
        <w:t>Mejoras de la ejecución.</w:t>
      </w:r>
    </w:p>
    <w:p w14:paraId="2396C911" w14:textId="15788D02" w:rsidR="001A7881" w:rsidRPr="00360285" w:rsidRDefault="001A7881" w:rsidP="00360285">
      <w:pPr>
        <w:pStyle w:val="enumlev1"/>
        <w:rPr>
          <w:lang w:val="es-ES_tradnl"/>
        </w:rPr>
      </w:pPr>
      <w:r w:rsidRPr="00360285">
        <w:rPr>
          <w:lang w:val="es-ES_tradnl"/>
        </w:rPr>
        <w:t>•</w:t>
      </w:r>
      <w:r w:rsidRPr="00360285">
        <w:rPr>
          <w:lang w:val="es-ES_tradnl"/>
        </w:rPr>
        <w:tab/>
        <w:t>Relaciones entre los diversos parámetros</w:t>
      </w:r>
      <w:r w:rsidR="00A51900">
        <w:rPr>
          <w:lang w:val="es-ES_tradnl"/>
        </w:rPr>
        <w:t>.</w:t>
      </w:r>
    </w:p>
    <w:p w14:paraId="6AAC5BF4" w14:textId="77777777" w:rsidR="001A7881" w:rsidRPr="00360285" w:rsidRDefault="001A7881" w:rsidP="00360285">
      <w:pPr>
        <w:pStyle w:val="enumlev1"/>
        <w:rPr>
          <w:lang w:val="es-ES_tradnl"/>
        </w:rPr>
      </w:pPr>
      <w:r w:rsidRPr="00360285">
        <w:rPr>
          <w:lang w:val="es-ES_tradnl"/>
        </w:rPr>
        <w:t>•</w:t>
      </w:r>
      <w:r w:rsidRPr="00360285">
        <w:rPr>
          <w:lang w:val="es-ES_tradnl"/>
        </w:rPr>
        <w:tab/>
        <w:t>Metodología para evaluar los posibles cambios en la presente Recomendación.</w:t>
      </w:r>
    </w:p>
    <w:p w14:paraId="7150841E" w14:textId="77777777" w:rsidR="001A7881" w:rsidRPr="00360285" w:rsidRDefault="001A7881" w:rsidP="00360285">
      <w:pPr>
        <w:pStyle w:val="enumlev1"/>
        <w:rPr>
          <w:lang w:val="es-ES_tradnl"/>
        </w:rPr>
      </w:pPr>
      <w:r w:rsidRPr="00360285">
        <w:rPr>
          <w:lang w:val="es-ES_tradnl"/>
        </w:rPr>
        <w:t>•</w:t>
      </w:r>
      <w:r w:rsidRPr="00360285">
        <w:rPr>
          <w:lang w:val="es-ES_tradnl"/>
        </w:rPr>
        <w:tab/>
        <w:t>Consideración de los sistemas de satélites no OSG que utilizan haces orientables y otros métodos de selección de satélites.</w:t>
      </w:r>
    </w:p>
    <w:p w14:paraId="38E962FE" w14:textId="4CC65586" w:rsidR="001A7881" w:rsidRPr="00360285" w:rsidRDefault="001A7881" w:rsidP="00986F9C">
      <w:pPr>
        <w:spacing w:before="120"/>
        <w:rPr>
          <w:lang w:val="es-ES_tradnl"/>
        </w:rPr>
      </w:pPr>
      <w:r w:rsidRPr="00360285">
        <w:rPr>
          <w:lang w:val="es-ES_tradnl"/>
        </w:rPr>
        <w:t>Algunos de estos elementos podrían tener repercusiones reglamentarias y/o de procedimiento.</w:t>
      </w:r>
    </w:p>
    <w:p w14:paraId="6C8779EB" w14:textId="77777777" w:rsidR="001A7881" w:rsidRPr="00360285" w:rsidRDefault="001A7881" w:rsidP="00986F9C">
      <w:pPr>
        <w:spacing w:before="120"/>
        <w:rPr>
          <w:lang w:val="es-ES_tradnl"/>
        </w:rPr>
      </w:pPr>
      <w:r w:rsidRPr="00360285">
        <w:rPr>
          <w:lang w:val="es-ES_tradnl"/>
        </w:rPr>
        <w:t xml:space="preserve">Por ejemplo, en el caso del primer punto, geometría del caso más desfavorable, si se prosigue con este concepto, debe darse a la administración notificante del sistema de satélites no OSG la oportunidad de tomar medidas correctivas para eliminar el rebasamiento de la </w:t>
      </w:r>
      <w:proofErr w:type="spellStart"/>
      <w:r w:rsidRPr="00360285">
        <w:rPr>
          <w:lang w:val="es-ES_tradnl"/>
        </w:rPr>
        <w:t>dfpe</w:t>
      </w:r>
      <w:proofErr w:type="spellEnd"/>
      <w:r w:rsidRPr="00360285">
        <w:rPr>
          <w:lang w:val="es-ES_tradnl"/>
        </w:rPr>
        <w:t xml:space="preserve"> en los puntos de prueba en los que se rebasa la </w:t>
      </w:r>
      <w:proofErr w:type="spellStart"/>
      <w:r w:rsidRPr="00360285">
        <w:rPr>
          <w:lang w:val="es-ES_tradnl"/>
        </w:rPr>
        <w:t>dfpe</w:t>
      </w:r>
      <w:proofErr w:type="spellEnd"/>
      <w:r w:rsidRPr="00360285">
        <w:rPr>
          <w:lang w:val="es-ES_tradnl"/>
        </w:rPr>
        <w:t>.</w:t>
      </w:r>
    </w:p>
    <w:p w14:paraId="245D2FCC" w14:textId="77777777" w:rsidR="001A7881" w:rsidRPr="00360285" w:rsidRDefault="001A7881" w:rsidP="00986F9C">
      <w:pPr>
        <w:spacing w:before="120"/>
        <w:rPr>
          <w:lang w:val="es-ES_tradnl"/>
        </w:rPr>
      </w:pPr>
      <w:r w:rsidRPr="00360285">
        <w:rPr>
          <w:lang w:val="es-ES_tradnl"/>
        </w:rPr>
        <w:t>Con respecto al cuadro alfa, debe demostrarse que esta solución trata de manera equitativa los sistemas de satélites no OSG de pequeño tamaño (menos de 1 000 satélites) y los sistemas de gran tamaño (más de 1 000 satélites).</w:t>
      </w:r>
    </w:p>
    <w:p w14:paraId="25FF6FAA" w14:textId="77777777" w:rsidR="001A7881" w:rsidRPr="00360285" w:rsidRDefault="001A7881" w:rsidP="00986F9C">
      <w:pPr>
        <w:spacing w:before="120"/>
        <w:rPr>
          <w:lang w:val="es-ES_tradnl"/>
        </w:rPr>
      </w:pPr>
      <w:r w:rsidRPr="00360285">
        <w:rPr>
          <w:lang w:val="es-ES_tradnl"/>
        </w:rPr>
        <w:t>Cualquier combinación o conjunto de los elementos anteriores debe reflejar adecuadamente la realidad del funcionamiento del sistema no OSG.</w:t>
      </w:r>
    </w:p>
    <w:p w14:paraId="536B9C55" w14:textId="0F8E2D4A" w:rsidR="001A7881" w:rsidRPr="00360285" w:rsidRDefault="001A7881" w:rsidP="00986F9C">
      <w:pPr>
        <w:spacing w:before="120"/>
        <w:rPr>
          <w:lang w:val="es-ES_tradnl"/>
        </w:rPr>
      </w:pPr>
      <w:r w:rsidRPr="00360285">
        <w:rPr>
          <w:lang w:val="es-ES_tradnl"/>
        </w:rPr>
        <w:t xml:space="preserve">El Grupo de Trabajo 4A considera que este plan de trabajo que figura en el </w:t>
      </w:r>
      <w:hyperlink r:id="rId13" w:history="1">
        <w:r w:rsidRPr="00360285">
          <w:rPr>
            <w:rStyle w:val="Hyperlink"/>
            <w:rFonts w:asciiTheme="minorHAnsi" w:hAnsiTheme="minorHAnsi" w:cstheme="minorHAnsi"/>
            <w:lang w:val="es-ES_tradnl"/>
          </w:rPr>
          <w:t>Anexo 9 al Documento</w:t>
        </w:r>
        <w:r w:rsidR="00986F9C">
          <w:rPr>
            <w:rStyle w:val="Hyperlink"/>
            <w:rFonts w:asciiTheme="minorHAnsi" w:hAnsiTheme="minorHAnsi" w:cstheme="minorHAnsi"/>
            <w:lang w:val="es-ES_tradnl"/>
          </w:rPr>
          <w:t> </w:t>
        </w:r>
        <w:r w:rsidRPr="00360285">
          <w:rPr>
            <w:rStyle w:val="Hyperlink"/>
            <w:rFonts w:asciiTheme="minorHAnsi" w:hAnsiTheme="minorHAnsi" w:cstheme="minorHAnsi"/>
            <w:lang w:val="es-ES_tradnl"/>
          </w:rPr>
          <w:t>4A/978</w:t>
        </w:r>
      </w:hyperlink>
      <w:r w:rsidRPr="00360285">
        <w:rPr>
          <w:lang w:val="es-ES_tradnl"/>
        </w:rPr>
        <w:t xml:space="preserve"> es muy importante para las administraciones a la hora de adoptar y aprobar el PRR UIT-R S.1503-3. En consecuencia, el GT 4A recomendaría a la CE 4 que también incluya este plan de trabajo cuando distribuya el proyecto de revisión de la Recomendación UIT-R S.1503-3 a las administraciones para su adopción y aprobación por correspondencia.</w:t>
      </w:r>
    </w:p>
    <w:p w14:paraId="62593EF8" w14:textId="60CDF26F" w:rsidR="001A7881" w:rsidRPr="00360285" w:rsidRDefault="001A7881" w:rsidP="001A7881">
      <w:pPr>
        <w:pStyle w:val="AnnexNoTitle"/>
        <w:rPr>
          <w:rFonts w:asciiTheme="minorHAnsi" w:hAnsiTheme="minorHAnsi" w:cstheme="minorHAnsi"/>
          <w:sz w:val="28"/>
          <w:szCs w:val="20"/>
          <w:lang w:val="es-ES_tradnl"/>
        </w:rPr>
      </w:pPr>
      <w:r w:rsidRPr="00360285">
        <w:rPr>
          <w:rFonts w:asciiTheme="minorHAnsi" w:hAnsiTheme="minorHAnsi" w:cstheme="minorHAnsi"/>
          <w:sz w:val="28"/>
          <w:szCs w:val="20"/>
          <w:lang w:val="es-ES_tradnl"/>
        </w:rPr>
        <w:lastRenderedPageBreak/>
        <w:t>Anexo 2</w:t>
      </w:r>
      <w:r w:rsidR="00360285" w:rsidRPr="00360285">
        <w:rPr>
          <w:rFonts w:asciiTheme="minorHAnsi" w:hAnsiTheme="minorHAnsi" w:cstheme="minorHAnsi"/>
          <w:sz w:val="28"/>
          <w:szCs w:val="20"/>
          <w:lang w:val="es-ES_tradnl"/>
        </w:rPr>
        <w:br/>
      </w:r>
      <w:r w:rsidR="00360285" w:rsidRPr="00360285">
        <w:rPr>
          <w:rFonts w:asciiTheme="minorHAnsi" w:hAnsiTheme="minorHAnsi" w:cstheme="minorHAnsi"/>
          <w:sz w:val="28"/>
          <w:szCs w:val="20"/>
          <w:lang w:val="es-ES_tradnl"/>
        </w:rPr>
        <w:br/>
      </w:r>
      <w:r w:rsidRPr="00360285">
        <w:rPr>
          <w:rFonts w:asciiTheme="minorHAnsi" w:hAnsiTheme="minorHAnsi" w:cstheme="minorHAnsi"/>
          <w:sz w:val="28"/>
          <w:szCs w:val="20"/>
          <w:lang w:val="es-ES_tradnl"/>
        </w:rPr>
        <w:t>Propuesta de supresión de Recomendación UIT-R</w:t>
      </w:r>
    </w:p>
    <w:p w14:paraId="14D1A4FC" w14:textId="77777777" w:rsidR="001A7881" w:rsidRPr="00360285" w:rsidRDefault="001A7881" w:rsidP="00986F9C">
      <w:pPr>
        <w:spacing w:before="240" w:after="720"/>
        <w:jc w:val="center"/>
        <w:rPr>
          <w:rFonts w:asciiTheme="minorHAnsi" w:hAnsiTheme="minorHAnsi" w:cstheme="minorHAnsi"/>
          <w:szCs w:val="24"/>
          <w:lang w:val="es-ES_tradnl"/>
        </w:rPr>
      </w:pPr>
      <w:r w:rsidRPr="00360285">
        <w:rPr>
          <w:rFonts w:asciiTheme="minorHAnsi" w:hAnsiTheme="minorHAnsi" w:cstheme="minorHAnsi"/>
          <w:lang w:val="es-ES_tradnl"/>
        </w:rPr>
        <w:t>(Origen: Documento 4/89, § 1.2.3)</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1A7881" w:rsidRPr="00360285" w14:paraId="7CA1BE77" w14:textId="77777777" w:rsidTr="007D1C27">
        <w:trPr>
          <w:cantSplit/>
          <w:tblHeader/>
          <w:jc w:val="center"/>
        </w:trPr>
        <w:tc>
          <w:tcPr>
            <w:tcW w:w="1745" w:type="dxa"/>
            <w:vAlign w:val="center"/>
            <w:hideMark/>
          </w:tcPr>
          <w:p w14:paraId="49B318CF" w14:textId="77777777" w:rsidR="001A7881" w:rsidRPr="00360285" w:rsidRDefault="001A7881" w:rsidP="00360285">
            <w:pPr>
              <w:pStyle w:val="Tablehead"/>
              <w:rPr>
                <w:lang w:val="es-ES_tradnl"/>
              </w:rPr>
            </w:pPr>
            <w:r w:rsidRPr="00360285">
              <w:rPr>
                <w:lang w:val="es-ES_tradnl"/>
              </w:rPr>
              <w:t>Recomendación UIT-R</w:t>
            </w:r>
          </w:p>
        </w:tc>
        <w:tc>
          <w:tcPr>
            <w:tcW w:w="7698" w:type="dxa"/>
            <w:vAlign w:val="center"/>
            <w:hideMark/>
          </w:tcPr>
          <w:p w14:paraId="76CB9F0D" w14:textId="77777777" w:rsidR="001A7881" w:rsidRPr="00360285" w:rsidRDefault="001A7881" w:rsidP="00360285">
            <w:pPr>
              <w:pStyle w:val="Tablehead"/>
              <w:rPr>
                <w:lang w:val="es-ES_tradnl"/>
              </w:rPr>
            </w:pPr>
            <w:r w:rsidRPr="00360285">
              <w:rPr>
                <w:lang w:val="es-ES_tradnl"/>
              </w:rPr>
              <w:t>Título</w:t>
            </w:r>
          </w:p>
        </w:tc>
      </w:tr>
      <w:tr w:rsidR="001A7881" w:rsidRPr="00986F9C" w14:paraId="1012F21C" w14:textId="77777777" w:rsidTr="007D1C27">
        <w:trPr>
          <w:cantSplit/>
          <w:jc w:val="center"/>
        </w:trPr>
        <w:tc>
          <w:tcPr>
            <w:tcW w:w="1745" w:type="dxa"/>
            <w:tcMar>
              <w:top w:w="0" w:type="dxa"/>
              <w:left w:w="108" w:type="dxa"/>
              <w:bottom w:w="0" w:type="dxa"/>
              <w:right w:w="108" w:type="dxa"/>
            </w:tcMar>
          </w:tcPr>
          <w:p w14:paraId="6414C819" w14:textId="77777777" w:rsidR="001A7881" w:rsidRPr="00360285" w:rsidRDefault="001A7881" w:rsidP="00A51900">
            <w:pPr>
              <w:pStyle w:val="Tabletext"/>
              <w:jc w:val="center"/>
              <w:rPr>
                <w:lang w:val="es-ES_tradnl"/>
              </w:rPr>
            </w:pPr>
            <w:r w:rsidRPr="00360285">
              <w:rPr>
                <w:lang w:val="es-ES_tradnl"/>
              </w:rPr>
              <w:t>S.354</w:t>
            </w:r>
          </w:p>
        </w:tc>
        <w:tc>
          <w:tcPr>
            <w:tcW w:w="7698" w:type="dxa"/>
            <w:tcMar>
              <w:top w:w="0" w:type="dxa"/>
              <w:left w:w="108" w:type="dxa"/>
              <w:bottom w:w="0" w:type="dxa"/>
              <w:right w:w="108" w:type="dxa"/>
            </w:tcMar>
          </w:tcPr>
          <w:p w14:paraId="0C4D6471" w14:textId="231ACD71" w:rsidR="001A7881" w:rsidRPr="00A51900" w:rsidRDefault="001A7881" w:rsidP="00A51900">
            <w:pPr>
              <w:pStyle w:val="Tabletext"/>
              <w:rPr>
                <w:lang w:val="es-ES_tradnl"/>
              </w:rPr>
            </w:pPr>
            <w:r w:rsidRPr="00A51900">
              <w:rPr>
                <w:lang w:val="es-ES_tradnl"/>
              </w:rPr>
              <w:t>Anchura de banda de vídeo y nivel de ruido admisible en el circuito ficticio de referencia para el servicio fijo por satélite</w:t>
            </w:r>
          </w:p>
        </w:tc>
      </w:tr>
    </w:tbl>
    <w:p w14:paraId="1C386053" w14:textId="77777777" w:rsidR="001A7881" w:rsidRPr="00360285" w:rsidRDefault="001A7881" w:rsidP="00EF4583">
      <w:pPr>
        <w:pStyle w:val="Reasons"/>
        <w:rPr>
          <w:lang w:val="es-ES_tradnl"/>
        </w:rPr>
      </w:pPr>
    </w:p>
    <w:p w14:paraId="0CC75DB1" w14:textId="1F9CE480" w:rsidR="00D239B4" w:rsidRPr="00360285" w:rsidRDefault="001A7881" w:rsidP="00EF4583">
      <w:pPr>
        <w:jc w:val="center"/>
        <w:rPr>
          <w:rFonts w:asciiTheme="minorHAnsi" w:hAnsiTheme="minorHAnsi" w:cstheme="minorHAnsi"/>
          <w:lang w:val="es-ES_tradnl"/>
        </w:rPr>
      </w:pPr>
      <w:r w:rsidRPr="00360285">
        <w:rPr>
          <w:rFonts w:asciiTheme="minorHAnsi" w:hAnsiTheme="minorHAnsi" w:cstheme="minorHAnsi"/>
          <w:lang w:val="es-ES_tradnl"/>
        </w:rPr>
        <w:t>__________</w:t>
      </w:r>
    </w:p>
    <w:sectPr w:rsidR="00D239B4" w:rsidRPr="00360285"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172" w14:textId="094DAF67" w:rsidR="00E915AF" w:rsidRPr="00EF64CC" w:rsidRDefault="00EF64CC" w:rsidP="00EF64CC">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0340C8B1" w:rsidR="00C07D41" w:rsidRDefault="00C07D41" w:rsidP="00C07D41">
          <w:pPr>
            <w:pStyle w:val="Header"/>
            <w:spacing w:line="360" w:lineRule="auto"/>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A7881"/>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0285"/>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1939"/>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5AF8"/>
    <w:rsid w:val="008F4F21"/>
    <w:rsid w:val="00904D4A"/>
    <w:rsid w:val="009076D7"/>
    <w:rsid w:val="00912DAB"/>
    <w:rsid w:val="009151BA"/>
    <w:rsid w:val="009229D1"/>
    <w:rsid w:val="00925023"/>
    <w:rsid w:val="009277BC"/>
    <w:rsid w:val="00927D57"/>
    <w:rsid w:val="00931A51"/>
    <w:rsid w:val="00947185"/>
    <w:rsid w:val="009518B3"/>
    <w:rsid w:val="00963D9D"/>
    <w:rsid w:val="0098013E"/>
    <w:rsid w:val="00981B54"/>
    <w:rsid w:val="009842C3"/>
    <w:rsid w:val="00986F9C"/>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7D4C"/>
    <w:rsid w:val="00A31370"/>
    <w:rsid w:val="00A34D6F"/>
    <w:rsid w:val="00A41F91"/>
    <w:rsid w:val="00A51900"/>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4583"/>
    <w:rsid w:val="00EF64CC"/>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uiPriority w:val="99"/>
    <w:rsid w:val="001A7881"/>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1A7881"/>
    <w:rPr>
      <w:szCs w:val="22"/>
      <w:lang w:val="en-US" w:eastAsia="en-US"/>
    </w:rPr>
  </w:style>
  <w:style w:type="character" w:customStyle="1" w:styleId="TableheadChar">
    <w:name w:val="Table_head Char"/>
    <w:basedOn w:val="DefaultParagraphFont"/>
    <w:link w:val="Tablehead"/>
    <w:uiPriority w:val="99"/>
    <w:locked/>
    <w:rsid w:val="001A7881"/>
    <w:rPr>
      <w:b/>
      <w:szCs w:val="22"/>
      <w:lang w:val="en-US" w:eastAsia="en-US"/>
    </w:rPr>
  </w:style>
  <w:style w:type="paragraph" w:customStyle="1" w:styleId="Normalaftertitle0">
    <w:name w:val="Normal after title"/>
    <w:basedOn w:val="Normal"/>
    <w:next w:val="Normal"/>
    <w:link w:val="NormalaftertitleChar0"/>
    <w:rsid w:val="001A7881"/>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1A7881"/>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1A7881"/>
    <w:rPr>
      <w:b/>
      <w:sz w:val="24"/>
      <w:szCs w:val="22"/>
      <w:lang w:val="en-US" w:eastAsia="en-US"/>
    </w:rPr>
  </w:style>
  <w:style w:type="character" w:customStyle="1" w:styleId="NormalaftertitleChar">
    <w:name w:val="Normal_after_title Char"/>
    <w:basedOn w:val="DefaultParagraphFont"/>
    <w:link w:val="Normalaftertitle"/>
    <w:uiPriority w:val="99"/>
    <w:rsid w:val="001A7881"/>
    <w:rPr>
      <w:sz w:val="24"/>
      <w:szCs w:val="22"/>
      <w:lang w:val="en-US" w:eastAsia="en-US"/>
    </w:rPr>
  </w:style>
  <w:style w:type="paragraph" w:styleId="BodyTextIndent">
    <w:name w:val="Body Text Indent"/>
    <w:basedOn w:val="Normal"/>
    <w:link w:val="BodyTextIndentChar"/>
    <w:semiHidden/>
    <w:unhideWhenUsed/>
    <w:rsid w:val="001A7881"/>
    <w:pPr>
      <w:spacing w:after="120"/>
      <w:ind w:left="283"/>
    </w:pPr>
  </w:style>
  <w:style w:type="character" w:customStyle="1" w:styleId="BodyTextIndentChar">
    <w:name w:val="Body Text Indent Char"/>
    <w:basedOn w:val="DefaultParagraphFont"/>
    <w:link w:val="BodyTextIndent"/>
    <w:semiHidden/>
    <w:rsid w:val="001A7881"/>
    <w:rPr>
      <w:sz w:val="24"/>
      <w:szCs w:val="22"/>
      <w:lang w:val="en-US" w:eastAsia="en-US"/>
    </w:rPr>
  </w:style>
  <w:style w:type="paragraph" w:customStyle="1" w:styleId="Reasons">
    <w:name w:val="Reasons"/>
    <w:basedOn w:val="Normal"/>
    <w:qFormat/>
    <w:rsid w:val="001A788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0">
    <w:name w:val="enumlev1 Знак"/>
    <w:link w:val="enumlev1"/>
    <w:qFormat/>
    <w:locked/>
    <w:rsid w:val="001A7881"/>
    <w:rPr>
      <w:sz w:val="24"/>
      <w:szCs w:val="22"/>
      <w:lang w:val="en-US" w:eastAsia="en-US"/>
    </w:rPr>
  </w:style>
  <w:style w:type="character" w:styleId="FollowedHyperlink">
    <w:name w:val="FollowedHyperlink"/>
    <w:basedOn w:val="DefaultParagraphFont"/>
    <w:semiHidden/>
    <w:unhideWhenUsed/>
    <w:rsid w:val="00EF4583"/>
    <w:rPr>
      <w:color w:val="800080" w:themeColor="followedHyperlink"/>
      <w:u w:val="single"/>
    </w:rPr>
  </w:style>
  <w:style w:type="character" w:customStyle="1" w:styleId="FooterChar">
    <w:name w:val="Footer Char"/>
    <w:basedOn w:val="DefaultParagraphFont"/>
    <w:link w:val="Footer"/>
    <w:uiPriority w:val="99"/>
    <w:rsid w:val="00A27D4C"/>
    <w:rPr>
      <w:sz w:val="24"/>
      <w:szCs w:val="22"/>
      <w:lang w:val="en-US" w:eastAsia="en-US"/>
    </w:rPr>
  </w:style>
  <w:style w:type="character" w:styleId="UnresolvedMention">
    <w:name w:val="Unresolved Mention"/>
    <w:basedOn w:val="DefaultParagraphFont"/>
    <w:uiPriority w:val="99"/>
    <w:semiHidden/>
    <w:unhideWhenUsed/>
    <w:rsid w:val="00A5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dms_ties/itu-r/md/19/wp4a/c/R19-WP4A-C-0978!N09!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WP4A-C-0978/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503/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2019-SG%2004-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1479</Words>
  <Characters>8682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9</cp:revision>
  <cp:lastPrinted>2023-07-13T09:05:00Z</cp:lastPrinted>
  <dcterms:created xsi:type="dcterms:W3CDTF">2023-07-13T08:42:00Z</dcterms:created>
  <dcterms:modified xsi:type="dcterms:W3CDTF">2023-07-19T09:34:00Z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