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2100B2D0" w14:textId="77777777" w:rsidTr="00153E23">
        <w:tc>
          <w:tcPr>
            <w:tcW w:w="5000" w:type="pct"/>
            <w:gridSpan w:val="3"/>
            <w:shd w:val="clear" w:color="auto" w:fill="auto"/>
          </w:tcPr>
          <w:p w14:paraId="370CAF1D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CA6AB25" w14:textId="3580C626" w:rsidR="000F7BBE" w:rsidRPr="000F7BBE" w:rsidRDefault="000F7BBE" w:rsidP="005F6952">
            <w:pPr>
              <w:tabs>
                <w:tab w:val="clear" w:pos="794"/>
                <w:tab w:val="left" w:pos="3825"/>
              </w:tabs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823B5A0" w14:textId="77777777" w:rsidTr="00153E23">
        <w:tc>
          <w:tcPr>
            <w:tcW w:w="2707" w:type="pct"/>
            <w:gridSpan w:val="2"/>
            <w:shd w:val="clear" w:color="auto" w:fill="auto"/>
          </w:tcPr>
          <w:p w14:paraId="32D89F85" w14:textId="361FCF77" w:rsidR="000F7BBE" w:rsidRPr="001A73F9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1A73F9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3B6C6F82" w14:textId="570EEB97" w:rsidR="000F7BBE" w:rsidRPr="003A2A02" w:rsidRDefault="000F7BBE" w:rsidP="004111FB">
            <w:pPr>
              <w:spacing w:before="0" w:after="60" w:line="300" w:lineRule="exact"/>
              <w:rPr>
                <w:position w:val="2"/>
                <w:rtl/>
                <w:lang w:val="fr-CH" w:bidi="ar-SY"/>
              </w:rPr>
            </w:pPr>
            <w:r w:rsidRPr="001A73F9">
              <w:rPr>
                <w:b/>
                <w:bCs/>
                <w:position w:val="2"/>
                <w:lang w:val="en-GB" w:bidi="ar-EG"/>
              </w:rPr>
              <w:t>CACE/</w:t>
            </w:r>
            <w:r w:rsidR="001A73F9">
              <w:rPr>
                <w:b/>
                <w:bCs/>
                <w:position w:val="2"/>
                <w:lang w:val="en-GB" w:bidi="ar-EG"/>
              </w:rPr>
              <w:t>106</w:t>
            </w:r>
            <w:r w:rsidR="003A2A02">
              <w:rPr>
                <w:b/>
                <w:bCs/>
                <w:position w:val="2"/>
                <w:lang w:val="fr-CH" w:bidi="ar-EG"/>
              </w:rPr>
              <w:t>9</w:t>
            </w:r>
          </w:p>
        </w:tc>
        <w:tc>
          <w:tcPr>
            <w:tcW w:w="2293" w:type="pct"/>
            <w:shd w:val="clear" w:color="auto" w:fill="auto"/>
          </w:tcPr>
          <w:p w14:paraId="49FE9EED" w14:textId="363BF870" w:rsidR="000F7BBE" w:rsidRPr="000F7BBE" w:rsidRDefault="003A2A02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  <w:lang w:val="fr-FR" w:bidi="ar-SY"/>
              </w:rPr>
              <w:t>20 ي</w:t>
            </w:r>
            <w:r w:rsidR="00ED3BA1">
              <w:rPr>
                <w:rFonts w:hint="cs"/>
                <w:position w:val="2"/>
                <w:rtl/>
                <w:lang w:val="fr-FR" w:bidi="ar-SY"/>
              </w:rPr>
              <w:t>وليو</w:t>
            </w:r>
            <w:r w:rsidR="000F7BBE" w:rsidRPr="000F7BB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>
              <w:rPr>
                <w:position w:val="2"/>
                <w:lang w:bidi="ar-EG"/>
              </w:rPr>
              <w:t>2023</w:t>
            </w:r>
          </w:p>
        </w:tc>
      </w:tr>
      <w:tr w:rsidR="000F7BBE" w:rsidRPr="000F7BBE" w14:paraId="7B189331" w14:textId="77777777" w:rsidTr="00153E23">
        <w:tc>
          <w:tcPr>
            <w:tcW w:w="5000" w:type="pct"/>
            <w:gridSpan w:val="3"/>
            <w:shd w:val="clear" w:color="auto" w:fill="auto"/>
          </w:tcPr>
          <w:p w14:paraId="1CFB9890" w14:textId="77777777" w:rsidR="000F7BBE" w:rsidRPr="000F7BBE" w:rsidRDefault="000F7BBE" w:rsidP="001A73F9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D5C263B" w14:textId="77777777" w:rsidTr="00153E23">
        <w:tc>
          <w:tcPr>
            <w:tcW w:w="5000" w:type="pct"/>
            <w:gridSpan w:val="3"/>
            <w:shd w:val="clear" w:color="auto" w:fill="auto"/>
          </w:tcPr>
          <w:p w14:paraId="78D3B88E" w14:textId="77777777" w:rsidR="000F7BBE" w:rsidRPr="000F7BBE" w:rsidRDefault="000F7BBE" w:rsidP="001A73F9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C021704" w14:textId="77777777" w:rsidTr="00153E23">
        <w:tc>
          <w:tcPr>
            <w:tcW w:w="5000" w:type="pct"/>
            <w:gridSpan w:val="3"/>
            <w:shd w:val="clear" w:color="auto" w:fill="auto"/>
          </w:tcPr>
          <w:p w14:paraId="03338F03" w14:textId="246F54D7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A73F9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1A73F9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1A73F9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1A73F9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1A73F9">
              <w:rPr>
                <w:b/>
                <w:bCs/>
                <w:position w:val="2"/>
                <w:rtl/>
              </w:rPr>
              <w:t>المنتسبين إليه</w:t>
            </w:r>
            <w:r w:rsidRPr="001A73F9">
              <w:rPr>
                <w:b/>
                <w:bCs/>
                <w:position w:val="2"/>
                <w:rtl/>
              </w:rPr>
              <w:br/>
            </w:r>
            <w:r w:rsidRPr="001A73F9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ED3BA1">
              <w:rPr>
                <w:b/>
                <w:bCs/>
                <w:position w:val="2"/>
                <w:lang w:val="en-GB" w:bidi="ar-EG"/>
              </w:rPr>
              <w:t>4</w:t>
            </w:r>
            <w:r w:rsidRPr="001A73F9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1A73F9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32FB384" w14:textId="77777777" w:rsidTr="00153E23">
        <w:tc>
          <w:tcPr>
            <w:tcW w:w="5000" w:type="pct"/>
            <w:gridSpan w:val="3"/>
            <w:shd w:val="clear" w:color="auto" w:fill="auto"/>
          </w:tcPr>
          <w:p w14:paraId="2739E5C0" w14:textId="77777777" w:rsidR="000F7BBE" w:rsidRPr="000F7BBE" w:rsidRDefault="000F7BBE" w:rsidP="001A73F9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44F5102" w14:textId="77777777" w:rsidTr="00153E23">
        <w:tc>
          <w:tcPr>
            <w:tcW w:w="5000" w:type="pct"/>
            <w:gridSpan w:val="3"/>
            <w:shd w:val="clear" w:color="auto" w:fill="auto"/>
          </w:tcPr>
          <w:p w14:paraId="0806B4B6" w14:textId="77777777" w:rsidR="000F7BBE" w:rsidRPr="000F7BBE" w:rsidRDefault="000F7BBE" w:rsidP="001A73F9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40BBC55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71E3779D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3E70C396" w14:textId="00E5C28D" w:rsidR="00D37F70" w:rsidRPr="008D3F8E" w:rsidRDefault="00D37F70" w:rsidP="00D37F70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ED3BA1">
              <w:rPr>
                <w:b/>
                <w:bCs/>
                <w:lang w:bidi="ar-EG"/>
              </w:rPr>
              <w:t>4</w:t>
            </w:r>
            <w:r w:rsidRPr="00D226D5">
              <w:rPr>
                <w:b/>
                <w:bCs/>
                <w:rtl/>
                <w:lang w:bidi="ar-EG"/>
              </w:rPr>
              <w:t xml:space="preserve"> للاتصالات </w:t>
            </w:r>
            <w:r w:rsidRPr="00774404">
              <w:rPr>
                <w:b/>
                <w:bCs/>
                <w:rtl/>
                <w:lang w:bidi="ar-EG"/>
              </w:rPr>
              <w:t>الراديوي</w:t>
            </w:r>
            <w:r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="001A73F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C24C4">
              <w:rPr>
                <w:rFonts w:hint="cs"/>
                <w:b/>
                <w:bCs/>
                <w:rtl/>
                <w:lang w:bidi="ar-EG"/>
              </w:rPr>
              <w:t>(الخدمات الساتلية)</w:t>
            </w:r>
          </w:p>
          <w:p w14:paraId="69B14A20" w14:textId="0E4A7933" w:rsidR="000F7BBE" w:rsidRDefault="00154487" w:rsidP="003C24C4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rtl/>
                <w:lang w:bidi="ar-EG"/>
              </w:rPr>
            </w:pPr>
            <w:r>
              <w:rPr>
                <w:rFonts w:hint="eastAsia"/>
                <w:b/>
                <w:bCs/>
                <w:rtl/>
                <w:lang w:bidi="ar-EG"/>
              </w:rPr>
              <w:t>–</w:t>
            </w:r>
            <w:r w:rsidR="00D37F70" w:rsidRPr="00C73C4F">
              <w:rPr>
                <w:b/>
                <w:bCs/>
                <w:rtl/>
                <w:lang w:bidi="ar-EG"/>
              </w:rPr>
              <w:tab/>
            </w:r>
            <w:r w:rsidR="003A2A02" w:rsidRPr="003A2A02">
              <w:rPr>
                <w:rFonts w:hint="cs"/>
                <w:b/>
                <w:bCs/>
                <w:rtl/>
                <w:lang w:bidi="ar-SY"/>
              </w:rPr>
              <w:t>اقتراح اعتماد</w:t>
            </w:r>
            <w:r w:rsidR="003A2A02">
              <w:rPr>
                <w:rFonts w:hint="cs"/>
                <w:rtl/>
                <w:lang w:bidi="ar-SY"/>
              </w:rPr>
              <w:t xml:space="preserve"> </w:t>
            </w:r>
            <w:r w:rsidR="003A2A02" w:rsidRPr="003A2A02">
              <w:rPr>
                <w:b/>
                <w:bCs/>
                <w:rtl/>
                <w:lang w:bidi="ar-EG"/>
              </w:rPr>
              <w:t>مشروع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>ي</w:t>
            </w:r>
            <w:r w:rsidR="003A2A02" w:rsidRPr="003A2A02">
              <w:rPr>
                <w:b/>
                <w:bCs/>
                <w:rtl/>
                <w:lang w:bidi="ar-EG"/>
              </w:rPr>
              <w:t xml:space="preserve"> توصي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>تين</w:t>
            </w:r>
            <w:r w:rsidR="003A2A02" w:rsidRPr="003A2A02">
              <w:rPr>
                <w:b/>
                <w:bCs/>
                <w:rtl/>
                <w:lang w:bidi="ar-EG"/>
              </w:rPr>
              <w:t xml:space="preserve"> جديد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>تين</w:t>
            </w:r>
            <w:r w:rsidR="003A2A02" w:rsidRPr="003A2A02">
              <w:rPr>
                <w:b/>
                <w:bCs/>
                <w:rtl/>
                <w:lang w:bidi="ar-EG"/>
              </w:rPr>
              <w:t xml:space="preserve"> ومشروع مراجَعة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A2A02" w:rsidRPr="00154487">
              <w:rPr>
                <w:rFonts w:hint="cs"/>
                <w:b/>
                <w:bCs/>
                <w:rtl/>
                <w:lang w:bidi="ar-EG"/>
              </w:rPr>
              <w:t>ل</w:t>
            </w:r>
            <w:r w:rsidR="003A2A02" w:rsidRPr="00154487">
              <w:rPr>
                <w:b/>
                <w:bCs/>
                <w:rtl/>
                <w:lang w:bidi="ar-EG"/>
              </w:rPr>
              <w:t>توص</w:t>
            </w:r>
            <w:r w:rsidR="00B2596F" w:rsidRPr="00154487">
              <w:rPr>
                <w:rFonts w:hint="cs"/>
                <w:b/>
                <w:bCs/>
                <w:rtl/>
                <w:lang w:bidi="ar-SY"/>
              </w:rPr>
              <w:t>ية</w:t>
            </w:r>
            <w:r w:rsidR="00F05FBE" w:rsidRPr="00154487">
              <w:rPr>
                <w:rFonts w:hint="cs"/>
                <w:b/>
                <w:bCs/>
                <w:rtl/>
                <w:lang w:bidi="ar-SY"/>
              </w:rPr>
              <w:t xml:space="preserve"> واحدة</w:t>
            </w:r>
            <w:r w:rsidR="003A2A02" w:rsidRPr="00154487">
              <w:rPr>
                <w:b/>
                <w:bCs/>
                <w:rtl/>
                <w:lang w:bidi="ar-EG"/>
              </w:rPr>
              <w:t xml:space="preserve"> لقطاع</w:t>
            </w:r>
            <w:r w:rsidR="003A2A02" w:rsidRPr="003A2A02">
              <w:rPr>
                <w:b/>
                <w:bCs/>
                <w:rtl/>
                <w:lang w:bidi="ar-EG"/>
              </w:rPr>
              <w:t xml:space="preserve"> الاتصالات الراديوية 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>والموافقة عليها</w:t>
            </w:r>
            <w:r w:rsidR="00B2596F">
              <w:rPr>
                <w:rFonts w:hint="cs"/>
                <w:b/>
                <w:bCs/>
                <w:rtl/>
                <w:lang w:bidi="ar-EG"/>
              </w:rPr>
              <w:t xml:space="preserve"> في نفس الوقت </w:t>
            </w:r>
            <w:r w:rsidR="003A2A02" w:rsidRPr="003A2A02">
              <w:rPr>
                <w:b/>
                <w:bCs/>
                <w:rtl/>
                <w:lang w:bidi="ar-EG"/>
              </w:rPr>
              <w:t>عن طريق المراسلة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 xml:space="preserve"> وفقاً للفقرة</w:t>
            </w:r>
            <w:bookmarkStart w:id="0" w:name="_Hlk140220553"/>
            <w:r w:rsidR="00B2596F">
              <w:rPr>
                <w:rFonts w:hint="cs"/>
                <w:b/>
                <w:bCs/>
                <w:rtl/>
                <w:lang w:val="fr-CH" w:bidi="ar-SY"/>
              </w:rPr>
              <w:t xml:space="preserve"> </w:t>
            </w:r>
            <w:bookmarkStart w:id="1" w:name="_Hlk140225998"/>
            <w:r w:rsidR="007A2DC6">
              <w:rPr>
                <w:b/>
                <w:bCs/>
                <w:lang w:val="fr-CH" w:bidi="ar-SY"/>
              </w:rPr>
              <w:t>4.2.6.A2</w:t>
            </w:r>
            <w:r w:rsidR="00B2596F">
              <w:rPr>
                <w:rFonts w:hint="cs"/>
                <w:b/>
                <w:bCs/>
                <w:rtl/>
                <w:lang w:val="fr-CH" w:bidi="ar-SY"/>
              </w:rPr>
              <w:t xml:space="preserve"> </w:t>
            </w:r>
            <w:bookmarkEnd w:id="1"/>
            <w:r w:rsidR="003A2A02" w:rsidRPr="003A2A02">
              <w:rPr>
                <w:b/>
                <w:bCs/>
                <w:rtl/>
                <w:lang w:bidi="ar-EG"/>
              </w:rPr>
              <w:t>من القرار</w:t>
            </w:r>
            <w:r w:rsidR="007A2DC6">
              <w:rPr>
                <w:rFonts w:hint="cs"/>
                <w:b/>
                <w:bCs/>
                <w:rtl/>
                <w:lang w:bidi="ar-EG"/>
              </w:rPr>
              <w:t> </w:t>
            </w:r>
            <w:r w:rsidR="003A2A02" w:rsidRPr="003A2A02">
              <w:rPr>
                <w:b/>
                <w:bCs/>
                <w:lang w:bidi="ar-EG"/>
              </w:rPr>
              <w:t>ITU-R 1-8</w:t>
            </w:r>
            <w:r w:rsidR="003A2A0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bookmarkEnd w:id="0"/>
            <w:r w:rsidR="003A2A02">
              <w:rPr>
                <w:rFonts w:hint="cs"/>
                <w:b/>
                <w:bCs/>
                <w:rtl/>
                <w:lang w:bidi="ar-EG"/>
              </w:rPr>
              <w:t>(إجراء الاعتماد والموافقة في نفس الوقت عن طريق المراسلة)</w:t>
            </w:r>
          </w:p>
          <w:p w14:paraId="793D69AB" w14:textId="7296A24A" w:rsidR="003A2A02" w:rsidRPr="003A2A02" w:rsidRDefault="00154487" w:rsidP="003C24C4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bidi="ar-EG"/>
              </w:rPr>
            </w:pPr>
            <w:r>
              <w:rPr>
                <w:rFonts w:hint="eastAsia"/>
                <w:b/>
                <w:bCs/>
                <w:rtl/>
                <w:lang w:bidi="ar-EG"/>
              </w:rPr>
              <w:t>–</w:t>
            </w:r>
            <w:r w:rsidR="003A2A02">
              <w:rPr>
                <w:b/>
                <w:bCs/>
                <w:rtl/>
                <w:lang w:bidi="ar-EG"/>
              </w:rPr>
              <w:tab/>
            </w:r>
            <w:r w:rsidR="003A2A02">
              <w:rPr>
                <w:rFonts w:hint="cs"/>
                <w:b/>
                <w:bCs/>
                <w:rtl/>
                <w:lang w:bidi="ar-EG"/>
              </w:rPr>
              <w:t xml:space="preserve">اقتراح </w:t>
            </w:r>
            <w:r w:rsidR="003A2A02">
              <w:rPr>
                <w:rtl/>
              </w:rPr>
              <w:t xml:space="preserve"> </w:t>
            </w:r>
            <w:r w:rsidR="003A2A02" w:rsidRPr="003A2A02">
              <w:rPr>
                <w:b/>
                <w:bCs/>
                <w:rtl/>
                <w:lang w:bidi="ar-EG"/>
              </w:rPr>
              <w:t>إلغاء توصية واحدة لقطاع الاتصالات الراديوية</w:t>
            </w:r>
          </w:p>
        </w:tc>
      </w:tr>
    </w:tbl>
    <w:p w14:paraId="49461171" w14:textId="227E0378" w:rsidR="00D02121" w:rsidRPr="00EB25D6" w:rsidRDefault="00085799" w:rsidP="00722956">
      <w:pPr>
        <w:pStyle w:val="Normalaftertitle"/>
        <w:spacing w:before="480"/>
        <w:rPr>
          <w:rtl/>
          <w:lang w:bidi="ar-SA"/>
        </w:rPr>
      </w:pPr>
      <w:r w:rsidRPr="00EB25D6">
        <w:rPr>
          <w:rFonts w:hint="cs"/>
          <w:rtl/>
          <w:lang w:bidi="ar-SA"/>
        </w:rPr>
        <w:t xml:space="preserve">قررت لجنة الدراسات </w:t>
      </w:r>
      <w:r w:rsidR="00DF13F7" w:rsidRPr="00EB25D6">
        <w:rPr>
          <w:lang w:bidi="ar-SA"/>
        </w:rPr>
        <w:t>4</w:t>
      </w:r>
      <w:r w:rsidRPr="00EB25D6">
        <w:rPr>
          <w:rFonts w:hint="cs"/>
          <w:rtl/>
        </w:rPr>
        <w:t xml:space="preserve"> </w:t>
      </w:r>
      <w:r w:rsidR="004F5793" w:rsidRPr="00EB25D6">
        <w:rPr>
          <w:rFonts w:hint="cs"/>
          <w:rtl/>
        </w:rPr>
        <w:t>للاتصالات</w:t>
      </w:r>
      <w:r w:rsidRPr="00EB25D6">
        <w:rPr>
          <w:rFonts w:hint="cs"/>
          <w:rtl/>
        </w:rPr>
        <w:t xml:space="preserve"> الراديوية في اجتماع</w:t>
      </w:r>
      <w:r w:rsidR="00B2596F" w:rsidRPr="00EB25D6">
        <w:rPr>
          <w:rFonts w:hint="cs"/>
          <w:rtl/>
        </w:rPr>
        <w:t>ها</w:t>
      </w:r>
      <w:r w:rsidRPr="00EB25D6">
        <w:rPr>
          <w:rFonts w:hint="cs"/>
          <w:rtl/>
        </w:rPr>
        <w:t xml:space="preserve"> الذي عُقد يوم </w:t>
      </w:r>
      <w:r w:rsidR="00DF13F7" w:rsidRPr="00EB25D6">
        <w:t>7</w:t>
      </w:r>
      <w:r w:rsidRPr="00EB25D6">
        <w:rPr>
          <w:rFonts w:hint="cs"/>
          <w:rtl/>
        </w:rPr>
        <w:t xml:space="preserve"> </w:t>
      </w:r>
      <w:r w:rsidR="00DF13F7" w:rsidRPr="00EB25D6">
        <w:rPr>
          <w:rFonts w:hint="cs"/>
          <w:rtl/>
        </w:rPr>
        <w:t>يوليو</w:t>
      </w:r>
      <w:r w:rsidRPr="00EB25D6">
        <w:rPr>
          <w:rFonts w:hint="cs"/>
          <w:rtl/>
        </w:rPr>
        <w:t xml:space="preserve"> </w:t>
      </w:r>
      <w:r w:rsidRPr="00EB25D6">
        <w:t>2023</w:t>
      </w:r>
      <w:r w:rsidRPr="00EB25D6">
        <w:rPr>
          <w:rFonts w:hint="cs"/>
          <w:rtl/>
        </w:rPr>
        <w:t>،</w:t>
      </w:r>
      <w:r w:rsidR="00D02121" w:rsidRPr="00EB25D6">
        <w:rPr>
          <w:rtl/>
        </w:rPr>
        <w:t xml:space="preserve"> </w:t>
      </w:r>
      <w:r w:rsidRPr="00EB25D6">
        <w:rPr>
          <w:rFonts w:hint="cs"/>
          <w:rtl/>
        </w:rPr>
        <w:t>أن تلتمس اعتماد مشروع</w:t>
      </w:r>
      <w:r w:rsidR="003A2A02" w:rsidRPr="00EB25D6">
        <w:rPr>
          <w:rFonts w:hint="cs"/>
          <w:rtl/>
        </w:rPr>
        <w:t xml:space="preserve">ي توصيتين جديدتين ومشروع </w:t>
      </w:r>
      <w:r w:rsidRPr="00EB25D6">
        <w:rPr>
          <w:rFonts w:hint="cs"/>
          <w:rtl/>
        </w:rPr>
        <w:t xml:space="preserve">مراجعة </w:t>
      </w:r>
      <w:r w:rsidR="002A4FDB" w:rsidRPr="00EB25D6">
        <w:rPr>
          <w:rFonts w:hint="cs"/>
          <w:rtl/>
        </w:rPr>
        <w:t xml:space="preserve">توصية </w:t>
      </w:r>
      <w:r w:rsidR="003A2A02" w:rsidRPr="00EB25D6">
        <w:rPr>
          <w:rFonts w:hint="cs"/>
          <w:rtl/>
        </w:rPr>
        <w:t>واحد</w:t>
      </w:r>
      <w:r w:rsidR="002A4FDB" w:rsidRPr="00EB25D6">
        <w:rPr>
          <w:rFonts w:hint="cs"/>
          <w:rtl/>
        </w:rPr>
        <w:t>ة لقطاع الاتصالات الراديوية</w:t>
      </w:r>
      <w:r w:rsidR="003A2A02" w:rsidRPr="00EB25D6">
        <w:rPr>
          <w:rFonts w:hint="cs"/>
          <w:rtl/>
        </w:rPr>
        <w:t xml:space="preserve"> عن طريق المراسلة</w:t>
      </w:r>
      <w:r w:rsidRPr="00EB25D6">
        <w:rPr>
          <w:rFonts w:hint="cs"/>
          <w:rtl/>
        </w:rPr>
        <w:t xml:space="preserve"> </w:t>
      </w:r>
      <w:r w:rsidR="003A2A02" w:rsidRPr="00EB25D6">
        <w:rPr>
          <w:rFonts w:hint="cs"/>
          <w:rtl/>
        </w:rPr>
        <w:t>(</w:t>
      </w:r>
      <w:r w:rsidRPr="00EB25D6">
        <w:rPr>
          <w:rFonts w:hint="cs"/>
          <w:rtl/>
        </w:rPr>
        <w:t xml:space="preserve">وفقاً للفقرة </w:t>
      </w:r>
      <w:r w:rsidR="00795968" w:rsidRPr="00EB25D6">
        <w:t>2.6.A2</w:t>
      </w:r>
      <w:r w:rsidR="00B2596F" w:rsidRPr="00EB25D6">
        <w:rPr>
          <w:rtl/>
        </w:rPr>
        <w:t xml:space="preserve"> </w:t>
      </w:r>
      <w:r w:rsidR="002A4FDB" w:rsidRPr="00EB25D6">
        <w:rPr>
          <w:rtl/>
        </w:rPr>
        <w:t>من القرار</w:t>
      </w:r>
      <w:r w:rsidR="0086376D" w:rsidRPr="00EB25D6">
        <w:rPr>
          <w:rFonts w:hint="cs"/>
          <w:rtl/>
        </w:rPr>
        <w:t> </w:t>
      </w:r>
      <w:r w:rsidR="002A4FDB" w:rsidRPr="00EB25D6">
        <w:t>ITU</w:t>
      </w:r>
      <w:r w:rsidR="0086376D" w:rsidRPr="00EB25D6">
        <w:noBreakHyphen/>
      </w:r>
      <w:r w:rsidR="002A4FDB" w:rsidRPr="00EB25D6">
        <w:t>R</w:t>
      </w:r>
      <w:r w:rsidR="0086376D" w:rsidRPr="00EB25D6">
        <w:t> </w:t>
      </w:r>
      <w:r w:rsidR="002A4FDB" w:rsidRPr="00EB25D6">
        <w:t>1-8</w:t>
      </w:r>
      <w:r w:rsidR="002A4FDB" w:rsidRPr="00EB25D6">
        <w:rPr>
          <w:rFonts w:hint="cs"/>
          <w:rtl/>
        </w:rPr>
        <w:t>)</w:t>
      </w:r>
      <w:r w:rsidR="00B2596F" w:rsidRPr="00EB25D6">
        <w:rPr>
          <w:rFonts w:hint="cs"/>
          <w:rtl/>
        </w:rPr>
        <w:t xml:space="preserve">، </w:t>
      </w:r>
      <w:r w:rsidR="003A2A02" w:rsidRPr="00EB25D6">
        <w:rPr>
          <w:rFonts w:hint="cs"/>
          <w:rtl/>
        </w:rPr>
        <w:t xml:space="preserve">كما قررت تطبيق </w:t>
      </w:r>
      <w:r w:rsidRPr="00EB25D6">
        <w:rPr>
          <w:rFonts w:hint="cs"/>
          <w:rtl/>
        </w:rPr>
        <w:t>إجراء الاعتماد</w:t>
      </w:r>
      <w:r w:rsidR="002A4FDB" w:rsidRPr="00EB25D6">
        <w:rPr>
          <w:rFonts w:hint="cs"/>
          <w:rtl/>
        </w:rPr>
        <w:t xml:space="preserve"> والموافقة في نفس الوقت عن طريق المراسلة</w:t>
      </w:r>
      <w:r w:rsidR="00B2596F" w:rsidRPr="00EB25D6">
        <w:rPr>
          <w:rFonts w:hint="cs"/>
          <w:rtl/>
        </w:rPr>
        <w:t xml:space="preserve"> (</w:t>
      </w:r>
      <w:r w:rsidR="00B2596F" w:rsidRPr="00EB25D6">
        <w:rPr>
          <w:lang w:val="fr-CH"/>
        </w:rPr>
        <w:t>PS</w:t>
      </w:r>
      <w:r w:rsidR="0086376D" w:rsidRPr="00EB25D6">
        <w:rPr>
          <w:lang w:val="fr-CH"/>
        </w:rPr>
        <w:t>A</w:t>
      </w:r>
      <w:r w:rsidR="00B2596F" w:rsidRPr="00EB25D6">
        <w:rPr>
          <w:lang w:val="fr-CH"/>
        </w:rPr>
        <w:t>A</w:t>
      </w:r>
      <w:r w:rsidR="00B2596F" w:rsidRPr="00EB25D6">
        <w:rPr>
          <w:rFonts w:hint="cs"/>
          <w:rtl/>
          <w:lang w:val="fr-CH"/>
        </w:rPr>
        <w:t xml:space="preserve">، الفقرة </w:t>
      </w:r>
      <w:r w:rsidR="0086376D" w:rsidRPr="00EB25D6">
        <w:t>4.2.6.A2</w:t>
      </w:r>
      <w:r w:rsidR="00B2596F" w:rsidRPr="00EB25D6">
        <w:rPr>
          <w:rtl/>
        </w:rPr>
        <w:t xml:space="preserve"> من القرار </w:t>
      </w:r>
      <w:r w:rsidR="00B2596F" w:rsidRPr="00EB25D6">
        <w:t>ITU-R 1-8</w:t>
      </w:r>
      <w:r w:rsidR="00B2596F" w:rsidRPr="00EB25D6">
        <w:rPr>
          <w:rFonts w:hint="cs"/>
          <w:rtl/>
        </w:rPr>
        <w:t>)</w:t>
      </w:r>
      <w:r w:rsidR="00D02121" w:rsidRPr="00EB25D6">
        <w:rPr>
          <w:rtl/>
        </w:rPr>
        <w:t xml:space="preserve">. </w:t>
      </w:r>
      <w:r w:rsidR="008C73AA" w:rsidRPr="00EB25D6">
        <w:rPr>
          <w:rFonts w:hint="cs"/>
          <w:rtl/>
        </w:rPr>
        <w:t>و</w:t>
      </w:r>
      <w:r w:rsidR="002A4FDB" w:rsidRPr="00EB25D6">
        <w:rPr>
          <w:rFonts w:hint="cs"/>
          <w:rtl/>
        </w:rPr>
        <w:t>ت</w:t>
      </w:r>
      <w:r w:rsidR="008C73AA" w:rsidRPr="00EB25D6">
        <w:rPr>
          <w:rFonts w:hint="cs"/>
          <w:rtl/>
        </w:rPr>
        <w:t xml:space="preserve">رد </w:t>
      </w:r>
      <w:r w:rsidR="002A4FDB" w:rsidRPr="00EB25D6">
        <w:rPr>
          <w:rFonts w:hint="cs"/>
          <w:rtl/>
        </w:rPr>
        <w:t xml:space="preserve">في الملحق 1 </w:t>
      </w:r>
      <w:r w:rsidR="008C73AA" w:rsidRPr="00EB25D6">
        <w:rPr>
          <w:rFonts w:hint="cs"/>
          <w:rtl/>
        </w:rPr>
        <w:t>عن</w:t>
      </w:r>
      <w:r w:rsidR="002A4FDB" w:rsidRPr="00EB25D6">
        <w:rPr>
          <w:rFonts w:hint="cs"/>
          <w:rtl/>
        </w:rPr>
        <w:t>اوي</w:t>
      </w:r>
      <w:r w:rsidR="008C73AA" w:rsidRPr="00EB25D6">
        <w:rPr>
          <w:rFonts w:hint="cs"/>
          <w:rtl/>
        </w:rPr>
        <w:t>ن وملخص</w:t>
      </w:r>
      <w:r w:rsidR="002A4FDB" w:rsidRPr="00EB25D6">
        <w:rPr>
          <w:rFonts w:hint="cs"/>
          <w:rtl/>
        </w:rPr>
        <w:t>ات</w:t>
      </w:r>
      <w:r w:rsidR="008C73AA" w:rsidRPr="00EB25D6">
        <w:rPr>
          <w:rFonts w:hint="cs"/>
          <w:rtl/>
        </w:rPr>
        <w:t xml:space="preserve"> </w:t>
      </w:r>
      <w:r w:rsidR="002A4FDB" w:rsidRPr="00EB25D6">
        <w:rPr>
          <w:rFonts w:hint="cs"/>
          <w:rtl/>
        </w:rPr>
        <w:t xml:space="preserve">مشاريع </w:t>
      </w:r>
      <w:r w:rsidR="008C73AA" w:rsidRPr="00EB25D6">
        <w:rPr>
          <w:rFonts w:hint="cs"/>
          <w:rtl/>
        </w:rPr>
        <w:t>التوصي</w:t>
      </w:r>
      <w:r w:rsidR="002A4FDB" w:rsidRPr="00EB25D6">
        <w:rPr>
          <w:rFonts w:hint="cs"/>
          <w:rtl/>
        </w:rPr>
        <w:t>ات</w:t>
      </w:r>
      <w:r w:rsidR="00D02121" w:rsidRPr="00EB25D6">
        <w:rPr>
          <w:rtl/>
        </w:rPr>
        <w:t>.</w:t>
      </w:r>
      <w:r w:rsidR="002A4FDB" w:rsidRPr="00EB25D6">
        <w:rPr>
          <w:rtl/>
          <w:lang w:bidi="ar-SA"/>
        </w:rPr>
        <w:t xml:space="preserve"> وي</w:t>
      </w:r>
      <w:r w:rsidR="005B3994" w:rsidRPr="00EB25D6">
        <w:rPr>
          <w:rFonts w:hint="cs"/>
          <w:rtl/>
          <w:lang w:bidi="ar-SA"/>
        </w:rPr>
        <w:t>ُ</w:t>
      </w:r>
      <w:r w:rsidR="002A4FDB" w:rsidRPr="00EB25D6">
        <w:rPr>
          <w:rtl/>
          <w:lang w:bidi="ar-SA"/>
        </w:rPr>
        <w:t xml:space="preserve">رجى من أي دولة عضو تُبدي اعتراضاً على اعتماد مشروع </w:t>
      </w:r>
      <w:r w:rsidR="002A4FDB" w:rsidRPr="00EB25D6">
        <w:rPr>
          <w:rFonts w:hint="cs"/>
          <w:rtl/>
          <w:lang w:bidi="ar-SA"/>
        </w:rPr>
        <w:t>توصية</w:t>
      </w:r>
      <w:r w:rsidR="002A4FDB" w:rsidRPr="00EB25D6">
        <w:rPr>
          <w:rtl/>
          <w:lang w:bidi="ar-SA"/>
        </w:rPr>
        <w:t xml:space="preserve"> أن تخبر المدير ورئيس لجنة الدراسات بأسباب اعتراضها</w:t>
      </w:r>
      <w:r w:rsidR="002A4FDB" w:rsidRPr="00EB25D6">
        <w:rPr>
          <w:lang w:bidi="ar-SA"/>
        </w:rPr>
        <w:t>.</w:t>
      </w:r>
    </w:p>
    <w:p w14:paraId="2017EDCD" w14:textId="28596DCA" w:rsidR="00D02121" w:rsidRPr="00D226D5" w:rsidRDefault="009F06C2" w:rsidP="002A4FDB">
      <w:pPr>
        <w:pStyle w:val="Tablelegend"/>
        <w:spacing w:before="120"/>
        <w:rPr>
          <w:rtl/>
          <w:lang w:bidi="ar-EG"/>
        </w:rPr>
      </w:pPr>
      <w:r w:rsidRPr="009F06C2">
        <w:rPr>
          <w:rFonts w:hint="cs"/>
          <w:rtl/>
          <w:lang w:bidi="ar-EG"/>
        </w:rPr>
        <w:t>وتمتد فترة النظر لمدة شهرين تنتهي</w:t>
      </w:r>
      <w:r w:rsidR="00D02121" w:rsidRPr="009F06C2">
        <w:rPr>
          <w:rFonts w:hint="cs"/>
          <w:rtl/>
          <w:lang w:bidi="ar-EG"/>
        </w:rPr>
        <w:t xml:space="preserve"> في </w:t>
      </w:r>
      <w:r w:rsidR="002A4FDB">
        <w:rPr>
          <w:rFonts w:hint="cs"/>
          <w:u w:val="single"/>
          <w:rtl/>
          <w:lang w:bidi="ar-EG"/>
        </w:rPr>
        <w:t>20</w:t>
      </w:r>
      <w:r w:rsidR="00D02121" w:rsidRPr="00631C5E">
        <w:rPr>
          <w:rFonts w:hint="cs"/>
          <w:u w:val="single"/>
          <w:rtl/>
          <w:lang w:bidi="ar-EG"/>
        </w:rPr>
        <w:t xml:space="preserve"> </w:t>
      </w:r>
      <w:r w:rsidR="00DF13F7">
        <w:rPr>
          <w:rFonts w:hint="cs"/>
          <w:u w:val="single"/>
          <w:rtl/>
          <w:lang w:bidi="ar-EG"/>
        </w:rPr>
        <w:t>سبتمبر</w:t>
      </w:r>
      <w:r w:rsidR="00D02121" w:rsidRPr="00631C5E">
        <w:rPr>
          <w:rFonts w:hint="cs"/>
          <w:u w:val="single"/>
          <w:rtl/>
          <w:lang w:bidi="ar-EG"/>
        </w:rPr>
        <w:t xml:space="preserve"> </w:t>
      </w:r>
      <w:r w:rsidRPr="00631C5E">
        <w:rPr>
          <w:u w:val="single"/>
          <w:lang w:bidi="ar-EG"/>
        </w:rPr>
        <w:t>2023</w:t>
      </w:r>
      <w:r w:rsidR="00D02121" w:rsidRPr="009F06C2">
        <w:rPr>
          <w:rtl/>
          <w:lang w:bidi="ar-EG"/>
        </w:rPr>
        <w:t>.</w:t>
      </w:r>
      <w:r>
        <w:rPr>
          <w:lang w:bidi="ar-EG"/>
        </w:rPr>
        <w:t xml:space="preserve"> </w:t>
      </w:r>
      <w:r w:rsidRPr="009F06C2">
        <w:rPr>
          <w:rtl/>
          <w:lang w:bidi="ar-EG"/>
        </w:rPr>
        <w:t xml:space="preserve">وإذا لم ترد أي اعتراضات من الدول الأعضاء خلال هذه الفترة، </w:t>
      </w:r>
      <w:r w:rsidR="002A4FDB">
        <w:rPr>
          <w:rFonts w:hint="cs"/>
          <w:rtl/>
          <w:lang w:bidi="ar-EG"/>
        </w:rPr>
        <w:t>ف</w:t>
      </w:r>
      <w:r w:rsidR="002A4FDB" w:rsidRPr="002A4FDB">
        <w:rPr>
          <w:rtl/>
          <w:lang w:bidi="ar-EG"/>
        </w:rPr>
        <w:t>إن</w:t>
      </w:r>
      <w:r w:rsidR="005F0D4D">
        <w:rPr>
          <w:rFonts w:hint="cs"/>
          <w:rtl/>
          <w:lang w:bidi="ar-EG"/>
        </w:rPr>
        <w:t> </w:t>
      </w:r>
      <w:r w:rsidR="002A4FDB" w:rsidRPr="002A4FDB">
        <w:rPr>
          <w:rtl/>
          <w:lang w:bidi="ar-EG"/>
        </w:rPr>
        <w:t>مشاريع التوصيات ستعتبر قد اعتمدتها لجنة الدراسات 4.</w:t>
      </w:r>
      <w:r w:rsidR="002A4FDB">
        <w:rPr>
          <w:rFonts w:hint="cs"/>
          <w:rtl/>
          <w:lang w:bidi="ar-EG"/>
        </w:rPr>
        <w:t xml:space="preserve"> </w:t>
      </w:r>
      <w:r w:rsidR="002A4FDB" w:rsidRPr="002A4FDB">
        <w:rPr>
          <w:rtl/>
          <w:lang w:bidi="ar-EG"/>
        </w:rPr>
        <w:t>وعلاوةً على ذلك، ونظراً لاتباع إجراء الاعتماد والموافقة في نفس الوقت عن طريق المراسلة، فإن مشاريع التوصيات ستعتبر أيضاً بحكم الموافَق عليها.</w:t>
      </w:r>
    </w:p>
    <w:p w14:paraId="6FE797E5" w14:textId="05F740CF" w:rsidR="002A4FDB" w:rsidRDefault="002A4FDB" w:rsidP="00855112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2A4FDB">
        <w:rPr>
          <w:rtl/>
          <w:lang w:bidi="ar-EG"/>
        </w:rPr>
        <w:t>إضافة</w:t>
      </w:r>
      <w:r w:rsidR="00DC74D8">
        <w:rPr>
          <w:rFonts w:hint="cs"/>
          <w:rtl/>
          <w:lang w:bidi="ar-EG"/>
        </w:rPr>
        <w:t>ً</w:t>
      </w:r>
      <w:r w:rsidRPr="002A4FDB">
        <w:rPr>
          <w:rtl/>
          <w:lang w:bidi="ar-EG"/>
        </w:rPr>
        <w:t xml:space="preserve"> إلى ذلك، اقترحت لجنة الدراسات إلغاء </w:t>
      </w:r>
      <w:r w:rsidR="005B3994">
        <w:rPr>
          <w:rFonts w:hint="cs"/>
          <w:rtl/>
          <w:lang w:bidi="ar-EG"/>
        </w:rPr>
        <w:t xml:space="preserve">توصية </w:t>
      </w:r>
      <w:r w:rsidR="005B3994" w:rsidRPr="005F0D4D">
        <w:rPr>
          <w:rFonts w:hint="cs"/>
          <w:rtl/>
          <w:lang w:bidi="ar-EG"/>
        </w:rPr>
        <w:t>واحدة</w:t>
      </w:r>
      <w:r w:rsidRPr="005F0D4D">
        <w:rPr>
          <w:rtl/>
          <w:lang w:bidi="ar-EG"/>
        </w:rPr>
        <w:t xml:space="preserve"> </w:t>
      </w:r>
      <w:r w:rsidR="00F05FBE" w:rsidRPr="005F0D4D">
        <w:rPr>
          <w:rFonts w:hint="cs"/>
          <w:rtl/>
          <w:lang w:bidi="ar-EG"/>
        </w:rPr>
        <w:t>مبينة</w:t>
      </w:r>
      <w:r w:rsidRPr="005F0D4D">
        <w:rPr>
          <w:rtl/>
          <w:lang w:bidi="ar-EG"/>
        </w:rPr>
        <w:t xml:space="preserve"> في الملحق</w:t>
      </w:r>
      <w:r w:rsidRPr="002A4FDB">
        <w:rPr>
          <w:rtl/>
          <w:lang w:bidi="ar-EG"/>
        </w:rPr>
        <w:t xml:space="preserve"> 2</w:t>
      </w:r>
      <w:r w:rsidR="005B3994">
        <w:rPr>
          <w:rFonts w:hint="cs"/>
          <w:rtl/>
          <w:lang w:bidi="ar-EG"/>
        </w:rPr>
        <w:t xml:space="preserve">، </w:t>
      </w:r>
      <w:r w:rsidRPr="002A4FDB">
        <w:rPr>
          <w:rtl/>
          <w:lang w:bidi="ar-EG"/>
        </w:rPr>
        <w:t xml:space="preserve">وفقاً للقرار </w:t>
      </w:r>
      <w:r w:rsidRPr="002A4FDB">
        <w:rPr>
          <w:lang w:bidi="ar-EG"/>
        </w:rPr>
        <w:t>ITU-R 1-8</w:t>
      </w:r>
      <w:r w:rsidRPr="002A4FDB">
        <w:rPr>
          <w:rtl/>
          <w:lang w:bidi="ar-EG"/>
        </w:rPr>
        <w:t xml:space="preserve"> (الفقر</w:t>
      </w:r>
      <w:r w:rsidR="005B3994">
        <w:rPr>
          <w:rFonts w:hint="cs"/>
          <w:rtl/>
          <w:lang w:bidi="ar-SY"/>
        </w:rPr>
        <w:t xml:space="preserve">ة </w:t>
      </w:r>
      <w:r w:rsidR="005F0D4D">
        <w:rPr>
          <w:lang w:bidi="ar-SY"/>
        </w:rPr>
        <w:t>3.6.A2</w:t>
      </w:r>
      <w:r w:rsidRPr="002A4FDB">
        <w:rPr>
          <w:rtl/>
          <w:lang w:bidi="ar-EG"/>
        </w:rPr>
        <w:t>).</w:t>
      </w:r>
      <w:r>
        <w:rPr>
          <w:rFonts w:hint="cs"/>
          <w:rtl/>
          <w:lang w:bidi="ar-EG"/>
        </w:rPr>
        <w:t xml:space="preserve"> </w:t>
      </w:r>
      <w:r w:rsidRPr="002A4FDB">
        <w:rPr>
          <w:rtl/>
          <w:lang w:bidi="ar-EG"/>
        </w:rPr>
        <w:t>و</w:t>
      </w:r>
      <w:r w:rsidR="004A3F67">
        <w:rPr>
          <w:rFonts w:hint="cs"/>
          <w:rtl/>
          <w:lang w:bidi="ar-EG"/>
        </w:rPr>
        <w:t>يُ</w:t>
      </w:r>
      <w:r w:rsidRPr="002A4FDB">
        <w:rPr>
          <w:rtl/>
          <w:lang w:bidi="ar-EG"/>
        </w:rPr>
        <w:t>رجى من أي دولة عضو تعترض على إلغاء توصية أن تخبر المدير ورئيس لجنة الدراسات بأسباب اعتراضها.</w:t>
      </w:r>
    </w:p>
    <w:p w14:paraId="302AF654" w14:textId="0E9C9051" w:rsidR="002A4FDB" w:rsidRPr="00D226D5" w:rsidRDefault="002A4FDB" w:rsidP="002A4FDB">
      <w:pPr>
        <w:pStyle w:val="Tablelegend"/>
        <w:spacing w:before="120"/>
        <w:rPr>
          <w:rtl/>
          <w:lang w:bidi="ar-EG"/>
        </w:rPr>
      </w:pPr>
      <w:r w:rsidRPr="009F06C2">
        <w:rPr>
          <w:rFonts w:hint="cs"/>
          <w:rtl/>
          <w:lang w:bidi="ar-EG"/>
        </w:rPr>
        <w:t xml:space="preserve">وتمتد فترة النظر لمدة شهرين تنتهي في </w:t>
      </w:r>
      <w:r>
        <w:rPr>
          <w:rFonts w:hint="cs"/>
          <w:u w:val="single"/>
          <w:rtl/>
          <w:lang w:bidi="ar-EG"/>
        </w:rPr>
        <w:t>20</w:t>
      </w:r>
      <w:r w:rsidRPr="00631C5E">
        <w:rPr>
          <w:rFonts w:hint="cs"/>
          <w:u w:val="single"/>
          <w:rtl/>
          <w:lang w:bidi="ar-EG"/>
        </w:rPr>
        <w:t xml:space="preserve"> </w:t>
      </w:r>
      <w:r>
        <w:rPr>
          <w:rFonts w:hint="cs"/>
          <w:u w:val="single"/>
          <w:rtl/>
          <w:lang w:bidi="ar-EG"/>
        </w:rPr>
        <w:t>سبتمبر</w:t>
      </w:r>
      <w:r w:rsidRPr="00631C5E">
        <w:rPr>
          <w:rFonts w:hint="cs"/>
          <w:u w:val="single"/>
          <w:rtl/>
          <w:lang w:bidi="ar-EG"/>
        </w:rPr>
        <w:t xml:space="preserve"> </w:t>
      </w:r>
      <w:r w:rsidRPr="00631C5E">
        <w:rPr>
          <w:u w:val="single"/>
          <w:lang w:bidi="ar-EG"/>
        </w:rPr>
        <w:t>2023</w:t>
      </w:r>
      <w:r w:rsidRPr="009F06C2">
        <w:rPr>
          <w:rtl/>
          <w:lang w:bidi="ar-EG"/>
        </w:rPr>
        <w:t>.</w:t>
      </w:r>
      <w:r>
        <w:rPr>
          <w:lang w:bidi="ar-EG"/>
        </w:rPr>
        <w:t xml:space="preserve"> </w:t>
      </w:r>
      <w:r w:rsidRPr="002A4FDB">
        <w:rPr>
          <w:rtl/>
          <w:lang w:bidi="ar-EG"/>
        </w:rPr>
        <w:t>وإذا لم ترد أي اعتراضات من الدول الأعضاء خلال هذه الفترة على الإلغاء المقترح، فإن التوصية ستعتبر في حكم الملغاة.</w:t>
      </w:r>
    </w:p>
    <w:p w14:paraId="73DDC0FE" w14:textId="52BD3533" w:rsidR="002A4FDB" w:rsidRDefault="002A4FDB" w:rsidP="004A3F67">
      <w:pPr>
        <w:rPr>
          <w:rtl/>
          <w:lang w:bidi="ar-EG"/>
        </w:rPr>
      </w:pPr>
      <w:r w:rsidRPr="002A4FDB">
        <w:rPr>
          <w:rtl/>
          <w:lang w:bidi="ar-EG"/>
        </w:rPr>
        <w:t xml:space="preserve">وبعد المهلة المحددة أعلاه، ستُعلن نتائج الإجراءات المذكورة أعلاه في رسالة إدارية معممة وستُنشر التوصيات الموافَق عليها في أقرب وقت ممكن (انظر </w:t>
      </w:r>
      <w:hyperlink r:id="rId8" w:history="1">
        <w:r w:rsidR="00367253" w:rsidRPr="00943BFC">
          <w:rPr>
            <w:rStyle w:val="Hyperlink"/>
            <w:szCs w:val="24"/>
            <w:lang w:val="en-GB"/>
          </w:rPr>
          <w:t>http://www.itu.int/pub/R-REC</w:t>
        </w:r>
      </w:hyperlink>
      <w:r w:rsidRPr="002A4FDB">
        <w:rPr>
          <w:rtl/>
          <w:lang w:bidi="ar-EG"/>
        </w:rPr>
        <w:t>).</w:t>
      </w:r>
    </w:p>
    <w:p w14:paraId="379E82C7" w14:textId="161F5BA3" w:rsidR="00281DAD" w:rsidRPr="00495853" w:rsidRDefault="00281DAD" w:rsidP="004910BD">
      <w:pPr>
        <w:pageBreakBefore/>
        <w:rPr>
          <w:rtl/>
          <w:lang w:bidi="ar-EG"/>
        </w:rPr>
      </w:pPr>
      <w:r w:rsidRPr="00495853">
        <w:rPr>
          <w:rtl/>
          <w:lang w:bidi="ar-EG"/>
        </w:rPr>
        <w:lastRenderedPageBreak/>
        <w:t>و</w:t>
      </w:r>
      <w:r w:rsidR="004A3F67">
        <w:rPr>
          <w:rFonts w:hint="cs"/>
          <w:rtl/>
          <w:lang w:bidi="ar-EG"/>
        </w:rPr>
        <w:t>يُ</w:t>
      </w:r>
      <w:r w:rsidRPr="00495853">
        <w:rPr>
          <w:rtl/>
          <w:lang w:bidi="ar-EG"/>
        </w:rPr>
        <w:t>رجى من أي منظمة عضو في الاتحاد تعلم بوجود براءة اختراع لديها أو لدى غيرها تغطي كلياً أو جزئياً عناصر</w:t>
      </w:r>
      <w:r w:rsidRPr="00495853">
        <w:rPr>
          <w:rFonts w:hint="cs"/>
          <w:rtl/>
          <w:lang w:bidi="ar-EG"/>
        </w:rPr>
        <w:t xml:space="preserve"> من </w:t>
      </w:r>
      <w:r w:rsidR="004A3F67">
        <w:rPr>
          <w:rFonts w:hint="cs"/>
          <w:rtl/>
          <w:lang w:bidi="ar-EG"/>
        </w:rPr>
        <w:t>مشاريع</w:t>
      </w:r>
      <w:r>
        <w:rPr>
          <w:rFonts w:hint="cs"/>
          <w:rtl/>
          <w:lang w:bidi="ar-EG"/>
        </w:rPr>
        <w:t xml:space="preserve"> التوصي</w:t>
      </w:r>
      <w:r w:rsidR="004A3F67">
        <w:rPr>
          <w:rFonts w:hint="cs"/>
          <w:rtl/>
          <w:lang w:bidi="ar-EG"/>
        </w:rPr>
        <w:t>ات</w:t>
      </w:r>
      <w:r w:rsidR="004A3F67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 </w:t>
      </w:r>
      <w:r w:rsidRPr="00495853">
        <w:rPr>
          <w:rtl/>
          <w:lang w:bidi="ar-EG"/>
        </w:rPr>
        <w:t>المذكورة في هذه الرسالة أن تبلغ الأمانة بهذه المعلومات بأسرع ما يمكن. ويمكن الاطلاع على السياسة المشتركة للبراءات</w:t>
      </w:r>
      <w:r w:rsidRPr="00495853">
        <w:rPr>
          <w:rFonts w:hint="cs"/>
          <w:rtl/>
          <w:lang w:bidi="ar-EG"/>
        </w:rPr>
        <w:t> </w:t>
      </w:r>
      <w:r w:rsidRPr="00495853">
        <w:t>"ITU</w:t>
      </w:r>
      <w:r w:rsidRPr="00495853">
        <w:noBreakHyphen/>
        <w:t>T/ITU</w:t>
      </w:r>
      <w:r w:rsidRPr="00495853">
        <w:noBreakHyphen/>
        <w:t>R/ISO/IEC"</w:t>
      </w:r>
      <w:r w:rsidRPr="00495853">
        <w:rPr>
          <w:rtl/>
          <w:lang w:bidi="ar-EG"/>
        </w:rPr>
        <w:t xml:space="preserve"> في الموقع الإلكتروني</w:t>
      </w:r>
      <w:r w:rsidRPr="00495853">
        <w:rPr>
          <w:rFonts w:hint="cs"/>
          <w:rtl/>
          <w:lang w:bidi="ar-EG"/>
        </w:rPr>
        <w:t xml:space="preserve">: </w:t>
      </w:r>
      <w:hyperlink r:id="rId9" w:history="1">
        <w:r w:rsidR="00510E0B" w:rsidRPr="00671A9B">
          <w:rPr>
            <w:rStyle w:val="Hyperlink"/>
            <w:szCs w:val="24"/>
            <w:lang w:val="en-GB"/>
          </w:rPr>
          <w:t>http://www.itu.int/en/ITU-T/ipr/Pages/policy.aspx</w:t>
        </w:r>
      </w:hyperlink>
      <w:r w:rsidRPr="00495853">
        <w:rPr>
          <w:rtl/>
          <w:lang w:bidi="ar-EG"/>
        </w:rPr>
        <w:t>.</w:t>
      </w:r>
    </w:p>
    <w:p w14:paraId="0E9EF27B" w14:textId="21B4E985" w:rsidR="00510E0B" w:rsidRPr="00F16820" w:rsidRDefault="00281DAD" w:rsidP="00CF278C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7A9D4528" w14:textId="77777777" w:rsidR="00281DAD" w:rsidRDefault="00281DAD" w:rsidP="00657080">
      <w:pPr>
        <w:spacing w:before="1320" w:after="240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7E72FBB9" w14:textId="2F55E723" w:rsidR="00281DAD" w:rsidRDefault="00281DAD" w:rsidP="00855112">
      <w:pPr>
        <w:spacing w:before="480"/>
        <w:jc w:val="left"/>
        <w:rPr>
          <w:rtl/>
          <w:lang w:bidi="ar-EG"/>
        </w:rPr>
      </w:pPr>
      <w:r w:rsidRPr="00E647B4">
        <w:rPr>
          <w:b/>
          <w:bCs/>
          <w:rtl/>
          <w:lang w:bidi="ar-EG"/>
        </w:rPr>
        <w:t>الملحق</w:t>
      </w:r>
      <w:r w:rsidR="002A4FDB">
        <w:rPr>
          <w:rFonts w:hint="cs"/>
          <w:b/>
          <w:bCs/>
          <w:rtl/>
          <w:lang w:bidi="ar-EG"/>
        </w:rPr>
        <w:t xml:space="preserve"> 1</w:t>
      </w:r>
      <w:r w:rsidRPr="00E647B4">
        <w:rPr>
          <w:b/>
          <w:bCs/>
          <w:rtl/>
          <w:lang w:bidi="ar-EG"/>
        </w:rPr>
        <w:t>:</w:t>
      </w:r>
      <w:r w:rsidR="002A4FDB">
        <w:rPr>
          <w:rtl/>
          <w:lang w:bidi="ar-EG"/>
        </w:rPr>
        <w:tab/>
      </w:r>
      <w:r>
        <w:rPr>
          <w:rFonts w:hint="cs"/>
          <w:rtl/>
          <w:lang w:bidi="ar-EG"/>
        </w:rPr>
        <w:t>عن</w:t>
      </w:r>
      <w:r w:rsidR="002A4FDB">
        <w:rPr>
          <w:rFonts w:hint="cs"/>
          <w:rtl/>
          <w:lang w:bidi="ar-EG"/>
        </w:rPr>
        <w:t>اوين</w:t>
      </w:r>
      <w:r>
        <w:rPr>
          <w:rFonts w:hint="cs"/>
          <w:rtl/>
          <w:lang w:bidi="ar-EG"/>
        </w:rPr>
        <w:t xml:space="preserve"> وملخص</w:t>
      </w:r>
      <w:r w:rsidR="002A4FDB">
        <w:rPr>
          <w:rFonts w:hint="cs"/>
          <w:rtl/>
          <w:lang w:bidi="ar-EG"/>
        </w:rPr>
        <w:t>ات</w:t>
      </w:r>
      <w:r>
        <w:rPr>
          <w:rFonts w:hint="cs"/>
          <w:rtl/>
          <w:lang w:bidi="ar-EG"/>
        </w:rPr>
        <w:t xml:space="preserve"> </w:t>
      </w:r>
      <w:r w:rsidR="002A4FDB">
        <w:rPr>
          <w:rFonts w:hint="cs"/>
          <w:rtl/>
          <w:lang w:bidi="ar-EG"/>
        </w:rPr>
        <w:t>مشاريع</w:t>
      </w:r>
      <w:r>
        <w:rPr>
          <w:rFonts w:hint="cs"/>
          <w:rtl/>
          <w:lang w:bidi="ar-EG"/>
        </w:rPr>
        <w:t xml:space="preserve"> التوصي</w:t>
      </w:r>
      <w:r w:rsidR="002A4FDB">
        <w:rPr>
          <w:rFonts w:hint="cs"/>
          <w:rtl/>
          <w:lang w:bidi="ar-EG"/>
        </w:rPr>
        <w:t>ات</w:t>
      </w:r>
    </w:p>
    <w:p w14:paraId="53C8FFFA" w14:textId="03B7B130" w:rsidR="002A4FDB" w:rsidRDefault="002A4FDB" w:rsidP="002A4FDB">
      <w:pPr>
        <w:jc w:val="left"/>
        <w:rPr>
          <w:rtl/>
          <w:lang w:bidi="ar-EG"/>
        </w:rPr>
      </w:pPr>
      <w:r w:rsidRPr="00E647B4">
        <w:rPr>
          <w:b/>
          <w:bCs/>
          <w:rtl/>
          <w:lang w:bidi="ar-EG"/>
        </w:rPr>
        <w:t>الملحق</w:t>
      </w:r>
      <w:r>
        <w:rPr>
          <w:rFonts w:hint="cs"/>
          <w:b/>
          <w:bCs/>
          <w:rtl/>
          <w:lang w:bidi="ar-EG"/>
        </w:rPr>
        <w:t xml:space="preserve"> 2</w:t>
      </w:r>
      <w:r w:rsidRPr="00E647B4">
        <w:rPr>
          <w:b/>
          <w:bCs/>
          <w:rtl/>
          <w:lang w:bidi="ar-EG"/>
        </w:rPr>
        <w:t>: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التوصية </w:t>
      </w:r>
      <w:r w:rsidR="00320AE5">
        <w:rPr>
          <w:rFonts w:hint="cs"/>
          <w:rtl/>
          <w:lang w:bidi="ar-EG"/>
        </w:rPr>
        <w:t>المقترح إلغاؤها</w:t>
      </w:r>
    </w:p>
    <w:p w14:paraId="5F41D21A" w14:textId="057C3594" w:rsidR="002A4FDB" w:rsidRDefault="002A4FDB" w:rsidP="00855112">
      <w:pPr>
        <w:spacing w:before="480"/>
        <w:jc w:val="left"/>
        <w:rPr>
          <w:rtl/>
          <w:lang w:bidi="ar-EG"/>
        </w:rPr>
      </w:pPr>
    </w:p>
    <w:p w14:paraId="7140A854" w14:textId="380FBE69" w:rsidR="000A2777" w:rsidRPr="00320AE5" w:rsidRDefault="00281DAD" w:rsidP="00855112">
      <w:pPr>
        <w:spacing w:before="480"/>
        <w:jc w:val="left"/>
        <w:rPr>
          <w:lang w:val="fr-CH" w:bidi="ar-SY"/>
        </w:rPr>
      </w:pPr>
      <w:r w:rsidRPr="00281DAD">
        <w:rPr>
          <w:rFonts w:hint="cs"/>
          <w:b/>
          <w:bCs/>
          <w:rtl/>
          <w:lang w:bidi="ar-EG"/>
        </w:rPr>
        <w:t>الوث</w:t>
      </w:r>
      <w:r w:rsidR="00320AE5">
        <w:rPr>
          <w:rFonts w:hint="cs"/>
          <w:b/>
          <w:bCs/>
          <w:rtl/>
          <w:lang w:bidi="ar-EG"/>
        </w:rPr>
        <w:t>ائق</w:t>
      </w:r>
      <w:r w:rsidRPr="00281DAD">
        <w:rPr>
          <w:rFonts w:hint="cs"/>
          <w:rtl/>
          <w:lang w:bidi="ar-EG"/>
        </w:rPr>
        <w:t xml:space="preserve">: </w:t>
      </w:r>
      <w:r w:rsidR="00320AE5">
        <w:rPr>
          <w:rFonts w:hint="cs"/>
          <w:rtl/>
          <w:lang w:val="fr-CH" w:bidi="ar-SY"/>
        </w:rPr>
        <w:t xml:space="preserve">الوثائق </w:t>
      </w:r>
      <w:r w:rsidR="00320AE5">
        <w:rPr>
          <w:lang w:val="fr-CH" w:bidi="ar-SY"/>
        </w:rPr>
        <w:t>4/91</w:t>
      </w:r>
      <w:r w:rsidR="00320AE5">
        <w:rPr>
          <w:rFonts w:hint="cs"/>
          <w:rtl/>
          <w:lang w:val="fr-CH" w:bidi="ar-SY"/>
        </w:rPr>
        <w:t xml:space="preserve"> و</w:t>
      </w:r>
      <w:r w:rsidR="00320AE5">
        <w:rPr>
          <w:lang w:val="fr-CH" w:bidi="ar-SY"/>
        </w:rPr>
        <w:t>4/92(Rev.1)</w:t>
      </w:r>
      <w:r w:rsidR="00320AE5">
        <w:rPr>
          <w:rFonts w:hint="cs"/>
          <w:rtl/>
          <w:lang w:val="fr-CH" w:bidi="ar-SY"/>
        </w:rPr>
        <w:t xml:space="preserve"> و</w:t>
      </w:r>
      <w:r w:rsidR="00320AE5">
        <w:rPr>
          <w:lang w:val="fr-CH" w:bidi="ar-SY"/>
        </w:rPr>
        <w:t>4/93(Rev.1)</w:t>
      </w:r>
    </w:p>
    <w:p w14:paraId="25F1CF30" w14:textId="2F8BF334" w:rsidR="00FC09E8" w:rsidRDefault="00281DAD" w:rsidP="00855112">
      <w:pPr>
        <w:jc w:val="left"/>
        <w:rPr>
          <w:rtl/>
        </w:rPr>
      </w:pPr>
      <w:r w:rsidRPr="00E647B4">
        <w:rPr>
          <w:rFonts w:hint="cs"/>
          <w:rtl/>
        </w:rPr>
        <w:t xml:space="preserve">تتاح هذه </w:t>
      </w:r>
      <w:r w:rsidR="00320AE5">
        <w:rPr>
          <w:rFonts w:hint="cs"/>
          <w:rtl/>
        </w:rPr>
        <w:t>الوثائق</w:t>
      </w:r>
      <w:r w:rsidRPr="00E647B4">
        <w:rPr>
          <w:rFonts w:hint="cs"/>
          <w:rtl/>
        </w:rPr>
        <w:t xml:space="preserve"> في </w:t>
      </w:r>
      <w:r>
        <w:rPr>
          <w:rFonts w:hint="cs"/>
          <w:rtl/>
        </w:rPr>
        <w:t>نَسَق</w:t>
      </w:r>
      <w:r w:rsidRPr="00E647B4">
        <w:rPr>
          <w:rFonts w:hint="cs"/>
          <w:rtl/>
        </w:rPr>
        <w:t xml:space="preserve"> إلكتروني في</w:t>
      </w:r>
      <w:r w:rsidR="00320AE5">
        <w:rPr>
          <w:rFonts w:hint="cs"/>
          <w:rtl/>
        </w:rPr>
        <w:t xml:space="preserve"> الرابط</w:t>
      </w:r>
      <w:r w:rsidRPr="00E647B4">
        <w:rPr>
          <w:rFonts w:hint="cs"/>
          <w:rtl/>
        </w:rPr>
        <w:t xml:space="preserve">: </w:t>
      </w:r>
      <w:hyperlink r:id="rId10" w:history="1">
        <w:r w:rsidR="00E74F5E" w:rsidRPr="00671A9B">
          <w:rPr>
            <w:rStyle w:val="Hyperlink"/>
            <w:lang w:val="en-GB"/>
          </w:rPr>
          <w:t>https://www.itu.int/md/R19-SG0</w:t>
        </w:r>
        <w:r w:rsidR="00E74F5E" w:rsidRPr="00594075">
          <w:rPr>
            <w:rStyle w:val="Hyperlink"/>
            <w:lang w:val="en-GB"/>
          </w:rPr>
          <w:t>4</w:t>
        </w:r>
        <w:r w:rsidR="00E74F5E" w:rsidRPr="00671A9B">
          <w:rPr>
            <w:rStyle w:val="Hyperlink"/>
            <w:lang w:val="en-GB"/>
          </w:rPr>
          <w:t>-C/en</w:t>
        </w:r>
      </w:hyperlink>
      <w:r w:rsidR="00FC09E8">
        <w:rPr>
          <w:rtl/>
        </w:rPr>
        <w:br w:type="page"/>
      </w:r>
    </w:p>
    <w:p w14:paraId="369504B1" w14:textId="3C9C4E69" w:rsidR="00D02121" w:rsidRDefault="00D02121" w:rsidP="00D02121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 w:rsidR="00E174E2">
        <w:rPr>
          <w:rFonts w:hint="cs"/>
          <w:rtl/>
        </w:rPr>
        <w:t xml:space="preserve"> 1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 w:rsidR="00281DAD">
        <w:rPr>
          <w:rFonts w:hint="cs"/>
          <w:rtl/>
          <w:lang w:bidi="ar-EG"/>
        </w:rPr>
        <w:t>عن</w:t>
      </w:r>
      <w:r w:rsidR="00E174E2">
        <w:rPr>
          <w:rFonts w:hint="cs"/>
          <w:rtl/>
          <w:lang w:bidi="ar-EG"/>
        </w:rPr>
        <w:t>اوي</w:t>
      </w:r>
      <w:r w:rsidR="00281DAD">
        <w:rPr>
          <w:rFonts w:hint="cs"/>
          <w:rtl/>
          <w:lang w:bidi="ar-EG"/>
        </w:rPr>
        <w:t xml:space="preserve">ن </w:t>
      </w:r>
      <w:r w:rsidR="00281DAD" w:rsidRPr="004910BD">
        <w:rPr>
          <w:rFonts w:hint="cs"/>
          <w:rtl/>
          <w:lang w:bidi="ar-EG"/>
        </w:rPr>
        <w:t>وملخص</w:t>
      </w:r>
      <w:r w:rsidR="00E174E2" w:rsidRPr="004910BD">
        <w:rPr>
          <w:rFonts w:hint="cs"/>
          <w:rtl/>
          <w:lang w:bidi="ar-EG"/>
        </w:rPr>
        <w:t>ات</w:t>
      </w:r>
      <w:r w:rsidR="00281DAD" w:rsidRPr="004910BD">
        <w:rPr>
          <w:rFonts w:hint="cs"/>
          <w:rtl/>
          <w:lang w:bidi="ar-EG"/>
        </w:rPr>
        <w:t xml:space="preserve"> </w:t>
      </w:r>
      <w:r w:rsidR="00E174E2" w:rsidRPr="004910BD">
        <w:rPr>
          <w:rFonts w:hint="cs"/>
          <w:rtl/>
          <w:lang w:bidi="ar-EG"/>
        </w:rPr>
        <w:t>مشاري</w:t>
      </w:r>
      <w:r w:rsidR="00281DAD" w:rsidRPr="004910BD">
        <w:rPr>
          <w:rFonts w:hint="cs"/>
          <w:rtl/>
          <w:lang w:bidi="ar-EG"/>
        </w:rPr>
        <w:t xml:space="preserve">ع </w:t>
      </w:r>
      <w:r w:rsidR="00AC45BF">
        <w:rPr>
          <w:rFonts w:hint="cs"/>
          <w:rtl/>
          <w:lang w:bidi="ar-EG"/>
        </w:rPr>
        <w:t>توصيات قطاع الاتصالات الراديوية</w:t>
      </w:r>
    </w:p>
    <w:p w14:paraId="0ED60EC3" w14:textId="66575349" w:rsidR="00281DAD" w:rsidRDefault="00281DAD" w:rsidP="00281DAD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281DAD">
        <w:rPr>
          <w:rFonts w:hint="cs"/>
          <w:u w:val="single"/>
          <w:rtl/>
        </w:rPr>
        <w:t xml:space="preserve">مشروع </w:t>
      </w:r>
      <w:r w:rsidR="00E174E2">
        <w:rPr>
          <w:rFonts w:hint="cs"/>
          <w:u w:val="single"/>
          <w:rtl/>
          <w:lang w:bidi="ar-SY"/>
        </w:rPr>
        <w:t>ال</w:t>
      </w:r>
      <w:r w:rsidR="00E174E2">
        <w:rPr>
          <w:rFonts w:hint="cs"/>
          <w:u w:val="single"/>
          <w:rtl/>
        </w:rPr>
        <w:t>توصية الجديدة</w:t>
      </w:r>
      <w:r w:rsidRPr="00281DAD">
        <w:rPr>
          <w:rFonts w:hint="cs"/>
          <w:u w:val="single"/>
          <w:rtl/>
        </w:rPr>
        <w:t xml:space="preserve"> </w:t>
      </w:r>
      <w:r w:rsidR="00E174E2" w:rsidRPr="00E174E2">
        <w:rPr>
          <w:u w:val="single"/>
          <w:lang w:val="en-GB"/>
        </w:rPr>
        <w:t xml:space="preserve">ITU-R </w:t>
      </w:r>
      <w:proofErr w:type="gramStart"/>
      <w:r w:rsidR="00E174E2" w:rsidRPr="00E174E2">
        <w:rPr>
          <w:u w:val="single"/>
          <w:lang w:val="en-GB"/>
        </w:rPr>
        <w:t>S.[</w:t>
      </w:r>
      <w:proofErr w:type="gramEnd"/>
      <w:r w:rsidR="00E174E2" w:rsidRPr="00E174E2">
        <w:rPr>
          <w:u w:val="single"/>
          <w:lang w:val="en-GB"/>
        </w:rPr>
        <w:t>QV-METH-REF-LINKS]</w:t>
      </w:r>
      <w:r w:rsidRPr="0042104F">
        <w:rPr>
          <w:rFonts w:hint="cs"/>
          <w:rtl/>
          <w:lang w:bidi="ar-EG"/>
        </w:rPr>
        <w:tab/>
        <w:t xml:space="preserve">الوثيقة </w:t>
      </w:r>
      <w:r w:rsidR="00E74F5E">
        <w:rPr>
          <w:lang w:val="en-GB"/>
        </w:rPr>
        <w:t>4</w:t>
      </w:r>
      <w:r>
        <w:rPr>
          <w:lang w:val="en-GB"/>
        </w:rPr>
        <w:t>/</w:t>
      </w:r>
      <w:r w:rsidR="00E174E2">
        <w:rPr>
          <w:lang w:val="en-GB"/>
        </w:rPr>
        <w:t>91</w:t>
      </w:r>
    </w:p>
    <w:p w14:paraId="0DE1BB0B" w14:textId="5A83ECCC" w:rsidR="00D02121" w:rsidRPr="005C3EA3" w:rsidRDefault="0009534B" w:rsidP="005C3EA3">
      <w:pPr>
        <w:pStyle w:val="Rectitle"/>
        <w:rPr>
          <w:rtl/>
        </w:rPr>
      </w:pPr>
      <w:r w:rsidRPr="0009534B">
        <w:rPr>
          <w:rtl/>
        </w:rPr>
        <w:t xml:space="preserve">إجراءات تقييم التداخل من أي نظام غير مستقر بالنسبة إلى الأرض في مجموعة عالمية من الوصلات المرجعية العامة </w:t>
      </w:r>
      <w:r w:rsidR="00200BCA">
        <w:rPr>
          <w:rFonts w:hint="cs"/>
          <w:rtl/>
        </w:rPr>
        <w:t>المستقرة بالنسبة إلى الأرض</w:t>
      </w:r>
      <w:r w:rsidRPr="0009534B">
        <w:rPr>
          <w:rtl/>
        </w:rPr>
        <w:t xml:space="preserve"> في نطاقات التردد </w:t>
      </w:r>
      <w:r w:rsidR="00200BCA" w:rsidRPr="00200BCA">
        <w:t>GHz 39,5-37,5</w:t>
      </w:r>
      <w:r w:rsidR="00200BCA" w:rsidRPr="00200BCA">
        <w:rPr>
          <w:rtl/>
        </w:rPr>
        <w:t xml:space="preserve"> (فضاء-أرض)</w:t>
      </w:r>
      <w:r w:rsidR="00200BCA">
        <w:rPr>
          <w:rFonts w:hint="cs"/>
          <w:rtl/>
        </w:rPr>
        <w:t xml:space="preserve"> و</w:t>
      </w:r>
      <w:r w:rsidR="00200BCA" w:rsidRPr="00200BCA">
        <w:t xml:space="preserve">GHz </w:t>
      </w:r>
      <w:r w:rsidR="00200BCA">
        <w:t>42</w:t>
      </w:r>
      <w:r w:rsidR="00200BCA" w:rsidRPr="00200BCA">
        <w:t>,5-3</w:t>
      </w:r>
      <w:r w:rsidR="00200BCA">
        <w:rPr>
          <w:lang w:val="fr-CH"/>
        </w:rPr>
        <w:t>9</w:t>
      </w:r>
      <w:r w:rsidR="00200BCA" w:rsidRPr="00200BCA">
        <w:t>,5</w:t>
      </w:r>
      <w:r w:rsidR="00200BCA" w:rsidRPr="00200BCA">
        <w:rPr>
          <w:rtl/>
        </w:rPr>
        <w:t xml:space="preserve"> </w:t>
      </w:r>
      <w:r w:rsidRPr="0009534B">
        <w:rPr>
          <w:rtl/>
        </w:rPr>
        <w:t>(فضاء-أرض)</w:t>
      </w:r>
      <w:r w:rsidR="00200BCA">
        <w:rPr>
          <w:rFonts w:hint="cs"/>
          <w:rtl/>
        </w:rPr>
        <w:t xml:space="preserve"> و</w:t>
      </w:r>
      <w:r w:rsidR="00200BCA" w:rsidRPr="00200BCA">
        <w:t xml:space="preserve"> GHz </w:t>
      </w:r>
      <w:r w:rsidR="00200BCA">
        <w:t>50</w:t>
      </w:r>
      <w:r w:rsidR="00200BCA" w:rsidRPr="00200BCA">
        <w:t>,</w:t>
      </w:r>
      <w:r w:rsidR="00200BCA">
        <w:t>2</w:t>
      </w:r>
      <w:r w:rsidR="00200BCA" w:rsidRPr="00200BCA">
        <w:t>-</w:t>
      </w:r>
      <w:r w:rsidR="00200BCA">
        <w:t>4</w:t>
      </w:r>
      <w:r w:rsidR="00200BCA" w:rsidRPr="00200BCA">
        <w:t>7,</w:t>
      </w:r>
      <w:r w:rsidR="00200BCA">
        <w:t>2</w:t>
      </w:r>
      <w:r w:rsidRPr="0009534B">
        <w:rPr>
          <w:rtl/>
        </w:rPr>
        <w:t>(أرض فضاء)</w:t>
      </w:r>
      <w:r w:rsidR="00DC74D8">
        <w:rPr>
          <w:rtl/>
        </w:rPr>
        <w:br/>
      </w:r>
      <w:r w:rsidRPr="0009534B">
        <w:rPr>
          <w:rtl/>
        </w:rPr>
        <w:t>و</w:t>
      </w:r>
      <w:r w:rsidR="00200BCA" w:rsidRPr="00200BCA">
        <w:t xml:space="preserve"> GHz </w:t>
      </w:r>
      <w:r w:rsidR="00200BCA">
        <w:t>51</w:t>
      </w:r>
      <w:r w:rsidR="00200BCA" w:rsidRPr="00200BCA">
        <w:t>,</w:t>
      </w:r>
      <w:r w:rsidR="00200BCA">
        <w:t>4</w:t>
      </w:r>
      <w:r w:rsidR="00200BCA" w:rsidRPr="00200BCA">
        <w:t>-</w:t>
      </w:r>
      <w:r w:rsidR="00200BCA">
        <w:t>50</w:t>
      </w:r>
      <w:r w:rsidR="00200BCA" w:rsidRPr="00200BCA">
        <w:t>,</w:t>
      </w:r>
      <w:r w:rsidR="00200BCA">
        <w:t>4</w:t>
      </w:r>
      <w:r w:rsidR="00200BCA" w:rsidRPr="00200BCA">
        <w:rPr>
          <w:rtl/>
        </w:rPr>
        <w:t xml:space="preserve"> </w:t>
      </w:r>
      <w:r w:rsidRPr="0009534B">
        <w:rPr>
          <w:rtl/>
        </w:rPr>
        <w:t>(أرض-فضاء)</w:t>
      </w:r>
    </w:p>
    <w:p w14:paraId="5C8BACC8" w14:textId="049C25DA" w:rsidR="0009534B" w:rsidRPr="008E690F" w:rsidRDefault="0009534B" w:rsidP="00713512">
      <w:pPr>
        <w:rPr>
          <w:lang w:val="fr-CH"/>
        </w:rPr>
      </w:pPr>
      <w:r w:rsidRPr="008E690F">
        <w:rPr>
          <w:rtl/>
        </w:rPr>
        <w:t xml:space="preserve">تقدم هذه التوصية إجراءات لتقييم امتثال أي نظام غير مستقر بالنسبة إلى الأرض </w:t>
      </w:r>
      <w:r w:rsidRPr="008E690F">
        <w:rPr>
          <w:b/>
          <w:bCs/>
          <w:rtl/>
        </w:rPr>
        <w:t xml:space="preserve">للرقم </w:t>
      </w:r>
      <w:r w:rsidR="00200BCA" w:rsidRPr="008E690F">
        <w:rPr>
          <w:b/>
          <w:bCs/>
        </w:rPr>
        <w:t>5L.22</w:t>
      </w:r>
      <w:r w:rsidRPr="008E690F">
        <w:rPr>
          <w:rtl/>
        </w:rPr>
        <w:t xml:space="preserve"> من لوائح الراديو من أجل ضمان حماية الشبكات الساتلية المستقرة بالنسبة إلى الأرض في نطاقات التردد </w:t>
      </w:r>
      <w:r w:rsidR="00200BCA" w:rsidRPr="008E690F">
        <w:t>GHz 39,5-37,5</w:t>
      </w:r>
      <w:r w:rsidR="00200BCA" w:rsidRPr="008E690F">
        <w:rPr>
          <w:rtl/>
        </w:rPr>
        <w:t xml:space="preserve"> (فضاء-أرض) و</w:t>
      </w:r>
      <w:r w:rsidR="00200BCA" w:rsidRPr="008E690F">
        <w:t>GHz 42,5-39,5</w:t>
      </w:r>
      <w:r w:rsidR="00200BCA" w:rsidRPr="008E690F">
        <w:rPr>
          <w:rtl/>
        </w:rPr>
        <w:t xml:space="preserve"> (فضاء-أرض) و</w:t>
      </w:r>
      <w:r w:rsidR="00200BCA" w:rsidRPr="008E690F">
        <w:t>GHz 50,2-47,2</w:t>
      </w:r>
      <w:r w:rsidR="00A640C5">
        <w:rPr>
          <w:rFonts w:hint="cs"/>
          <w:rtl/>
        </w:rPr>
        <w:t xml:space="preserve"> </w:t>
      </w:r>
      <w:r w:rsidR="00200BCA" w:rsidRPr="008E690F">
        <w:rPr>
          <w:rtl/>
        </w:rPr>
        <w:t>(أرض فضاء) و</w:t>
      </w:r>
      <w:r w:rsidR="00200BCA" w:rsidRPr="008E690F">
        <w:t>GHz 51,4-50,4</w:t>
      </w:r>
      <w:r w:rsidR="00200BCA" w:rsidRPr="008E690F">
        <w:rPr>
          <w:rtl/>
        </w:rPr>
        <w:t xml:space="preserve"> (أرض-فضاء)</w:t>
      </w:r>
      <w:r w:rsidR="00200BCA" w:rsidRPr="008E690F">
        <w:rPr>
          <w:rFonts w:hint="cs"/>
          <w:rtl/>
        </w:rPr>
        <w:t>.</w:t>
      </w:r>
    </w:p>
    <w:p w14:paraId="3C34B065" w14:textId="67D0F9C5" w:rsidR="0009534B" w:rsidRDefault="0009534B" w:rsidP="0009534B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281DAD">
        <w:rPr>
          <w:rFonts w:hint="cs"/>
          <w:u w:val="single"/>
          <w:rtl/>
        </w:rPr>
        <w:t xml:space="preserve">مشروع </w:t>
      </w:r>
      <w:r>
        <w:rPr>
          <w:rFonts w:hint="cs"/>
          <w:u w:val="single"/>
          <w:rtl/>
          <w:lang w:bidi="ar-SY"/>
        </w:rPr>
        <w:t>ال</w:t>
      </w:r>
      <w:r>
        <w:rPr>
          <w:rFonts w:hint="cs"/>
          <w:u w:val="single"/>
          <w:rtl/>
        </w:rPr>
        <w:t>توصية الجديدة</w:t>
      </w:r>
      <w:r w:rsidRPr="00281DAD">
        <w:rPr>
          <w:rFonts w:hint="cs"/>
          <w:u w:val="single"/>
          <w:rtl/>
        </w:rPr>
        <w:t xml:space="preserve"> </w:t>
      </w:r>
      <w:r w:rsidRPr="0009534B">
        <w:rPr>
          <w:u w:val="single"/>
          <w:lang w:val="en-GB"/>
        </w:rPr>
        <w:t xml:space="preserve">ITU-R </w:t>
      </w:r>
      <w:proofErr w:type="gramStart"/>
      <w:r w:rsidRPr="0009534B">
        <w:rPr>
          <w:u w:val="single"/>
          <w:lang w:val="en-GB"/>
        </w:rPr>
        <w:t>S.[</w:t>
      </w:r>
      <w:proofErr w:type="gramEnd"/>
      <w:r w:rsidRPr="0009534B">
        <w:rPr>
          <w:u w:val="single"/>
          <w:lang w:val="en-GB"/>
        </w:rPr>
        <w:t>METHOD]</w:t>
      </w:r>
      <w:r w:rsidRPr="0042104F">
        <w:rPr>
          <w:rFonts w:hint="cs"/>
          <w:rtl/>
          <w:lang w:bidi="ar-EG"/>
        </w:rPr>
        <w:tab/>
        <w:t xml:space="preserve">الوثيقة </w:t>
      </w:r>
      <w:r>
        <w:rPr>
          <w:lang w:val="en-GB"/>
        </w:rPr>
        <w:t>4/93(</w:t>
      </w:r>
      <w:r w:rsidR="00784176">
        <w:t>Rev.</w:t>
      </w:r>
      <w:r>
        <w:rPr>
          <w:lang w:val="en-GB"/>
        </w:rPr>
        <w:t>1)</w:t>
      </w:r>
    </w:p>
    <w:p w14:paraId="49FC6322" w14:textId="3F96EBAE" w:rsidR="0009534B" w:rsidRPr="005C3EA3" w:rsidRDefault="0009534B" w:rsidP="0009534B">
      <w:pPr>
        <w:pStyle w:val="Rectitle"/>
        <w:rPr>
          <w:rtl/>
        </w:rPr>
      </w:pPr>
      <w:r w:rsidRPr="0009534B">
        <w:rPr>
          <w:rtl/>
        </w:rPr>
        <w:t>منهجية ل</w:t>
      </w:r>
      <w:r w:rsidR="00EF694F">
        <w:rPr>
          <w:rFonts w:hint="cs"/>
          <w:rtl/>
        </w:rPr>
        <w:t>ت</w:t>
      </w:r>
      <w:r w:rsidRPr="0009534B">
        <w:rPr>
          <w:rtl/>
        </w:rPr>
        <w:t xml:space="preserve">فحص </w:t>
      </w:r>
      <w:r w:rsidRPr="00F05FBE">
        <w:rPr>
          <w:rtl/>
        </w:rPr>
        <w:t>امتثال</w:t>
      </w:r>
      <w:r w:rsidRPr="0009534B">
        <w:rPr>
          <w:rtl/>
        </w:rPr>
        <w:t xml:space="preserve"> المحطات الأرضية المتحركة للطيران (</w:t>
      </w:r>
      <w:r w:rsidRPr="0009534B">
        <w:t>A-ESIM</w:t>
      </w:r>
      <w:r w:rsidRPr="0009534B">
        <w:rPr>
          <w:rtl/>
        </w:rPr>
        <w:t>)</w:t>
      </w:r>
      <w:r w:rsidR="0083416E">
        <w:rPr>
          <w:rFonts w:hint="cs"/>
          <w:rtl/>
        </w:rPr>
        <w:t xml:space="preserve"> </w:t>
      </w:r>
      <w:r w:rsidRPr="0009534B">
        <w:rPr>
          <w:rtl/>
        </w:rPr>
        <w:t>التي تتواصل مع المحطات الفضائية المستقرة بالنسبة إلى الأرض</w:t>
      </w:r>
      <w:r w:rsidR="0083416E">
        <w:rPr>
          <w:rFonts w:hint="cs"/>
          <w:rtl/>
        </w:rPr>
        <w:t xml:space="preserve"> </w:t>
      </w:r>
      <w:r w:rsidRPr="0009534B">
        <w:rPr>
          <w:rtl/>
        </w:rPr>
        <w:t>في الخدمة الثابتة الساتلية</w:t>
      </w:r>
      <w:r w:rsidR="0083416E">
        <w:rPr>
          <w:rtl/>
        </w:rPr>
        <w:br/>
      </w:r>
      <w:r w:rsidRPr="0009534B">
        <w:rPr>
          <w:rtl/>
        </w:rPr>
        <w:t xml:space="preserve">في النطاق </w:t>
      </w:r>
      <w:r w:rsidRPr="00833944">
        <w:t>GHz</w:t>
      </w:r>
      <w:r w:rsidR="00833944" w:rsidRPr="00833944">
        <w:t> </w:t>
      </w:r>
      <w:r w:rsidRPr="00833944">
        <w:t>29,5-27,5</w:t>
      </w:r>
      <w:r w:rsidR="0083416E">
        <w:rPr>
          <w:rFonts w:hint="cs"/>
          <w:rtl/>
        </w:rPr>
        <w:t xml:space="preserve"> </w:t>
      </w:r>
      <w:r w:rsidR="00F05FBE" w:rsidRPr="00833944">
        <w:rPr>
          <w:rFonts w:hint="cs"/>
          <w:rtl/>
        </w:rPr>
        <w:t>ل</w:t>
      </w:r>
      <w:r w:rsidRPr="00833944">
        <w:rPr>
          <w:rtl/>
        </w:rPr>
        <w:t>مجموعة من</w:t>
      </w:r>
      <w:r w:rsidRPr="0009534B">
        <w:rPr>
          <w:rtl/>
        </w:rPr>
        <w:t xml:space="preserve"> الحدود المحددة مسبقاً</w:t>
      </w:r>
      <w:r w:rsidR="0083416E">
        <w:rPr>
          <w:rtl/>
        </w:rPr>
        <w:br/>
      </w:r>
      <w:r w:rsidRPr="0009534B">
        <w:rPr>
          <w:rtl/>
        </w:rPr>
        <w:t>لكثافة تدفق القدرة على سطح الأرض</w:t>
      </w:r>
    </w:p>
    <w:p w14:paraId="2B21DC70" w14:textId="6FA9C158" w:rsidR="0009534B" w:rsidRDefault="0009534B" w:rsidP="00713512">
      <w:pPr>
        <w:rPr>
          <w:rtl/>
        </w:rPr>
      </w:pPr>
      <w:r w:rsidRPr="0009534B">
        <w:rPr>
          <w:rtl/>
        </w:rPr>
        <w:t xml:space="preserve">تقدم هذه التوصية منهجية </w:t>
      </w:r>
      <w:r w:rsidR="00F12075">
        <w:rPr>
          <w:rFonts w:hint="cs"/>
          <w:rtl/>
        </w:rPr>
        <w:t>يمكن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ل</w:t>
      </w:r>
      <w:r w:rsidRPr="0009534B">
        <w:rPr>
          <w:rtl/>
        </w:rPr>
        <w:t xml:space="preserve">مكتب الاتصالات الراديوية </w:t>
      </w:r>
      <w:r w:rsidR="00F12075">
        <w:rPr>
          <w:rFonts w:hint="cs"/>
          <w:rtl/>
        </w:rPr>
        <w:t>بالاتحاد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استعمالها لإجراء فحص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ل</w:t>
      </w:r>
      <w:r w:rsidRPr="0009534B">
        <w:rPr>
          <w:rtl/>
        </w:rPr>
        <w:t xml:space="preserve">خصائص </w:t>
      </w:r>
      <w:r w:rsidR="00F12075">
        <w:rPr>
          <w:rFonts w:hint="cs"/>
          <w:rtl/>
        </w:rPr>
        <w:t>ال</w:t>
      </w:r>
      <w:r w:rsidRPr="0009534B">
        <w:rPr>
          <w:rtl/>
        </w:rPr>
        <w:t>محط</w:t>
      </w:r>
      <w:r w:rsidR="00F12075">
        <w:rPr>
          <w:rFonts w:hint="cs"/>
          <w:rtl/>
        </w:rPr>
        <w:t>ات الأرضية المتحركة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للطيران</w:t>
      </w:r>
      <w:r w:rsidRPr="0009534B">
        <w:rPr>
          <w:rtl/>
        </w:rPr>
        <w:t xml:space="preserve"> (</w:t>
      </w:r>
      <w:r w:rsidRPr="0009534B">
        <w:t>A-ESIM</w:t>
      </w:r>
      <w:r w:rsidRPr="0009534B">
        <w:rPr>
          <w:rtl/>
        </w:rPr>
        <w:t xml:space="preserve">) </w:t>
      </w:r>
      <w:r w:rsidR="00F12075">
        <w:rPr>
          <w:rFonts w:hint="cs"/>
          <w:rtl/>
        </w:rPr>
        <w:t xml:space="preserve">التي </w:t>
      </w:r>
      <w:r w:rsidRPr="0009534B">
        <w:rPr>
          <w:rtl/>
        </w:rPr>
        <w:t>تعمل مع شبكات ساتلية مستقرة بالنسبة إلى الأرض</w:t>
      </w:r>
      <w:r w:rsidR="00F12075">
        <w:rPr>
          <w:rFonts w:hint="cs"/>
          <w:rtl/>
        </w:rPr>
        <w:t xml:space="preserve">، </w:t>
      </w:r>
      <w:r w:rsidRPr="0009534B">
        <w:rPr>
          <w:rtl/>
        </w:rPr>
        <w:t xml:space="preserve">فيما </w:t>
      </w:r>
      <w:r w:rsidR="00F12075">
        <w:rPr>
          <w:rFonts w:hint="cs"/>
          <w:rtl/>
        </w:rPr>
        <w:t>يخص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الامتثال</w:t>
      </w:r>
      <w:r w:rsidRPr="0009534B">
        <w:rPr>
          <w:rtl/>
        </w:rPr>
        <w:t xml:space="preserve"> </w:t>
      </w:r>
      <w:r w:rsidR="00F12075">
        <w:rPr>
          <w:rFonts w:hint="cs"/>
          <w:rtl/>
        </w:rPr>
        <w:t>ل</w:t>
      </w:r>
      <w:r w:rsidRPr="0009534B">
        <w:rPr>
          <w:rtl/>
        </w:rPr>
        <w:t xml:space="preserve">حدود كثافة تدفق القدرة المحددة في الجزء الثاني </w:t>
      </w:r>
      <w:r w:rsidR="00F12075">
        <w:rPr>
          <w:rFonts w:hint="cs"/>
          <w:rtl/>
        </w:rPr>
        <w:t xml:space="preserve">من </w:t>
      </w:r>
      <w:r w:rsidRPr="0009534B">
        <w:rPr>
          <w:rtl/>
        </w:rPr>
        <w:t xml:space="preserve">الملحق 3 بالقرار </w:t>
      </w:r>
      <w:r w:rsidR="003378B6" w:rsidRPr="003378B6">
        <w:rPr>
          <w:b/>
          <w:bCs/>
        </w:rPr>
        <w:t>169 (WRC-19)</w:t>
      </w:r>
      <w:r w:rsidR="003378B6">
        <w:rPr>
          <w:rFonts w:hint="cs"/>
          <w:rtl/>
          <w:lang w:bidi="ar-EG"/>
        </w:rPr>
        <w:t xml:space="preserve"> </w:t>
      </w:r>
      <w:r w:rsidRPr="0009534B">
        <w:rPr>
          <w:rtl/>
        </w:rPr>
        <w:t>من لوائح الراديو.</w:t>
      </w:r>
    </w:p>
    <w:p w14:paraId="0E70C8C9" w14:textId="038BFAF5" w:rsidR="0009534B" w:rsidRDefault="0009534B" w:rsidP="0009534B">
      <w:pPr>
        <w:keepNext/>
        <w:tabs>
          <w:tab w:val="right" w:pos="9639"/>
        </w:tabs>
        <w:spacing w:before="480"/>
        <w:rPr>
          <w:rtl/>
          <w:lang w:bidi="ar-EG"/>
        </w:rPr>
      </w:pPr>
      <w:r w:rsidRPr="00281DAD">
        <w:rPr>
          <w:rFonts w:hint="cs"/>
          <w:u w:val="single"/>
          <w:rtl/>
        </w:rPr>
        <w:t>مشروع</w:t>
      </w:r>
      <w:r>
        <w:rPr>
          <w:rFonts w:hint="cs"/>
          <w:u w:val="single"/>
          <w:rtl/>
        </w:rPr>
        <w:t xml:space="preserve"> مراجعة</w:t>
      </w:r>
      <w:r w:rsidRPr="00281DAD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  <w:lang w:bidi="ar-SY"/>
        </w:rPr>
        <w:t>ال</w:t>
      </w:r>
      <w:r>
        <w:rPr>
          <w:rFonts w:hint="cs"/>
          <w:u w:val="single"/>
          <w:rtl/>
        </w:rPr>
        <w:t xml:space="preserve">توصية </w:t>
      </w:r>
      <w:r w:rsidRPr="0009534B">
        <w:rPr>
          <w:u w:val="single"/>
          <w:lang w:val="en-GB"/>
        </w:rPr>
        <w:t>ITU-R S.1503-3</w:t>
      </w:r>
      <w:r w:rsidRPr="0042104F">
        <w:rPr>
          <w:rFonts w:hint="cs"/>
          <w:rtl/>
          <w:lang w:bidi="ar-EG"/>
        </w:rPr>
        <w:tab/>
        <w:t xml:space="preserve">الوثيقة </w:t>
      </w:r>
      <w:r>
        <w:rPr>
          <w:lang w:val="en-GB"/>
        </w:rPr>
        <w:t>4/92(Rev.1)</w:t>
      </w:r>
    </w:p>
    <w:p w14:paraId="7D63BD98" w14:textId="5B022F49" w:rsidR="0009534B" w:rsidRDefault="0009534B" w:rsidP="00C639E7">
      <w:pPr>
        <w:pStyle w:val="Rectitle"/>
        <w:rPr>
          <w:b w:val="0"/>
          <w:bCs w:val="0"/>
        </w:rPr>
      </w:pPr>
      <w:r w:rsidRPr="0009534B">
        <w:rPr>
          <w:rtl/>
        </w:rPr>
        <w:t>وصف وظيفي لاستعماله في تطوير أدوات برمجية من أجل تحديد مدى توافق أنظمة</w:t>
      </w:r>
      <w:r w:rsidR="00F32037">
        <w:rPr>
          <w:rtl/>
        </w:rPr>
        <w:br/>
      </w:r>
      <w:r w:rsidRPr="0009534B">
        <w:rPr>
          <w:rtl/>
        </w:rPr>
        <w:t>أو شبكات الخدمة الثابتة الساتلية في مدارات غير مستقرة بالنسبة إلى الأرض</w:t>
      </w:r>
      <w:r w:rsidR="00F32037">
        <w:rPr>
          <w:rtl/>
        </w:rPr>
        <w:br/>
      </w:r>
      <w:r w:rsidRPr="0009534B">
        <w:rPr>
          <w:rtl/>
        </w:rPr>
        <w:t>مع الحدود المنصوص عليها في المادة 22 من لوائح الراديو</w:t>
      </w:r>
    </w:p>
    <w:p w14:paraId="7DAE55AE" w14:textId="60EB3669" w:rsidR="004C706B" w:rsidRDefault="004C706B" w:rsidP="00713512">
      <w:pPr>
        <w:rPr>
          <w:rtl/>
        </w:rPr>
      </w:pPr>
      <w:r>
        <w:rPr>
          <w:rtl/>
        </w:rPr>
        <w:t xml:space="preserve">تحدد التوصية </w:t>
      </w:r>
      <w:hyperlink r:id="rId11" w:history="1">
        <w:r w:rsidRPr="00367253">
          <w:rPr>
            <w:rStyle w:val="Hyperlink"/>
          </w:rPr>
          <w:t>ITU-R S.1503-3</w:t>
        </w:r>
      </w:hyperlink>
      <w:r>
        <w:rPr>
          <w:rtl/>
        </w:rPr>
        <w:t xml:space="preserve"> منهجية </w:t>
      </w:r>
      <w:r w:rsidR="00E579D6">
        <w:rPr>
          <w:rFonts w:hint="cs"/>
          <w:rtl/>
        </w:rPr>
        <w:t>تُستعمل</w:t>
      </w:r>
      <w:r>
        <w:rPr>
          <w:rtl/>
        </w:rPr>
        <w:t xml:space="preserve"> لتحديد مدى توافق نظام ساتلي غير مستقر بالنسبة إلى الأرض (</w:t>
      </w:r>
      <w:r>
        <w:t>non-GSO</w:t>
      </w:r>
      <w:r>
        <w:rPr>
          <w:rtl/>
        </w:rPr>
        <w:t>) في الخدمة الثابتة الساتلية (</w:t>
      </w:r>
      <w:r>
        <w:t>FSS</w:t>
      </w:r>
      <w:r>
        <w:rPr>
          <w:rtl/>
        </w:rPr>
        <w:t xml:space="preserve">) مع </w:t>
      </w:r>
      <w:r w:rsidR="00E579D6">
        <w:rPr>
          <w:rFonts w:hint="cs"/>
          <w:rtl/>
        </w:rPr>
        <w:t xml:space="preserve">حدود </w:t>
      </w:r>
      <w:r>
        <w:rPr>
          <w:rtl/>
        </w:rPr>
        <w:t>كثافة تدفق القدرة المكافئة (</w:t>
      </w:r>
      <w:r>
        <w:t>epfd</w:t>
      </w:r>
      <w:r>
        <w:rPr>
          <w:rtl/>
        </w:rPr>
        <w:t xml:space="preserve">) </w:t>
      </w:r>
      <w:r w:rsidR="00E579D6">
        <w:rPr>
          <w:rFonts w:hint="cs"/>
          <w:rtl/>
        </w:rPr>
        <w:t>التي تنص عليها</w:t>
      </w:r>
      <w:r>
        <w:rPr>
          <w:rtl/>
        </w:rPr>
        <w:t xml:space="preserve"> المادة </w:t>
      </w:r>
      <w:r w:rsidRPr="00E579D6">
        <w:rPr>
          <w:b/>
          <w:bCs/>
          <w:rtl/>
        </w:rPr>
        <w:t>22</w:t>
      </w:r>
      <w:r>
        <w:rPr>
          <w:rtl/>
        </w:rPr>
        <w:t xml:space="preserve"> من لوائح الراديو</w:t>
      </w:r>
      <w:r w:rsidR="00685C0B">
        <w:rPr>
          <w:rFonts w:hint="cs"/>
          <w:rtl/>
        </w:rPr>
        <w:t> </w:t>
      </w:r>
      <w:r w:rsidR="00685C0B">
        <w:t>(RR)</w:t>
      </w:r>
      <w:r w:rsidR="00E579D6">
        <w:rPr>
          <w:rFonts w:hint="cs"/>
          <w:rtl/>
        </w:rPr>
        <w:t>. و</w:t>
      </w:r>
      <w:r>
        <w:rPr>
          <w:rtl/>
        </w:rPr>
        <w:t xml:space="preserve">تحسب هذه المنهجية كثافة تدفق القدرة المكافئة لنظام ساتلي غير مستقر بالنسبة إلى الأرض في شبكة ساتلية مستقرة بالنسبة إلى الأرض </w:t>
      </w:r>
      <w:r w:rsidR="00E579D6">
        <w:rPr>
          <w:rFonts w:hint="cs"/>
          <w:rtl/>
        </w:rPr>
        <w:t>من خلال</w:t>
      </w:r>
      <w:r>
        <w:rPr>
          <w:rtl/>
        </w:rPr>
        <w:t xml:space="preserve"> نشر مو</w:t>
      </w:r>
      <w:r w:rsidR="004B024B">
        <w:rPr>
          <w:rFonts w:hint="cs"/>
          <w:rtl/>
        </w:rPr>
        <w:t>ا</w:t>
      </w:r>
      <w:r>
        <w:rPr>
          <w:rtl/>
        </w:rPr>
        <w:t xml:space="preserve">قع السواتل غير المستقرة بالنسبة إلى الأرض بمرور الوقت وتجميع كثافة تدفق القدرة المكافئة من/إلى سواتل معينة غير مستقرة بالنسبة إلى الأرض في كل خطوة زمنية. </w:t>
      </w:r>
      <w:r w:rsidR="00E579D6">
        <w:rPr>
          <w:rFonts w:hint="cs"/>
          <w:rtl/>
        </w:rPr>
        <w:t>ومن ثم</w:t>
      </w:r>
      <w:r>
        <w:rPr>
          <w:rtl/>
        </w:rPr>
        <w:t xml:space="preserve"> </w:t>
      </w:r>
      <w:r w:rsidR="00E579D6">
        <w:rPr>
          <w:rFonts w:hint="cs"/>
          <w:rtl/>
        </w:rPr>
        <w:t>يُحدد</w:t>
      </w:r>
      <w:r>
        <w:rPr>
          <w:rtl/>
        </w:rPr>
        <w:t xml:space="preserve"> الامتثال لحدود كثافة تدفق القدرة المكافئة </w:t>
      </w:r>
      <w:r w:rsidR="00E579D6">
        <w:rPr>
          <w:rFonts w:hint="cs"/>
          <w:rtl/>
        </w:rPr>
        <w:t>المنصوص عليها في</w:t>
      </w:r>
      <w:r>
        <w:rPr>
          <w:rtl/>
        </w:rPr>
        <w:t xml:space="preserve"> المادة </w:t>
      </w:r>
      <w:r w:rsidRPr="00E579D6">
        <w:rPr>
          <w:b/>
          <w:bCs/>
          <w:rtl/>
        </w:rPr>
        <w:t>22</w:t>
      </w:r>
      <w:r>
        <w:rPr>
          <w:rtl/>
        </w:rPr>
        <w:t xml:space="preserve"> من لوائح الراديو بمقارنة دالة الكثافة التراكمية (</w:t>
      </w:r>
      <w:r>
        <w:t>CDF</w:t>
      </w:r>
      <w:r>
        <w:rPr>
          <w:rtl/>
        </w:rPr>
        <w:t xml:space="preserve">) لعينات كثافة تدفق القدرة المكافئة المحسوبة مع </w:t>
      </w:r>
      <w:r w:rsidR="00E579D6">
        <w:rPr>
          <w:rtl/>
        </w:rPr>
        <w:t>دالة الكثافة التراكمية (</w:t>
      </w:r>
      <w:r w:rsidR="00E579D6">
        <w:t>CDF</w:t>
      </w:r>
      <w:r w:rsidR="00E579D6">
        <w:rPr>
          <w:rtl/>
        </w:rPr>
        <w:t xml:space="preserve">) </w:t>
      </w:r>
      <w:r>
        <w:rPr>
          <w:rtl/>
        </w:rPr>
        <w:t>المقابل</w:t>
      </w:r>
      <w:r w:rsidR="00E579D6">
        <w:rPr>
          <w:rFonts w:hint="cs"/>
          <w:rtl/>
        </w:rPr>
        <w:t>ة</w:t>
      </w:r>
      <w:r>
        <w:rPr>
          <w:rtl/>
        </w:rPr>
        <w:t xml:space="preserve"> لحدود كثافة تدفق القدرة المكافئة ذات الصلة.</w:t>
      </w:r>
    </w:p>
    <w:p w14:paraId="2419F816" w14:textId="59ED5218" w:rsidR="004C706B" w:rsidRDefault="00F05FBE" w:rsidP="004C706B">
      <w:pPr>
        <w:rPr>
          <w:rtl/>
        </w:rPr>
      </w:pPr>
      <w:r w:rsidRPr="00AF0FB3">
        <w:rPr>
          <w:rFonts w:hint="cs"/>
          <w:rtl/>
        </w:rPr>
        <w:t>وقد عملت</w:t>
      </w:r>
      <w:r w:rsidR="004C706B" w:rsidRPr="00AF0FB3">
        <w:rPr>
          <w:rtl/>
        </w:rPr>
        <w:t xml:space="preserve"> فرقة العمل </w:t>
      </w:r>
      <w:r w:rsidR="00E579D6" w:rsidRPr="00AF0FB3">
        <w:t>4A</w:t>
      </w:r>
      <w:r w:rsidR="004C706B" w:rsidRPr="00AF0FB3">
        <w:rPr>
          <w:rtl/>
        </w:rPr>
        <w:t xml:space="preserve"> على مراجعة التوصية </w:t>
      </w:r>
      <w:r w:rsidR="004C706B" w:rsidRPr="00AF0FB3">
        <w:t>ITU-R S.1503-3</w:t>
      </w:r>
      <w:r w:rsidR="004C706B" w:rsidRPr="00AF0FB3">
        <w:rPr>
          <w:rtl/>
        </w:rPr>
        <w:t xml:space="preserve"> </w:t>
      </w:r>
      <w:r w:rsidRPr="00AF0FB3">
        <w:rPr>
          <w:rFonts w:hint="cs"/>
          <w:rtl/>
        </w:rPr>
        <w:t>و</w:t>
      </w:r>
      <w:r w:rsidR="004C706B" w:rsidRPr="00AF0FB3">
        <w:rPr>
          <w:rtl/>
        </w:rPr>
        <w:t xml:space="preserve">حددت التغييرات المحتملة التي </w:t>
      </w:r>
      <w:r w:rsidRPr="00AF0FB3">
        <w:rPr>
          <w:rFonts w:hint="cs"/>
          <w:rtl/>
        </w:rPr>
        <w:t>تسمح</w:t>
      </w:r>
      <w:r w:rsidR="004C706B" w:rsidRPr="00AF0FB3">
        <w:rPr>
          <w:rtl/>
        </w:rPr>
        <w:t xml:space="preserve"> </w:t>
      </w:r>
      <w:r w:rsidRPr="00AF0FB3">
        <w:rPr>
          <w:rFonts w:hint="cs"/>
          <w:rtl/>
        </w:rPr>
        <w:t>ب</w:t>
      </w:r>
      <w:r w:rsidR="004C706B" w:rsidRPr="00AF0FB3">
        <w:rPr>
          <w:rtl/>
        </w:rPr>
        <w:t>دقة</w:t>
      </w:r>
      <w:r w:rsidRPr="00AF0FB3">
        <w:rPr>
          <w:rFonts w:hint="cs"/>
          <w:rtl/>
        </w:rPr>
        <w:t xml:space="preserve"> أكبر</w:t>
      </w:r>
      <w:r w:rsidR="004C706B" w:rsidRPr="00AF0FB3">
        <w:rPr>
          <w:rtl/>
        </w:rPr>
        <w:t xml:space="preserve"> </w:t>
      </w:r>
      <w:r w:rsidR="00E579D6" w:rsidRPr="00AF0FB3">
        <w:rPr>
          <w:rFonts w:hint="cs"/>
          <w:rtl/>
        </w:rPr>
        <w:t>في</w:t>
      </w:r>
      <w:r w:rsidR="00AF0FB3">
        <w:rPr>
          <w:rFonts w:hint="eastAsia"/>
          <w:rtl/>
        </w:rPr>
        <w:t> </w:t>
      </w:r>
      <w:r w:rsidR="00E579D6" w:rsidRPr="00AF0FB3">
        <w:rPr>
          <w:rFonts w:hint="cs"/>
          <w:rtl/>
        </w:rPr>
        <w:t>نمذجة</w:t>
      </w:r>
      <w:r w:rsidR="004C706B" w:rsidRPr="00AF0FB3">
        <w:rPr>
          <w:rtl/>
        </w:rPr>
        <w:t xml:space="preserve"> قدرات وعمليات الأنظمة غير المستقرة بالنسبة إلى الأرض وتحسين النص لضمان اتساق تعريف</w:t>
      </w:r>
      <w:r w:rsidR="00E579D6" w:rsidRPr="00AF0FB3">
        <w:rPr>
          <w:rFonts w:hint="cs"/>
          <w:rtl/>
        </w:rPr>
        <w:t xml:space="preserve"> المصطلحات</w:t>
      </w:r>
      <w:r w:rsidR="007E0858" w:rsidRPr="00AF0FB3">
        <w:rPr>
          <w:rFonts w:hint="cs"/>
          <w:rtl/>
        </w:rPr>
        <w:t xml:space="preserve"> المختلفة</w:t>
      </w:r>
      <w:r w:rsidR="004C706B" w:rsidRPr="00AF0FB3">
        <w:rPr>
          <w:rtl/>
        </w:rPr>
        <w:t xml:space="preserve"> واستخدا</w:t>
      </w:r>
      <w:r w:rsidR="00E579D6" w:rsidRPr="00AF0FB3">
        <w:rPr>
          <w:rFonts w:hint="cs"/>
          <w:rtl/>
        </w:rPr>
        <w:t>مها</w:t>
      </w:r>
      <w:r w:rsidR="004C706B" w:rsidRPr="00AF0FB3">
        <w:rPr>
          <w:rtl/>
        </w:rPr>
        <w:t>.</w:t>
      </w:r>
    </w:p>
    <w:p w14:paraId="578EB548" w14:textId="6E1CBE14" w:rsidR="0009534B" w:rsidRDefault="00E579D6" w:rsidP="00483217">
      <w:r>
        <w:rPr>
          <w:rFonts w:hint="cs"/>
          <w:rtl/>
        </w:rPr>
        <w:lastRenderedPageBreak/>
        <w:t>وتشمل</w:t>
      </w:r>
      <w:r w:rsidR="004C706B">
        <w:rPr>
          <w:rtl/>
        </w:rPr>
        <w:t xml:space="preserve"> هذه المراجعة المقترحة للتوصية </w:t>
      </w:r>
      <w:r w:rsidR="004C706B">
        <w:t>ITU-R S.1503-3</w:t>
      </w:r>
      <w:r w:rsidR="004C706B">
        <w:rPr>
          <w:rtl/>
        </w:rPr>
        <w:t xml:space="preserve"> التغييرات التالية:</w:t>
      </w:r>
    </w:p>
    <w:p w14:paraId="36D676AF" w14:textId="7BCCADAB" w:rsidR="004C706B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4C706B" w:rsidRPr="004C706B">
        <w:rPr>
          <w:rtl/>
        </w:rPr>
        <w:t xml:space="preserve">زاوية الفصل الدنيا بين وصلات الاتصالات غير المستقرة بالنسبة إلى الأرض العاملة على ترددات مشتركة في محطة أرضية </w:t>
      </w:r>
      <w:r w:rsidR="00EF694F">
        <w:rPr>
          <w:rFonts w:hint="cs"/>
          <w:rtl/>
        </w:rPr>
        <w:t>و</w:t>
      </w:r>
      <w:r w:rsidR="004C706B" w:rsidRPr="004C706B">
        <w:rPr>
          <w:rtl/>
        </w:rPr>
        <w:t>ساتل غير مستقر</w:t>
      </w:r>
      <w:r w:rsidR="00EF694F">
        <w:rPr>
          <w:rFonts w:hint="cs"/>
          <w:rtl/>
        </w:rPr>
        <w:t>ين</w:t>
      </w:r>
      <w:r w:rsidR="004C706B" w:rsidRPr="004C706B">
        <w:rPr>
          <w:rtl/>
        </w:rPr>
        <w:t xml:space="preserve"> بالنسبة إلى الأرض</w:t>
      </w:r>
      <w:r w:rsidR="007E0858">
        <w:rPr>
          <w:rFonts w:hint="cs"/>
          <w:rtl/>
        </w:rPr>
        <w:t>.</w:t>
      </w:r>
    </w:p>
    <w:p w14:paraId="426A3106" w14:textId="4E36B0B2" w:rsidR="004C706B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4C706B" w:rsidRPr="004C706B">
        <w:rPr>
          <w:rtl/>
        </w:rPr>
        <w:t>العدد الأقصى من المحطات الأرضية غير المستقرة بالنسبة إلى الأرض العاملة على ترددات مشتركة التي يمكن تتبعها بساتل غير مستقر بالنسبة إلى الأرض</w:t>
      </w:r>
      <w:r w:rsidR="0002429A">
        <w:rPr>
          <w:rFonts w:hint="cs"/>
          <w:rtl/>
        </w:rPr>
        <w:t>.</w:t>
      </w:r>
    </w:p>
    <w:p w14:paraId="672486B3" w14:textId="073E8C6F" w:rsidR="0011314D" w:rsidRPr="00261B62" w:rsidRDefault="00AF0FB3" w:rsidP="0002429A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11314D" w:rsidRPr="00261B62">
        <w:rPr>
          <w:rtl/>
        </w:rPr>
        <w:t xml:space="preserve">تحديد قناع للقدرة المشعة المكافئة المتناحية </w:t>
      </w:r>
      <w:r w:rsidR="0002429A" w:rsidRPr="00261B62">
        <w:rPr>
          <w:lang w:val="en-GB"/>
        </w:rPr>
        <w:t>(e.i.r.p.)</w:t>
      </w:r>
      <w:r w:rsidR="0011314D" w:rsidRPr="00261B62">
        <w:rPr>
          <w:rtl/>
        </w:rPr>
        <w:t xml:space="preserve"> كي يُستخدم في حالة كثافة تدفق القدرة المكافئة </w:t>
      </w:r>
      <w:r w:rsidR="00D47754" w:rsidRPr="00261B62">
        <w:rPr>
          <w:rFonts w:hint="cs"/>
          <w:rtl/>
        </w:rPr>
        <w:t>(في الوصلة الصاعدة)</w:t>
      </w:r>
      <w:r w:rsidR="0002429A" w:rsidRPr="00261B62">
        <w:rPr>
          <w:rFonts w:hint="cs"/>
          <w:rtl/>
        </w:rPr>
        <w:t>.</w:t>
      </w:r>
    </w:p>
    <w:p w14:paraId="091E4071" w14:textId="29E20837" w:rsidR="004C706B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B205A8">
        <w:rPr>
          <w:rFonts w:hint="cs"/>
          <w:rtl/>
        </w:rPr>
        <w:t xml:space="preserve">إدخال </w:t>
      </w:r>
      <w:r w:rsidR="004C706B" w:rsidRPr="004C706B">
        <w:rPr>
          <w:rtl/>
        </w:rPr>
        <w:t xml:space="preserve">تعديلات على النص الحالي لضمان اتساق تعريف واستخدام المفاهيم المختلفة في </w:t>
      </w:r>
      <w:r w:rsidR="00B205A8">
        <w:rPr>
          <w:rFonts w:hint="cs"/>
          <w:rtl/>
        </w:rPr>
        <w:t>أجزاء</w:t>
      </w:r>
      <w:r w:rsidR="004C706B" w:rsidRPr="004C706B">
        <w:rPr>
          <w:rtl/>
        </w:rPr>
        <w:t xml:space="preserve"> التوصية</w:t>
      </w:r>
      <w:r w:rsidR="00B205A8">
        <w:rPr>
          <w:rFonts w:hint="cs"/>
          <w:rtl/>
        </w:rPr>
        <w:t xml:space="preserve"> كافة</w:t>
      </w:r>
      <w:r w:rsidR="004C706B" w:rsidRPr="004C706B">
        <w:rPr>
          <w:rtl/>
        </w:rPr>
        <w:t>.</w:t>
      </w:r>
    </w:p>
    <w:p w14:paraId="22F9BF01" w14:textId="221E9867" w:rsidR="004C706B" w:rsidRPr="004C706B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4C706B" w:rsidRPr="0011314D">
        <w:rPr>
          <w:rFonts w:hint="cs"/>
          <w:rtl/>
          <w:lang w:val="fr-CH"/>
        </w:rPr>
        <w:t xml:space="preserve">الحد الأدنى لزاوية ارتفاع المحطة الأرضية </w:t>
      </w:r>
      <w:r w:rsidR="00263E29">
        <w:rPr>
          <w:rFonts w:hint="cs"/>
          <w:rtl/>
          <w:lang w:val="fr-CH"/>
        </w:rPr>
        <w:t>المستقرة بالنسبة إلى الأرض</w:t>
      </w:r>
      <w:r w:rsidR="004C706B" w:rsidRPr="0011314D">
        <w:rPr>
          <w:rFonts w:hint="cs"/>
          <w:rtl/>
          <w:lang w:val="fr-CH"/>
        </w:rPr>
        <w:t>.</w:t>
      </w:r>
    </w:p>
    <w:p w14:paraId="18528EE1" w14:textId="7992EC6E" w:rsidR="0011314D" w:rsidRPr="00F05FBE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4C706B" w:rsidRPr="00F05FBE">
        <w:rPr>
          <w:color w:val="000000"/>
          <w:shd w:val="clear" w:color="auto" w:fill="FFFFFF"/>
          <w:rtl/>
        </w:rPr>
        <w:t xml:space="preserve">إلغاء </w:t>
      </w:r>
      <w:r w:rsidR="004C706B" w:rsidRPr="00320184">
        <w:rPr>
          <w:color w:val="000000"/>
          <w:shd w:val="clear" w:color="auto" w:fill="FFFFFF"/>
          <w:rtl/>
        </w:rPr>
        <w:t>نسق</w:t>
      </w:r>
      <w:r w:rsidR="00F05FBE" w:rsidRPr="00320184">
        <w:rPr>
          <w:rFonts w:hint="cs"/>
          <w:color w:val="000000"/>
          <w:shd w:val="clear" w:color="auto" w:fill="FFFFFF"/>
          <w:rtl/>
        </w:rPr>
        <w:t xml:space="preserve"> قناع</w:t>
      </w:r>
      <w:r w:rsidR="004C706B" w:rsidRPr="00320184">
        <w:rPr>
          <w:color w:val="000000"/>
          <w:shd w:val="clear" w:color="auto" w:fill="FFFFFF"/>
          <w:rtl/>
        </w:rPr>
        <w:t xml:space="preserve"> كثافة</w:t>
      </w:r>
      <w:r w:rsidR="004C706B" w:rsidRPr="00F05FBE">
        <w:rPr>
          <w:color w:val="000000"/>
          <w:shd w:val="clear" w:color="auto" w:fill="FFFFFF"/>
          <w:rtl/>
        </w:rPr>
        <w:t xml:space="preserve"> تدفق القدرة للزاوية</w:t>
      </w:r>
      <w:r w:rsidR="009B4106" w:rsidRPr="00F05FBE">
        <w:rPr>
          <w:color w:val="000000"/>
          <w:shd w:val="clear" w:color="auto" w:fill="FFFFFF"/>
          <w:rtl/>
        </w:rPr>
        <w:t xml:space="preserve"> </w:t>
      </w:r>
      <w:r w:rsidR="009B4106" w:rsidRPr="00F05FBE">
        <w:rPr>
          <w:color w:val="000000"/>
          <w:shd w:val="clear" w:color="auto" w:fill="FFFFFF"/>
          <w:lang w:val="fr-CH"/>
        </w:rPr>
        <w:t>X</w:t>
      </w:r>
      <w:r w:rsidR="009B4106" w:rsidRPr="00F05FBE">
        <w:rPr>
          <w:color w:val="000000"/>
          <w:shd w:val="clear" w:color="auto" w:fill="FFFFFF"/>
          <w:rtl/>
          <w:lang w:val="fr-CH"/>
        </w:rPr>
        <w:t>.</w:t>
      </w:r>
    </w:p>
    <w:p w14:paraId="67FEF03A" w14:textId="37463B53" w:rsidR="004C706B" w:rsidRPr="004C706B" w:rsidRDefault="00AF0FB3" w:rsidP="00AF0FB3">
      <w:pPr>
        <w:pStyle w:val="enumlev1"/>
      </w:pPr>
      <w:r>
        <w:rPr>
          <w:rFonts w:hint="cs"/>
          <w:rtl/>
        </w:rPr>
        <w:t>–</w:t>
      </w:r>
      <w:r>
        <w:rPr>
          <w:rtl/>
        </w:rPr>
        <w:tab/>
      </w:r>
      <w:r w:rsidR="004C706B" w:rsidRPr="0011314D">
        <w:rPr>
          <w:rtl/>
          <w:lang w:val="fr-CH"/>
        </w:rPr>
        <w:t xml:space="preserve">توضيح </w:t>
      </w:r>
      <w:r w:rsidR="009B4106">
        <w:rPr>
          <w:rFonts w:hint="cs"/>
          <w:rtl/>
          <w:lang w:val="fr-CH"/>
        </w:rPr>
        <w:t>ال</w:t>
      </w:r>
      <w:r w:rsidR="004C706B" w:rsidRPr="0011314D">
        <w:rPr>
          <w:rtl/>
          <w:lang w:val="fr-CH"/>
        </w:rPr>
        <w:t>إحداثيات (</w:t>
      </w:r>
      <w:r w:rsidR="009B4106">
        <w:rPr>
          <w:rFonts w:hint="cs"/>
          <w:rtl/>
          <w:lang w:val="fr-CH"/>
        </w:rPr>
        <w:t>ثيتا، فاي</w:t>
      </w:r>
      <w:r w:rsidR="004C706B" w:rsidRPr="0011314D">
        <w:rPr>
          <w:rtl/>
          <w:lang w:val="fr-CH"/>
        </w:rPr>
        <w:t xml:space="preserve">) المستخدمة في التوصية </w:t>
      </w:r>
      <w:r w:rsidR="004C706B" w:rsidRPr="0011314D">
        <w:rPr>
          <w:lang w:val="fr-CH"/>
        </w:rPr>
        <w:t>ITU-R S.1503</w:t>
      </w:r>
      <w:r w:rsidR="004C706B" w:rsidRPr="0011314D">
        <w:rPr>
          <w:rtl/>
          <w:lang w:val="fr-CH"/>
        </w:rPr>
        <w:t>.</w:t>
      </w:r>
    </w:p>
    <w:p w14:paraId="23A56632" w14:textId="1E710D1B" w:rsidR="004C706B" w:rsidRPr="004C706B" w:rsidRDefault="006A5BE8" w:rsidP="00483217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واتفقت</w:t>
      </w:r>
      <w:r w:rsidR="004C706B" w:rsidRPr="004C706B">
        <w:rPr>
          <w:rtl/>
          <w:lang w:val="fr-CH" w:bidi="ar-SY"/>
        </w:rPr>
        <w:t xml:space="preserve"> فرقة العمل </w:t>
      </w:r>
      <w:r w:rsidR="00E579D6">
        <w:rPr>
          <w:lang w:val="fr-CH" w:bidi="ar-SY"/>
        </w:rPr>
        <w:t>4A</w:t>
      </w:r>
      <w:r w:rsidR="004C706B" w:rsidRPr="004C706B">
        <w:rPr>
          <w:rtl/>
          <w:lang w:val="fr-CH" w:bidi="ar-SY"/>
        </w:rPr>
        <w:t xml:space="preserve"> على العمل فور</w:t>
      </w:r>
      <w:r w:rsidR="00E579D6">
        <w:rPr>
          <w:rFonts w:hint="cs"/>
          <w:rtl/>
          <w:lang w:val="fr-CH" w:bidi="ar-SY"/>
        </w:rPr>
        <w:t>اً</w:t>
      </w:r>
      <w:r w:rsidR="004C706B" w:rsidRPr="004C706B">
        <w:rPr>
          <w:rtl/>
          <w:lang w:val="fr-CH" w:bidi="ar-SY"/>
        </w:rPr>
        <w:t xml:space="preserve"> على مراجعة أخرى وأعدت مشروع خطة عمل ووثيقة عمل من أجل</w:t>
      </w:r>
      <w:r>
        <w:rPr>
          <w:rFonts w:hint="cs"/>
          <w:rtl/>
          <w:lang w:val="fr-CH" w:bidi="ar-SY"/>
        </w:rPr>
        <w:t xml:space="preserve"> مشروع تمهيدي لمراجعة التوصية</w:t>
      </w:r>
      <w:r w:rsidR="004C706B" w:rsidRPr="004C706B">
        <w:rPr>
          <w:rtl/>
          <w:lang w:val="fr-CH" w:bidi="ar-SY"/>
        </w:rPr>
        <w:t xml:space="preserve"> </w:t>
      </w:r>
      <w:r w:rsidR="004C706B" w:rsidRPr="004C706B">
        <w:rPr>
          <w:lang w:val="fr-CH" w:bidi="ar-SY"/>
        </w:rPr>
        <w:t>ITU-R S.1503</w:t>
      </w:r>
      <w:r>
        <w:rPr>
          <w:rFonts w:hint="cs"/>
          <w:rtl/>
          <w:lang w:val="fr-CH" w:bidi="ar-SY"/>
        </w:rPr>
        <w:t xml:space="preserve">، على النحو المبين في </w:t>
      </w:r>
      <w:r w:rsidR="004C706B" w:rsidRPr="004C706B">
        <w:rPr>
          <w:rtl/>
          <w:lang w:val="fr-CH" w:bidi="ar-SY"/>
        </w:rPr>
        <w:t xml:space="preserve">الملحقين 9 و10 بالوثيقة </w:t>
      </w:r>
      <w:hyperlink r:id="rId12" w:history="1">
        <w:r w:rsidR="00367253" w:rsidRPr="00367253">
          <w:rPr>
            <w:rStyle w:val="Hyperlink"/>
            <w:lang w:val="fr-CH" w:bidi="ar-SY"/>
          </w:rPr>
          <w:t>4A/978</w:t>
        </w:r>
      </w:hyperlink>
      <w:r w:rsidR="004C706B" w:rsidRPr="004C706B">
        <w:rPr>
          <w:rtl/>
          <w:lang w:val="fr-CH" w:bidi="ar-SY"/>
        </w:rPr>
        <w:t xml:space="preserve">. </w:t>
      </w:r>
      <w:r>
        <w:rPr>
          <w:rFonts w:hint="cs"/>
          <w:rtl/>
          <w:lang w:val="fr-CH" w:bidi="ar-SY"/>
        </w:rPr>
        <w:t>و</w:t>
      </w:r>
      <w:r w:rsidR="004C706B" w:rsidRPr="004C706B">
        <w:rPr>
          <w:rtl/>
          <w:lang w:val="fr-CH" w:bidi="ar-SY"/>
        </w:rPr>
        <w:t xml:space="preserve">حددت </w:t>
      </w:r>
      <w:r>
        <w:rPr>
          <w:rFonts w:hint="cs"/>
          <w:rtl/>
          <w:lang w:val="fr-CH" w:bidi="ar-SY"/>
        </w:rPr>
        <w:t>وثيقة العمل من أجل المشروع التمهيدي</w:t>
      </w:r>
      <w:r w:rsidR="00665B5E">
        <w:rPr>
          <w:rFonts w:hint="cs"/>
          <w:rtl/>
          <w:lang w:val="fr-CH" w:bidi="ar-SY"/>
        </w:rPr>
        <w:t xml:space="preserve"> لمراجعة التوصية</w:t>
      </w:r>
      <w:r w:rsidR="004C706B" w:rsidRPr="004C706B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</w:t>
      </w:r>
      <w:r w:rsidR="004C706B" w:rsidRPr="004C706B">
        <w:rPr>
          <w:rtl/>
          <w:lang w:val="fr-CH" w:bidi="ar-SY"/>
        </w:rPr>
        <w:t>لنقاط التالية للنظر فيها على وجه الخصوص:</w:t>
      </w:r>
    </w:p>
    <w:p w14:paraId="1B4E4E8E" w14:textId="50B37386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6A5BE8">
        <w:rPr>
          <w:rFonts w:hint="cs"/>
          <w:rtl/>
          <w:lang w:val="fr-CH"/>
        </w:rPr>
        <w:t>مسألة</w:t>
      </w:r>
      <w:r w:rsidR="004C706B" w:rsidRPr="004C706B">
        <w:rPr>
          <w:rtl/>
          <w:lang w:val="fr-CH"/>
        </w:rPr>
        <w:t xml:space="preserve"> هندسة الحالة</w:t>
      </w:r>
      <w:r w:rsidR="006A5BE8">
        <w:rPr>
          <w:rFonts w:hint="cs"/>
          <w:rtl/>
          <w:lang w:val="fr-CH"/>
        </w:rPr>
        <w:t xml:space="preserve"> </w:t>
      </w:r>
      <w:r w:rsidR="00B10E41">
        <w:rPr>
          <w:rFonts w:hint="cs"/>
          <w:rtl/>
          <w:lang w:val="fr-CH"/>
        </w:rPr>
        <w:t>الأسوأ</w:t>
      </w:r>
      <w:r w:rsidR="004C706B" w:rsidRPr="004C706B">
        <w:rPr>
          <w:rtl/>
          <w:lang w:val="fr-CH"/>
        </w:rPr>
        <w:t>.</w:t>
      </w:r>
    </w:p>
    <w:p w14:paraId="26284E84" w14:textId="7FC17AC7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 xml:space="preserve">دورة عمل قناع </w:t>
      </w:r>
      <w:r w:rsidR="006A5BE8">
        <w:rPr>
          <w:rFonts w:hint="cs"/>
          <w:rtl/>
          <w:lang w:val="fr-CH"/>
        </w:rPr>
        <w:t>إرسالات</w:t>
      </w:r>
      <w:r w:rsidR="004C706B" w:rsidRPr="004C706B">
        <w:rPr>
          <w:rtl/>
          <w:lang w:val="fr-CH"/>
        </w:rPr>
        <w:t xml:space="preserve"> </w:t>
      </w:r>
      <w:r w:rsidR="006A5BE8">
        <w:rPr>
          <w:rFonts w:hint="cs"/>
          <w:rtl/>
          <w:lang w:val="fr-CH"/>
        </w:rPr>
        <w:t>الوصلات</w:t>
      </w:r>
      <w:r w:rsidR="004C706B" w:rsidRPr="004C706B">
        <w:rPr>
          <w:rtl/>
          <w:lang w:val="fr-CH"/>
        </w:rPr>
        <w:t xml:space="preserve"> الهابطة.</w:t>
      </w:r>
    </w:p>
    <w:p w14:paraId="01973CFF" w14:textId="7FDDB900" w:rsidR="00D47754" w:rsidRDefault="00E54C33" w:rsidP="00104DBD">
      <w:pPr>
        <w:pStyle w:val="enumlev1"/>
        <w:rPr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>مخطط الإرسال بإطار زمني.</w:t>
      </w:r>
    </w:p>
    <w:p w14:paraId="34EAF228" w14:textId="7CD1A288" w:rsidR="004C706B" w:rsidRPr="00D47754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D47754">
        <w:rPr>
          <w:rtl/>
          <w:lang w:val="fr-CH"/>
        </w:rPr>
        <w:t xml:space="preserve">اختيار </w:t>
      </w:r>
      <w:r w:rsidR="006A5BE8" w:rsidRPr="00D47754">
        <w:rPr>
          <w:rFonts w:hint="cs"/>
          <w:rtl/>
          <w:lang w:val="fr-CH"/>
        </w:rPr>
        <w:t>السواتل</w:t>
      </w:r>
      <w:r w:rsidR="004C706B" w:rsidRPr="00D47754">
        <w:rPr>
          <w:rtl/>
          <w:lang w:val="fr-CH"/>
        </w:rPr>
        <w:t xml:space="preserve"> </w:t>
      </w:r>
      <w:r w:rsidR="00D47754" w:rsidRPr="00D47754">
        <w:rPr>
          <w:rFonts w:hint="cs"/>
          <w:rtl/>
          <w:lang w:val="fr-CH"/>
        </w:rPr>
        <w:t xml:space="preserve">وفقاً </w:t>
      </w:r>
      <w:r w:rsidR="00D47754">
        <w:rPr>
          <w:rFonts w:hint="cs"/>
          <w:rtl/>
          <w:lang w:val="fr-CH"/>
        </w:rPr>
        <w:t>ل</w:t>
      </w:r>
      <w:r w:rsidR="00D47754" w:rsidRPr="0011314D">
        <w:rPr>
          <w:rtl/>
        </w:rPr>
        <w:t xml:space="preserve">كثافة تدفق القدرة المكافئة </w:t>
      </w:r>
      <w:r w:rsidR="00D47754">
        <w:rPr>
          <w:rFonts w:hint="cs"/>
          <w:rtl/>
        </w:rPr>
        <w:t>(في الوصلة الهابطة)</w:t>
      </w:r>
      <w:r w:rsidR="00D47754">
        <w:rPr>
          <w:rFonts w:hint="cs"/>
          <w:rtl/>
          <w:lang w:val="fr-CH"/>
        </w:rPr>
        <w:t>،</w:t>
      </w:r>
      <w:r w:rsidR="004C706B" w:rsidRPr="00D47754">
        <w:rPr>
          <w:rtl/>
          <w:lang w:val="fr-CH"/>
        </w:rPr>
        <w:t xml:space="preserve"> على سبيل المثال مفهوم جدول ألفا.</w:t>
      </w:r>
    </w:p>
    <w:p w14:paraId="3458AA18" w14:textId="0B363FF1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>مخططات هوائي</w:t>
      </w:r>
      <w:r w:rsidR="00723B6E">
        <w:rPr>
          <w:rFonts w:hint="cs"/>
          <w:rtl/>
          <w:lang w:val="fr-CH"/>
        </w:rPr>
        <w:t>ات</w:t>
      </w:r>
      <w:r w:rsidR="004C706B" w:rsidRPr="004C706B">
        <w:rPr>
          <w:rtl/>
          <w:lang w:val="fr-CH"/>
        </w:rPr>
        <w:t xml:space="preserve"> المحط</w:t>
      </w:r>
      <w:r w:rsidR="00723B6E">
        <w:rPr>
          <w:rFonts w:hint="cs"/>
          <w:rtl/>
          <w:lang w:val="fr-CH"/>
        </w:rPr>
        <w:t>ات</w:t>
      </w:r>
      <w:r w:rsidR="004C706B" w:rsidRPr="004C706B">
        <w:rPr>
          <w:rtl/>
          <w:lang w:val="fr-CH"/>
        </w:rPr>
        <w:t xml:space="preserve"> الأرضية </w:t>
      </w:r>
      <w:r w:rsidR="00723B6E">
        <w:rPr>
          <w:rFonts w:hint="cs"/>
          <w:rtl/>
          <w:lang w:val="fr-CH"/>
        </w:rPr>
        <w:t>المستقرة بالنسبة إلى الأرض</w:t>
      </w:r>
      <w:r w:rsidR="004C706B" w:rsidRPr="004C706B">
        <w:rPr>
          <w:rtl/>
          <w:lang w:val="fr-CH"/>
        </w:rPr>
        <w:t>.</w:t>
      </w:r>
    </w:p>
    <w:p w14:paraId="48823216" w14:textId="18E9BFB0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>تحسينات وقت التشغيل.</w:t>
      </w:r>
    </w:p>
    <w:p w14:paraId="45C847E4" w14:textId="696DDDE0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 xml:space="preserve">العلاقة </w:t>
      </w:r>
      <w:r w:rsidR="00723B6E">
        <w:rPr>
          <w:rFonts w:hint="cs"/>
          <w:rtl/>
          <w:lang w:val="fr-CH"/>
        </w:rPr>
        <w:t xml:space="preserve">القائمة </w:t>
      </w:r>
      <w:r w:rsidR="004C706B" w:rsidRPr="004C706B">
        <w:rPr>
          <w:rtl/>
          <w:lang w:val="fr-CH"/>
        </w:rPr>
        <w:t>بين المعلمات.</w:t>
      </w:r>
    </w:p>
    <w:p w14:paraId="2F7ABDC3" w14:textId="25F48B82" w:rsidR="004C706B" w:rsidRPr="004C706B" w:rsidRDefault="00E54C33" w:rsidP="00104DBD">
      <w:pPr>
        <w:pStyle w:val="enumlev1"/>
        <w:rPr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4C706B">
        <w:rPr>
          <w:rtl/>
          <w:lang w:val="fr-CH"/>
        </w:rPr>
        <w:t xml:space="preserve">منهجية لتقييم </w:t>
      </w:r>
      <w:r w:rsidR="00B10E41">
        <w:rPr>
          <w:rFonts w:hint="cs"/>
          <w:rtl/>
          <w:lang w:val="fr-CH"/>
        </w:rPr>
        <w:t>التعديلات</w:t>
      </w:r>
      <w:r w:rsidR="004C706B" w:rsidRPr="004C706B">
        <w:rPr>
          <w:rtl/>
          <w:lang w:val="fr-CH"/>
        </w:rPr>
        <w:t xml:space="preserve"> </w:t>
      </w:r>
      <w:r w:rsidR="00B10E41">
        <w:rPr>
          <w:rFonts w:hint="cs"/>
          <w:rtl/>
          <w:lang w:val="fr-CH"/>
        </w:rPr>
        <w:t>المحتمل إدخالها</w:t>
      </w:r>
      <w:r w:rsidR="004C706B" w:rsidRPr="004C706B">
        <w:rPr>
          <w:rtl/>
          <w:lang w:val="fr-CH"/>
        </w:rPr>
        <w:t xml:space="preserve"> </w:t>
      </w:r>
      <w:r w:rsidR="00B10E41">
        <w:rPr>
          <w:rFonts w:hint="cs"/>
          <w:rtl/>
          <w:lang w:val="fr-CH"/>
        </w:rPr>
        <w:t>على</w:t>
      </w:r>
      <w:r w:rsidR="004C706B" w:rsidRPr="004C706B">
        <w:rPr>
          <w:rtl/>
          <w:lang w:val="fr-CH"/>
        </w:rPr>
        <w:t xml:space="preserve"> هذه التوصية.</w:t>
      </w:r>
    </w:p>
    <w:p w14:paraId="4F83017A" w14:textId="4A917573" w:rsidR="004C706B" w:rsidRPr="005B20C0" w:rsidRDefault="00E54C33" w:rsidP="00104DBD">
      <w:pPr>
        <w:pStyle w:val="enumlev1"/>
        <w:rPr>
          <w:spacing w:val="-4"/>
          <w:rtl/>
          <w:lang w:val="fr-CH"/>
        </w:rPr>
      </w:pPr>
      <w:r>
        <w:rPr>
          <w:lang w:val="fr-CH"/>
        </w:rPr>
        <w:sym w:font="Symbol" w:char="F0B7"/>
      </w:r>
      <w:r w:rsidR="00104DBD">
        <w:rPr>
          <w:rtl/>
          <w:lang w:val="fr-CH"/>
        </w:rPr>
        <w:tab/>
      </w:r>
      <w:r w:rsidR="004C706B" w:rsidRPr="005B20C0">
        <w:rPr>
          <w:spacing w:val="-4"/>
          <w:rtl/>
          <w:lang w:val="fr-CH"/>
        </w:rPr>
        <w:t xml:space="preserve">النظر في أنظمة </w:t>
      </w:r>
      <w:r w:rsidR="00B10E41" w:rsidRPr="005B20C0">
        <w:rPr>
          <w:rFonts w:hint="cs"/>
          <w:spacing w:val="-4"/>
          <w:rtl/>
          <w:lang w:val="fr-CH"/>
        </w:rPr>
        <w:t>السواتل</w:t>
      </w:r>
      <w:r w:rsidR="004C706B" w:rsidRPr="005B20C0">
        <w:rPr>
          <w:spacing w:val="-4"/>
          <w:rtl/>
          <w:lang w:val="fr-CH"/>
        </w:rPr>
        <w:t xml:space="preserve"> غير المستقرة بالنسبة إلى الأرض التي تستخدم حزم</w:t>
      </w:r>
      <w:r w:rsidR="00B10E41" w:rsidRPr="005B20C0">
        <w:rPr>
          <w:rFonts w:hint="cs"/>
          <w:spacing w:val="-4"/>
          <w:rtl/>
          <w:lang w:val="fr-CH"/>
        </w:rPr>
        <w:t>اً</w:t>
      </w:r>
      <w:r w:rsidR="004C706B" w:rsidRPr="005B20C0">
        <w:rPr>
          <w:spacing w:val="-4"/>
          <w:rtl/>
          <w:lang w:val="fr-CH"/>
        </w:rPr>
        <w:t xml:space="preserve"> قابلة للتوجيه وطرق اختيار </w:t>
      </w:r>
      <w:r w:rsidR="00B10E41" w:rsidRPr="005B20C0">
        <w:rPr>
          <w:rFonts w:hint="cs"/>
          <w:spacing w:val="-4"/>
          <w:rtl/>
          <w:lang w:val="fr-CH"/>
        </w:rPr>
        <w:t>أخرى للسواتل</w:t>
      </w:r>
      <w:r w:rsidR="004C706B" w:rsidRPr="005B20C0">
        <w:rPr>
          <w:spacing w:val="-4"/>
          <w:rtl/>
          <w:lang w:val="fr-CH"/>
        </w:rPr>
        <w:t>.</w:t>
      </w:r>
    </w:p>
    <w:p w14:paraId="599834EA" w14:textId="7CEE2554" w:rsidR="004C706B" w:rsidRPr="004C706B" w:rsidRDefault="00B10E41" w:rsidP="00483217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C706B" w:rsidRPr="004C706B">
        <w:rPr>
          <w:rtl/>
          <w:lang w:val="fr-CH" w:bidi="ar-SY"/>
        </w:rPr>
        <w:t>قد يكون لبعض هذه العناصر آثار تنظيمية و</w:t>
      </w:r>
      <w:r>
        <w:rPr>
          <w:rFonts w:hint="cs"/>
          <w:rtl/>
          <w:lang w:val="fr-CH" w:bidi="ar-SY"/>
        </w:rPr>
        <w:t>/</w:t>
      </w:r>
      <w:r w:rsidR="004C706B" w:rsidRPr="004C706B">
        <w:rPr>
          <w:rtl/>
          <w:lang w:val="fr-CH" w:bidi="ar-SY"/>
        </w:rPr>
        <w:t>أو إجرائية.</w:t>
      </w:r>
    </w:p>
    <w:p w14:paraId="3F32CF86" w14:textId="4F876C0A" w:rsidR="004C706B" w:rsidRPr="004C706B" w:rsidRDefault="00B10E41" w:rsidP="00483217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C706B" w:rsidRPr="004C706B">
        <w:rPr>
          <w:rtl/>
          <w:lang w:val="fr-CH" w:bidi="ar-SY"/>
        </w:rPr>
        <w:t xml:space="preserve">على سبيل المثال، بالنسبة </w:t>
      </w:r>
      <w:r>
        <w:rPr>
          <w:rFonts w:hint="cs"/>
          <w:rtl/>
          <w:lang w:val="fr-CH" w:bidi="ar-SY"/>
        </w:rPr>
        <w:t>للنقطة</w:t>
      </w:r>
      <w:r w:rsidR="004C706B" w:rsidRPr="004C706B">
        <w:rPr>
          <w:rtl/>
          <w:lang w:val="fr-CH" w:bidi="ar-SY"/>
        </w:rPr>
        <w:t xml:space="preserve"> الأول</w:t>
      </w:r>
      <w:r>
        <w:rPr>
          <w:rFonts w:hint="cs"/>
          <w:rtl/>
          <w:lang w:val="fr-CH" w:bidi="ar-SY"/>
        </w:rPr>
        <w:t>ى</w:t>
      </w:r>
      <w:r w:rsidR="004C706B" w:rsidRPr="004C706B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المتعلقة</w:t>
      </w:r>
      <w:r w:rsidR="004C706B" w:rsidRPr="004C706B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ب</w:t>
      </w:r>
      <w:r w:rsidR="004C706B" w:rsidRPr="004C706B">
        <w:rPr>
          <w:rtl/>
          <w:lang w:val="fr-CH" w:bidi="ar-SY"/>
        </w:rPr>
        <w:t xml:space="preserve">مسألة </w:t>
      </w:r>
      <w:r w:rsidRPr="00483217">
        <w:rPr>
          <w:rFonts w:hint="cs"/>
          <w:rtl/>
          <w:lang w:val="fr-CH" w:bidi="ar-SY"/>
        </w:rPr>
        <w:t>هندسة</w:t>
      </w:r>
      <w:r w:rsidR="00F05FBE" w:rsidRPr="00483217">
        <w:rPr>
          <w:rFonts w:hint="cs"/>
          <w:rtl/>
          <w:lang w:val="fr-CH" w:bidi="ar-SY"/>
        </w:rPr>
        <w:t xml:space="preserve"> الحالة</w:t>
      </w:r>
      <w:r w:rsidRPr="00483217">
        <w:rPr>
          <w:rFonts w:hint="cs"/>
          <w:rtl/>
          <w:lang w:val="fr-CH" w:bidi="ar-SY"/>
        </w:rPr>
        <w:t xml:space="preserve"> الأسوأ،</w:t>
      </w:r>
      <w:r w:rsidR="004C706B" w:rsidRPr="004C706B">
        <w:rPr>
          <w:rtl/>
          <w:lang w:val="fr-CH" w:bidi="ar-SY"/>
        </w:rPr>
        <w:t xml:space="preserve"> في حالة </w:t>
      </w:r>
      <w:r>
        <w:rPr>
          <w:rFonts w:hint="cs"/>
          <w:rtl/>
          <w:lang w:val="fr-CH" w:bidi="ar-SY"/>
        </w:rPr>
        <w:t>الإبقاء على</w:t>
      </w:r>
      <w:r w:rsidR="004C706B" w:rsidRPr="004C706B">
        <w:rPr>
          <w:rtl/>
          <w:lang w:val="fr-CH" w:bidi="ar-SY"/>
        </w:rPr>
        <w:t xml:space="preserve"> هذا المفهوم، ينبغي </w:t>
      </w:r>
      <w:r>
        <w:rPr>
          <w:rFonts w:hint="cs"/>
          <w:rtl/>
          <w:lang w:val="fr-CH" w:bidi="ar-SY"/>
        </w:rPr>
        <w:t>أن</w:t>
      </w:r>
      <w:r w:rsidR="00483217">
        <w:rPr>
          <w:rFonts w:hint="eastAsia"/>
          <w:rtl/>
          <w:lang w:val="fr-CH" w:bidi="ar-SY"/>
        </w:rPr>
        <w:t> </w:t>
      </w:r>
      <w:r>
        <w:rPr>
          <w:rFonts w:hint="cs"/>
          <w:rtl/>
          <w:lang w:val="fr-CH" w:bidi="ar-SY"/>
        </w:rPr>
        <w:t>يُتاح</w:t>
      </w:r>
      <w:r w:rsidR="004C706B" w:rsidRPr="004C706B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ل</w:t>
      </w:r>
      <w:r w:rsidR="004C706B" w:rsidRPr="004C706B">
        <w:rPr>
          <w:rtl/>
          <w:lang w:val="fr-CH" w:bidi="ar-SY"/>
        </w:rPr>
        <w:t xml:space="preserve">لإدارة </w:t>
      </w:r>
      <w:r>
        <w:rPr>
          <w:rFonts w:hint="cs"/>
          <w:rtl/>
          <w:lang w:val="fr-CH" w:bidi="ar-SY"/>
        </w:rPr>
        <w:t>المبلّغة</w:t>
      </w:r>
      <w:r w:rsidR="004C706B" w:rsidRPr="004C706B">
        <w:rPr>
          <w:rtl/>
          <w:lang w:val="fr-CH" w:bidi="ar-SY"/>
        </w:rPr>
        <w:t xml:space="preserve"> </w:t>
      </w:r>
      <w:r w:rsidR="00F05FBE">
        <w:rPr>
          <w:rFonts w:hint="cs"/>
          <w:rtl/>
          <w:lang w:val="fr-CH" w:bidi="ar-SY"/>
        </w:rPr>
        <w:t>عن النظام</w:t>
      </w:r>
      <w:r w:rsidR="004C706B" w:rsidRPr="004C706B">
        <w:rPr>
          <w:rtl/>
          <w:lang w:val="fr-CH" w:bidi="ar-SY"/>
        </w:rPr>
        <w:t xml:space="preserve"> الساتلي غير المستقر بالنسبة إلى الأرض</w:t>
      </w:r>
      <w:r>
        <w:rPr>
          <w:rFonts w:hint="cs"/>
          <w:rtl/>
          <w:lang w:val="fr-CH" w:bidi="ar-SY"/>
        </w:rPr>
        <w:t>،</w:t>
      </w:r>
      <w:r w:rsidR="004C706B" w:rsidRPr="004C706B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خيار</w:t>
      </w:r>
      <w:r w:rsidR="004C706B" w:rsidRPr="004C706B">
        <w:rPr>
          <w:rtl/>
          <w:lang w:val="fr-CH" w:bidi="ar-SY"/>
        </w:rPr>
        <w:t xml:space="preserve"> اتخاذ تدابير تصحيحية لإزالة تجاوز كثافة تدفق القدرة المكافئة عند نق</w:t>
      </w:r>
      <w:r>
        <w:rPr>
          <w:rFonts w:hint="cs"/>
          <w:rtl/>
          <w:lang w:val="fr-CH" w:bidi="ar-SY"/>
        </w:rPr>
        <w:t>اط</w:t>
      </w:r>
      <w:r w:rsidR="004C706B" w:rsidRPr="004C706B">
        <w:rPr>
          <w:rtl/>
          <w:lang w:val="fr-CH" w:bidi="ar-SY"/>
        </w:rPr>
        <w:t xml:space="preserve"> الاختبار التي تم تجاوز كثافة تدفق القدرة المكافئة</w:t>
      </w:r>
      <w:r>
        <w:rPr>
          <w:rFonts w:hint="cs"/>
          <w:rtl/>
          <w:lang w:val="fr-CH" w:bidi="ar-SY"/>
        </w:rPr>
        <w:t xml:space="preserve"> فيها</w:t>
      </w:r>
      <w:r w:rsidR="004C706B" w:rsidRPr="004C706B">
        <w:rPr>
          <w:rtl/>
          <w:lang w:val="fr-CH" w:bidi="ar-SY"/>
        </w:rPr>
        <w:t>.</w:t>
      </w:r>
    </w:p>
    <w:p w14:paraId="1B500B58" w14:textId="3D667D88" w:rsidR="004C706B" w:rsidRPr="004C706B" w:rsidRDefault="00B10E41" w:rsidP="00483217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C706B" w:rsidRPr="004C706B">
        <w:rPr>
          <w:rtl/>
          <w:lang w:val="fr-CH" w:bidi="ar-SY"/>
        </w:rPr>
        <w:t xml:space="preserve">فيما يتعلق بجدول ألفا، </w:t>
      </w:r>
      <w:r>
        <w:rPr>
          <w:rFonts w:hint="cs"/>
          <w:rtl/>
          <w:lang w:val="fr-CH" w:bidi="ar-SY"/>
        </w:rPr>
        <w:t>ينبغي</w:t>
      </w:r>
      <w:r w:rsidR="004C706B" w:rsidRPr="004C706B">
        <w:rPr>
          <w:rtl/>
          <w:lang w:val="fr-CH" w:bidi="ar-SY"/>
        </w:rPr>
        <w:t xml:space="preserve"> توضيح أن هذا </w:t>
      </w:r>
      <w:r w:rsidR="004C706B" w:rsidRPr="00483217">
        <w:rPr>
          <w:rtl/>
          <w:lang w:val="fr-CH" w:bidi="ar-SY"/>
        </w:rPr>
        <w:t xml:space="preserve">الحل </w:t>
      </w:r>
      <w:r w:rsidR="00F05FBE" w:rsidRPr="00483217">
        <w:rPr>
          <w:rFonts w:hint="cs"/>
          <w:rtl/>
          <w:lang w:val="fr-CH" w:bidi="ar-SY"/>
        </w:rPr>
        <w:t>ي</w:t>
      </w:r>
      <w:r w:rsidR="009A0BA7" w:rsidRPr="00483217">
        <w:rPr>
          <w:rFonts w:hint="cs"/>
          <w:rtl/>
          <w:lang w:val="fr-CH" w:bidi="ar-SY"/>
        </w:rPr>
        <w:t>تعامل مع الأنظمة</w:t>
      </w:r>
      <w:r w:rsidR="009A0BA7">
        <w:rPr>
          <w:rFonts w:hint="cs"/>
          <w:rtl/>
          <w:lang w:val="fr-CH" w:bidi="ar-SY"/>
        </w:rPr>
        <w:t xml:space="preserve"> الساتلية</w:t>
      </w:r>
      <w:r w:rsidR="004C706B" w:rsidRPr="004C706B">
        <w:rPr>
          <w:rtl/>
          <w:lang w:val="fr-CH" w:bidi="ar-SY"/>
        </w:rPr>
        <w:t xml:space="preserve"> الصغيرة غير المستقرة بالنسبة إلى الأرض (أقل من ألف </w:t>
      </w:r>
      <w:r>
        <w:rPr>
          <w:rFonts w:hint="cs"/>
          <w:rtl/>
          <w:lang w:val="fr-CH" w:bidi="ar-SY"/>
        </w:rPr>
        <w:t>ساتل</w:t>
      </w:r>
      <w:r w:rsidR="004C706B" w:rsidRPr="004C706B">
        <w:rPr>
          <w:rtl/>
          <w:lang w:val="fr-CH" w:bidi="ar-SY"/>
        </w:rPr>
        <w:t xml:space="preserve">) </w:t>
      </w:r>
      <w:r w:rsidR="009A0BA7">
        <w:rPr>
          <w:rFonts w:hint="cs"/>
          <w:rtl/>
          <w:lang w:val="fr-CH" w:bidi="ar-SY"/>
        </w:rPr>
        <w:t>والكبيرة</w:t>
      </w:r>
      <w:r w:rsidR="004C706B" w:rsidRPr="004C706B">
        <w:rPr>
          <w:rtl/>
          <w:lang w:val="fr-CH" w:bidi="ar-SY"/>
        </w:rPr>
        <w:t xml:space="preserve"> (أكثر من ألف </w:t>
      </w:r>
      <w:r w:rsidR="009A0BA7">
        <w:rPr>
          <w:rFonts w:hint="cs"/>
          <w:rtl/>
          <w:lang w:val="fr-CH" w:bidi="ar-SY"/>
        </w:rPr>
        <w:t>ساتل</w:t>
      </w:r>
      <w:r w:rsidR="004C706B" w:rsidRPr="004C706B">
        <w:rPr>
          <w:rtl/>
          <w:lang w:val="fr-CH" w:bidi="ar-SY"/>
        </w:rPr>
        <w:t xml:space="preserve">) </w:t>
      </w:r>
      <w:r w:rsidR="009A0BA7">
        <w:rPr>
          <w:rFonts w:hint="cs"/>
          <w:rtl/>
          <w:lang w:val="fr-CH" w:bidi="ar-SY"/>
        </w:rPr>
        <w:t>على نحو عادل</w:t>
      </w:r>
      <w:r w:rsidR="004C706B" w:rsidRPr="004C706B">
        <w:rPr>
          <w:rtl/>
          <w:lang w:val="fr-CH" w:bidi="ar-SY"/>
        </w:rPr>
        <w:t>.</w:t>
      </w:r>
    </w:p>
    <w:p w14:paraId="68CFE344" w14:textId="695B7697" w:rsidR="004C706B" w:rsidRPr="0066428C" w:rsidRDefault="009A0BA7" w:rsidP="00483217">
      <w:pPr>
        <w:rPr>
          <w:lang w:bidi="ar-EG"/>
        </w:rPr>
      </w:pPr>
      <w:r>
        <w:rPr>
          <w:rFonts w:hint="cs"/>
          <w:rtl/>
          <w:lang w:val="fr-CH" w:bidi="ar-SY"/>
        </w:rPr>
        <w:t xml:space="preserve">وينبغي </w:t>
      </w:r>
      <w:r w:rsidR="004C706B" w:rsidRPr="004C706B">
        <w:rPr>
          <w:rtl/>
          <w:lang w:val="fr-CH" w:bidi="ar-SY"/>
        </w:rPr>
        <w:t xml:space="preserve">أن </w:t>
      </w:r>
      <w:r w:rsidR="006272B1">
        <w:rPr>
          <w:rFonts w:hint="cs"/>
          <w:rtl/>
          <w:lang w:val="fr-CH" w:bidi="ar-SY"/>
        </w:rPr>
        <w:t>تعبر</w:t>
      </w:r>
      <w:r w:rsidR="004C706B" w:rsidRPr="004C706B">
        <w:rPr>
          <w:rtl/>
          <w:lang w:val="fr-CH" w:bidi="ar-SY"/>
        </w:rPr>
        <w:t xml:space="preserve"> أي مجموعة أو حزمة من العناصر المذكورة أعلاه بشكل مناسب</w:t>
      </w:r>
      <w:r>
        <w:rPr>
          <w:rFonts w:hint="cs"/>
          <w:rtl/>
          <w:lang w:val="fr-CH" w:bidi="ar-SY"/>
        </w:rPr>
        <w:t>،</w:t>
      </w:r>
      <w:r w:rsidR="004C706B" w:rsidRPr="004C706B">
        <w:rPr>
          <w:rtl/>
          <w:lang w:val="fr-CH" w:bidi="ar-SY"/>
        </w:rPr>
        <w:t xml:space="preserve"> </w:t>
      </w:r>
      <w:r w:rsidR="006272B1">
        <w:rPr>
          <w:rFonts w:hint="cs"/>
          <w:rtl/>
          <w:lang w:val="fr-CH" w:bidi="ar-SY"/>
        </w:rPr>
        <w:t xml:space="preserve">عن </w:t>
      </w:r>
      <w:r w:rsidR="004C706B" w:rsidRPr="004C706B">
        <w:rPr>
          <w:rtl/>
          <w:lang w:val="fr-CH" w:bidi="ar-SY"/>
        </w:rPr>
        <w:t xml:space="preserve">واقع تشغيل </w:t>
      </w:r>
      <w:r>
        <w:rPr>
          <w:rFonts w:hint="cs"/>
          <w:rtl/>
          <w:lang w:val="fr-CH" w:bidi="ar-SY"/>
        </w:rPr>
        <w:t>الأنظمة</w:t>
      </w:r>
      <w:r w:rsidR="004C706B" w:rsidRPr="004C706B">
        <w:rPr>
          <w:rtl/>
          <w:lang w:val="fr-CH" w:bidi="ar-SY"/>
        </w:rPr>
        <w:t xml:space="preserve"> غير المستقر</w:t>
      </w:r>
      <w:r>
        <w:rPr>
          <w:rFonts w:hint="cs"/>
          <w:rtl/>
          <w:lang w:val="fr-CH" w:bidi="ar-SY"/>
        </w:rPr>
        <w:t>ة</w:t>
      </w:r>
      <w:r w:rsidR="004C706B" w:rsidRPr="004C706B">
        <w:rPr>
          <w:rtl/>
          <w:lang w:val="fr-CH" w:bidi="ar-SY"/>
        </w:rPr>
        <w:t xml:space="preserve"> بالنسبة إلى الأرض.</w:t>
      </w:r>
    </w:p>
    <w:p w14:paraId="20D1B168" w14:textId="1C7A5AC1" w:rsidR="00F82923" w:rsidRDefault="009A0BA7" w:rsidP="00483217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4C706B" w:rsidRPr="004C706B">
        <w:rPr>
          <w:rtl/>
          <w:lang w:val="fr-CH" w:bidi="ar-SY"/>
        </w:rPr>
        <w:t xml:space="preserve">تعتقد فرقة العمل </w:t>
      </w:r>
      <w:r>
        <w:rPr>
          <w:lang w:val="fr-CH" w:bidi="ar-SY"/>
        </w:rPr>
        <w:t>4A</w:t>
      </w:r>
      <w:r w:rsidR="004C706B" w:rsidRPr="004C706B">
        <w:rPr>
          <w:rtl/>
          <w:lang w:val="fr-CH" w:bidi="ar-SY"/>
        </w:rPr>
        <w:t xml:space="preserve"> أن خطة العمل الواردة في </w:t>
      </w:r>
      <w:hyperlink r:id="rId13" w:history="1">
        <w:r w:rsidR="004C706B" w:rsidRPr="00B2596F">
          <w:rPr>
            <w:rStyle w:val="Hyperlink"/>
            <w:rtl/>
            <w:lang w:val="fr-CH" w:bidi="ar-SY"/>
          </w:rPr>
          <w:t xml:space="preserve">الملحق 9 بالوثيقة </w:t>
        </w:r>
        <w:r w:rsidR="00B2596F" w:rsidRPr="00B2596F">
          <w:rPr>
            <w:rStyle w:val="Hyperlink"/>
            <w:lang w:val="fr-CH" w:bidi="ar-SY"/>
          </w:rPr>
          <w:t>4A/978</w:t>
        </w:r>
      </w:hyperlink>
      <w:r w:rsidR="004C706B" w:rsidRPr="004C706B">
        <w:rPr>
          <w:rtl/>
          <w:lang w:val="fr-CH" w:bidi="ar-SY"/>
        </w:rPr>
        <w:t xml:space="preserve"> مهمة للغاية للإدارة عند النظر </w:t>
      </w:r>
      <w:r w:rsidR="004C706B" w:rsidRPr="00454673">
        <w:rPr>
          <w:rtl/>
          <w:lang w:val="fr-CH" w:bidi="ar-SY"/>
        </w:rPr>
        <w:t xml:space="preserve">في اعتماد </w:t>
      </w:r>
      <w:r w:rsidRPr="00454673">
        <w:rPr>
          <w:rFonts w:hint="cs"/>
          <w:rtl/>
          <w:lang w:val="fr-CH" w:bidi="ar-SY"/>
        </w:rPr>
        <w:t>مشروع مراجعة</w:t>
      </w:r>
      <w:r w:rsidR="0066428C">
        <w:rPr>
          <w:lang w:val="fr-CH" w:bidi="ar-SY"/>
        </w:rPr>
        <w:t xml:space="preserve"> </w:t>
      </w:r>
      <w:r w:rsidR="0066428C">
        <w:rPr>
          <w:rFonts w:hint="cs"/>
          <w:rtl/>
          <w:lang w:val="fr-CH" w:bidi="ar-SY"/>
        </w:rPr>
        <w:t>التوصية</w:t>
      </w:r>
      <w:r w:rsidR="0066428C" w:rsidRPr="0066428C">
        <w:rPr>
          <w:lang w:val="fr-CH" w:bidi="ar-SY"/>
        </w:rPr>
        <w:t xml:space="preserve"> </w:t>
      </w:r>
      <w:r w:rsidR="0066428C" w:rsidRPr="00454673">
        <w:rPr>
          <w:lang w:val="fr-CH" w:bidi="ar-SY"/>
        </w:rPr>
        <w:t>ITU-R S.1503-3</w:t>
      </w:r>
      <w:r w:rsidR="0066428C">
        <w:rPr>
          <w:lang w:val="fr-CH" w:bidi="ar-SY"/>
        </w:rPr>
        <w:t xml:space="preserve"> </w:t>
      </w:r>
      <w:r w:rsidR="004C706B" w:rsidRPr="00454673">
        <w:rPr>
          <w:rtl/>
          <w:lang w:val="fr-CH" w:bidi="ar-SY"/>
        </w:rPr>
        <w:t xml:space="preserve">والموافقة عليه. </w:t>
      </w:r>
      <w:r w:rsidRPr="00454673">
        <w:rPr>
          <w:rFonts w:hint="cs"/>
          <w:rtl/>
          <w:lang w:val="fr-CH" w:bidi="ar-SY"/>
        </w:rPr>
        <w:t>وبناءً على</w:t>
      </w:r>
      <w:r w:rsidR="004C706B" w:rsidRPr="00454673">
        <w:rPr>
          <w:rtl/>
          <w:lang w:val="fr-CH" w:bidi="ar-SY"/>
        </w:rPr>
        <w:t xml:space="preserve"> ذلك، </w:t>
      </w:r>
      <w:r w:rsidRPr="00454673">
        <w:rPr>
          <w:rFonts w:hint="cs"/>
          <w:rtl/>
          <w:lang w:val="fr-CH" w:bidi="ar-SY"/>
        </w:rPr>
        <w:t>ت</w:t>
      </w:r>
      <w:r w:rsidR="004C706B" w:rsidRPr="00454673">
        <w:rPr>
          <w:rtl/>
          <w:lang w:val="fr-CH" w:bidi="ar-SY"/>
        </w:rPr>
        <w:t xml:space="preserve">وصي فرقة العمل </w:t>
      </w:r>
      <w:r w:rsidRPr="00454673">
        <w:rPr>
          <w:lang w:val="fr-CH" w:bidi="ar-SY"/>
        </w:rPr>
        <w:t>4A</w:t>
      </w:r>
      <w:r w:rsidR="004C706B" w:rsidRPr="00454673">
        <w:rPr>
          <w:rtl/>
          <w:lang w:val="fr-CH" w:bidi="ar-SY"/>
        </w:rPr>
        <w:t xml:space="preserve"> لجنة الدراسات 4 بإدراج خطة العمل هذه أيض</w:t>
      </w:r>
      <w:r w:rsidRPr="00454673">
        <w:rPr>
          <w:rFonts w:hint="cs"/>
          <w:rtl/>
          <w:lang w:val="fr-CH" w:bidi="ar-SY"/>
        </w:rPr>
        <w:t>اً</w:t>
      </w:r>
      <w:r w:rsidR="004C706B" w:rsidRPr="00454673">
        <w:rPr>
          <w:rtl/>
          <w:lang w:val="fr-CH" w:bidi="ar-SY"/>
        </w:rPr>
        <w:t xml:space="preserve"> عند تعميم مشروع مراجعة التوصية </w:t>
      </w:r>
      <w:r w:rsidR="004C706B" w:rsidRPr="00454673">
        <w:rPr>
          <w:lang w:val="fr-CH" w:bidi="ar-SY"/>
        </w:rPr>
        <w:t>ITU-R S.1503-3</w:t>
      </w:r>
      <w:r w:rsidR="004C706B" w:rsidRPr="00454673">
        <w:rPr>
          <w:rtl/>
          <w:lang w:val="fr-CH" w:bidi="ar-SY"/>
        </w:rPr>
        <w:t xml:space="preserve"> على الإدارات لاعتماده والموافقة عليه</w:t>
      </w:r>
      <w:r w:rsidR="004C706B" w:rsidRPr="004C706B">
        <w:rPr>
          <w:rtl/>
          <w:lang w:val="fr-CH" w:bidi="ar-SY"/>
        </w:rPr>
        <w:t xml:space="preserve"> عن طريق</w:t>
      </w:r>
      <w:r w:rsidR="002F1312">
        <w:rPr>
          <w:rFonts w:hint="cs"/>
          <w:rtl/>
          <w:lang w:val="fr-CH" w:bidi="ar-SY"/>
        </w:rPr>
        <w:t> </w:t>
      </w:r>
      <w:r w:rsidR="004C706B" w:rsidRPr="004C706B">
        <w:rPr>
          <w:rtl/>
          <w:lang w:val="fr-CH" w:bidi="ar-SY"/>
        </w:rPr>
        <w:t>المراسلة</w:t>
      </w:r>
      <w:r w:rsidR="00F05FBE">
        <w:rPr>
          <w:rFonts w:hint="cs"/>
          <w:rtl/>
          <w:lang w:val="fr-CH" w:bidi="ar-SY"/>
        </w:rPr>
        <w:t>.</w:t>
      </w:r>
    </w:p>
    <w:p w14:paraId="110F620B" w14:textId="0A1CC8DD" w:rsidR="004C706B" w:rsidRDefault="004C706B" w:rsidP="004C706B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>
        <w:rPr>
          <w:rFonts w:hint="cs"/>
          <w:rtl/>
        </w:rPr>
        <w:t xml:space="preserve"> 2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>
        <w:rPr>
          <w:rFonts w:hint="cs"/>
          <w:rtl/>
          <w:lang w:bidi="ar-EG"/>
        </w:rPr>
        <w:t xml:space="preserve">توصية </w:t>
      </w:r>
      <w:r w:rsidR="00384135">
        <w:rPr>
          <w:rFonts w:hint="cs"/>
          <w:rtl/>
          <w:lang w:bidi="ar-EG"/>
        </w:rPr>
        <w:t>قطاع الاتصالات الراديوية</w:t>
      </w:r>
      <w:r>
        <w:rPr>
          <w:rFonts w:hint="cs"/>
          <w:rtl/>
          <w:lang w:bidi="ar-EG"/>
        </w:rPr>
        <w:t xml:space="preserve"> المقترح إلغاؤها</w:t>
      </w:r>
    </w:p>
    <w:p w14:paraId="1925DEAF" w14:textId="566C0CB3" w:rsidR="004C706B" w:rsidRDefault="004C706B" w:rsidP="004C706B">
      <w:pPr>
        <w:spacing w:after="360"/>
        <w:jc w:val="center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(المصدر: الفقرة </w:t>
      </w:r>
      <w:r w:rsidR="00317982">
        <w:rPr>
          <w:rFonts w:hint="cs"/>
          <w:rtl/>
          <w:lang w:val="fr-CH" w:bidi="ar-SY"/>
        </w:rPr>
        <w:t xml:space="preserve">3.2.1 من </w:t>
      </w:r>
      <w:r>
        <w:rPr>
          <w:rFonts w:hint="cs"/>
          <w:rtl/>
          <w:lang w:val="fr-CH" w:bidi="ar-SY"/>
        </w:rPr>
        <w:t xml:space="preserve">الوثيقة </w:t>
      </w:r>
      <w:r>
        <w:rPr>
          <w:lang w:val="fr-CH" w:bidi="ar-SY"/>
        </w:rPr>
        <w:t>4/89</w:t>
      </w:r>
      <w:r>
        <w:rPr>
          <w:rFonts w:hint="cs"/>
          <w:rtl/>
          <w:lang w:val="fr-CH" w:bidi="ar-SY"/>
        </w:rPr>
        <w:t>)</w:t>
      </w:r>
    </w:p>
    <w:tbl>
      <w:tblPr>
        <w:bidiVisual/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5"/>
        <w:gridCol w:w="7698"/>
      </w:tblGrid>
      <w:tr w:rsidR="00317982" w:rsidRPr="00317982" w14:paraId="373F7794" w14:textId="77777777" w:rsidTr="00BA4225">
        <w:trPr>
          <w:cantSplit/>
          <w:tblHeader/>
          <w:jc w:val="center"/>
        </w:trPr>
        <w:tc>
          <w:tcPr>
            <w:tcW w:w="1745" w:type="dxa"/>
            <w:vAlign w:val="center"/>
            <w:hideMark/>
          </w:tcPr>
          <w:p w14:paraId="28AE5D0F" w14:textId="13B95B18" w:rsidR="00317982" w:rsidRPr="00317982" w:rsidRDefault="00317982" w:rsidP="00BA4225">
            <w:pPr>
              <w:pStyle w:val="Tablehead0"/>
              <w:bidi/>
              <w:spacing w:before="60" w:after="60" w:line="300" w:lineRule="exact"/>
              <w:rPr>
                <w:rFonts w:ascii="Dubai" w:hAnsi="Dubai" w:cs="Dubai"/>
                <w:b w:val="0"/>
                <w:bCs/>
                <w:lang w:val="en-GB"/>
              </w:rPr>
            </w:pPr>
            <w:r w:rsidRPr="00317982">
              <w:rPr>
                <w:rFonts w:ascii="Dubai" w:hAnsi="Dubai" w:cs="Dubai"/>
                <w:b w:val="0"/>
                <w:bCs/>
                <w:rtl/>
                <w:lang w:val="en-GB"/>
              </w:rPr>
              <w:t xml:space="preserve">توصية </w:t>
            </w:r>
            <w:r w:rsidR="008922D0">
              <w:rPr>
                <w:rFonts w:ascii="Dubai" w:hAnsi="Dubai" w:cs="Dubai" w:hint="cs"/>
                <w:b w:val="0"/>
                <w:bCs/>
                <w:rtl/>
                <w:lang w:val="en-GB"/>
              </w:rPr>
              <w:t>قطاع الاتصالات الراديوية</w:t>
            </w:r>
          </w:p>
        </w:tc>
        <w:tc>
          <w:tcPr>
            <w:tcW w:w="7698" w:type="dxa"/>
            <w:vAlign w:val="center"/>
            <w:hideMark/>
          </w:tcPr>
          <w:p w14:paraId="4434C391" w14:textId="5C58E7DF" w:rsidR="00317982" w:rsidRPr="00317982" w:rsidRDefault="00317982" w:rsidP="00BA4225">
            <w:pPr>
              <w:pStyle w:val="Tablehead0"/>
              <w:bidi/>
              <w:spacing w:before="60" w:after="60" w:line="300" w:lineRule="exact"/>
              <w:rPr>
                <w:rFonts w:ascii="Dubai" w:hAnsi="Dubai" w:cs="Dubai"/>
                <w:b w:val="0"/>
                <w:bCs/>
                <w:lang w:val="en-GB"/>
              </w:rPr>
            </w:pPr>
            <w:r w:rsidRPr="00317982">
              <w:rPr>
                <w:rFonts w:ascii="Dubai" w:hAnsi="Dubai" w:cs="Dubai" w:hint="cs"/>
                <w:b w:val="0"/>
                <w:bCs/>
                <w:rtl/>
                <w:lang w:val="en-GB"/>
              </w:rPr>
              <w:t>العنوان</w:t>
            </w:r>
          </w:p>
        </w:tc>
      </w:tr>
      <w:tr w:rsidR="00317982" w:rsidRPr="00317982" w14:paraId="5733E5D3" w14:textId="77777777" w:rsidTr="00BA4225">
        <w:trPr>
          <w:cantSplit/>
          <w:jc w:val="center"/>
        </w:trPr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43CE" w14:textId="77777777" w:rsidR="00317982" w:rsidRPr="00317982" w:rsidRDefault="00317982" w:rsidP="00BA4225">
            <w:pPr>
              <w:pStyle w:val="Tabletext"/>
              <w:bidi/>
              <w:spacing w:before="60" w:after="60" w:line="300" w:lineRule="exact"/>
              <w:jc w:val="center"/>
              <w:rPr>
                <w:rFonts w:ascii="Dubai" w:hAnsi="Dubai" w:cs="Dubai"/>
                <w:lang w:val="en-GB" w:eastAsia="ja-JP"/>
              </w:rPr>
            </w:pPr>
            <w:bookmarkStart w:id="2" w:name="lt_pId116"/>
            <w:r w:rsidRPr="00317982">
              <w:rPr>
                <w:rFonts w:ascii="Dubai" w:hAnsi="Dubai" w:cs="Dubai"/>
                <w:lang w:val="en-GB" w:eastAsia="ja-JP"/>
              </w:rPr>
              <w:t>S.354</w:t>
            </w:r>
            <w:bookmarkEnd w:id="2"/>
          </w:p>
        </w:tc>
        <w:tc>
          <w:tcPr>
            <w:tcW w:w="7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3EA" w14:textId="559CBE41" w:rsidR="00317982" w:rsidRPr="00317982" w:rsidRDefault="00317982" w:rsidP="00BA4225">
            <w:pPr>
              <w:pStyle w:val="Tabletext"/>
              <w:bidi/>
              <w:spacing w:before="60" w:after="60" w:line="300" w:lineRule="exact"/>
              <w:jc w:val="both"/>
              <w:rPr>
                <w:rFonts w:ascii="Dubai" w:hAnsi="Dubai" w:cs="Dubai"/>
                <w:lang w:val="en-GB" w:eastAsia="ja-JP"/>
              </w:rPr>
            </w:pPr>
            <w:r w:rsidRPr="00317982">
              <w:rPr>
                <w:rFonts w:ascii="Dubai" w:hAnsi="Dubai" w:cs="Dubai"/>
                <w:rtl/>
                <w:lang w:val="en-GB" w:eastAsia="ja-JP"/>
              </w:rPr>
              <w:t>عرض نطاق الترددات الفيديوي وسوية الضوضاء المسموح بها في الدارة الافتراضية المرجعية الخاصة بالخدمة الثابتة الساتلية</w:t>
            </w:r>
          </w:p>
        </w:tc>
      </w:tr>
    </w:tbl>
    <w:p w14:paraId="4FD0009E" w14:textId="2E9F2A2D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4"/>
      <w:headerReference w:type="firs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09DB" w14:textId="77777777" w:rsidR="00EE7E56" w:rsidRDefault="00EE7E56" w:rsidP="006C3242">
      <w:pPr>
        <w:spacing w:before="0" w:line="240" w:lineRule="auto"/>
      </w:pPr>
      <w:r>
        <w:separator/>
      </w:r>
    </w:p>
  </w:endnote>
  <w:endnote w:type="continuationSeparator" w:id="0">
    <w:p w14:paraId="089B30CF" w14:textId="77777777" w:rsidR="00EE7E56" w:rsidRDefault="00EE7E5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642" w14:textId="77777777" w:rsidR="004910BD" w:rsidRPr="008B30C3" w:rsidRDefault="004910BD" w:rsidP="004910BD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en-GB" w:eastAsia="en-US"/>
      </w:rPr>
    </w:pPr>
    <w:r w:rsidRPr="008B30C3">
      <w:rPr>
        <w:rFonts w:ascii="Calibri" w:eastAsia="Times New Roman" w:hAnsi="Calibri" w:cs="Calibri"/>
        <w:color w:val="4F81BD"/>
        <w:sz w:val="19"/>
        <w:szCs w:val="19"/>
        <w:lang w:val="en-GB" w:eastAsia="en-US"/>
      </w:rPr>
      <w:t>International Telecommunication Union • Place des Nations, CH</w:t>
    </w:r>
    <w:r w:rsidRPr="008B30C3">
      <w:rPr>
        <w:rFonts w:ascii="Calibri" w:eastAsia="Times New Roman" w:hAnsi="Calibri" w:cs="Calibri"/>
        <w:color w:val="4F81BD"/>
        <w:sz w:val="19"/>
        <w:szCs w:val="19"/>
        <w:lang w:val="en-GB" w:eastAsia="en-US"/>
      </w:rPr>
      <w:noBreakHyphen/>
      <w:t xml:space="preserve">1211 Geneva 20, Switzerland • </w:t>
    </w:r>
    <w:r w:rsidRPr="008B30C3">
      <w:rPr>
        <w:rFonts w:ascii="Calibri" w:eastAsia="Times New Roman" w:hAnsi="Calibri" w:cs="Calibri"/>
        <w:color w:val="4F81BD"/>
        <w:sz w:val="19"/>
        <w:szCs w:val="19"/>
        <w:lang w:val="en-GB" w:eastAsia="en-US"/>
      </w:rPr>
      <w:br/>
      <w:t xml:space="preserve">Tel: +41 22 730 5111 • E-mail: </w:t>
    </w:r>
    <w:hyperlink r:id="rId1" w:history="1">
      <w:r w:rsidRPr="008B30C3">
        <w:rPr>
          <w:rFonts w:ascii="Calibri" w:eastAsia="Times New Roman" w:hAnsi="Calibri" w:cs="Calibri"/>
          <w:color w:val="0000FF"/>
          <w:sz w:val="19"/>
          <w:szCs w:val="19"/>
          <w:u w:val="single"/>
          <w:lang w:val="en-GB" w:eastAsia="en-US"/>
        </w:rPr>
        <w:t>itumail@itu.int</w:t>
      </w:r>
    </w:hyperlink>
    <w:r w:rsidRPr="008B30C3">
      <w:rPr>
        <w:rFonts w:ascii="Calibri" w:eastAsia="Times New Roman" w:hAnsi="Calibri" w:cs="Calibri"/>
        <w:color w:val="4F81BD"/>
        <w:sz w:val="19"/>
        <w:szCs w:val="19"/>
        <w:lang w:val="en-GB" w:eastAsia="en-US"/>
      </w:rPr>
      <w:t xml:space="preserve"> • Fax: +41 22 733 7256 • </w:t>
    </w:r>
    <w:hyperlink r:id="rId2" w:history="1">
      <w:r w:rsidRPr="008B30C3">
        <w:rPr>
          <w:rFonts w:ascii="Calibri" w:eastAsia="Times New Roman" w:hAnsi="Calibri" w:cs="Calibri"/>
          <w:color w:val="0000FF"/>
          <w:sz w:val="19"/>
          <w:szCs w:val="19"/>
          <w:u w:val="single"/>
          <w:lang w:val="en-GB" w:eastAsia="en-US"/>
        </w:rPr>
        <w:t>www.itu.int</w:t>
      </w:r>
    </w:hyperlink>
    <w:r w:rsidRPr="008B30C3">
      <w:rPr>
        <w:rFonts w:ascii="Calibri" w:eastAsia="Times New Roman" w:hAnsi="Calibri" w:cs="Calibri"/>
        <w:color w:val="4F81BD"/>
        <w:sz w:val="19"/>
        <w:szCs w:val="19"/>
        <w:lang w:val="en-GB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3EA9" w14:textId="77777777" w:rsidR="00EE7E56" w:rsidRDefault="00EE7E56" w:rsidP="006C3242">
      <w:pPr>
        <w:spacing w:before="0" w:line="240" w:lineRule="auto"/>
      </w:pPr>
      <w:r>
        <w:separator/>
      </w:r>
    </w:p>
  </w:footnote>
  <w:footnote w:type="continuationSeparator" w:id="0">
    <w:p w14:paraId="77AA3395" w14:textId="77777777" w:rsidR="00EE7E56" w:rsidRDefault="00EE7E5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44D3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C39C6" w14:paraId="461243AE" w14:textId="77777777" w:rsidTr="004C39C6">
      <w:tc>
        <w:tcPr>
          <w:tcW w:w="4814" w:type="dxa"/>
        </w:tcPr>
        <w:p w14:paraId="729DFEA8" w14:textId="77777777" w:rsidR="004C39C6" w:rsidRDefault="004C39C6" w:rsidP="004C39C6">
          <w:pPr>
            <w:pStyle w:val="Header"/>
            <w:jc w:val="left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0AE6C68" wp14:editId="5E818D6C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323F6BAB" w14:textId="77777777" w:rsidR="004C39C6" w:rsidRDefault="008A4A32" w:rsidP="00FC09E8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B1B588E" wp14:editId="5320FDC7">
                <wp:extent cx="2569962" cy="723611"/>
                <wp:effectExtent l="0" t="0" r="0" b="635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A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893" cy="758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BB4BC4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39A3"/>
    <w:multiLevelType w:val="hybridMultilevel"/>
    <w:tmpl w:val="6CC4352E"/>
    <w:lvl w:ilvl="0" w:tplc="A6464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712E4A"/>
    <w:multiLevelType w:val="hybridMultilevel"/>
    <w:tmpl w:val="03AAE8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19E1"/>
    <w:multiLevelType w:val="hybridMultilevel"/>
    <w:tmpl w:val="0C9C408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94560A"/>
    <w:multiLevelType w:val="hybridMultilevel"/>
    <w:tmpl w:val="EBE2E1C0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A784C"/>
    <w:multiLevelType w:val="hybridMultilevel"/>
    <w:tmpl w:val="67628D20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1CA984">
      <w:numFmt w:val="bullet"/>
      <w:lvlText w:val="•"/>
      <w:lvlJc w:val="left"/>
      <w:pPr>
        <w:ind w:left="1440" w:hanging="360"/>
      </w:pPr>
      <w:rPr>
        <w:rFonts w:ascii="Dubai" w:eastAsiaTheme="minorEastAsia" w:hAnsi="Dubai" w:cs="Duba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1"/>
  </w:num>
  <w:num w:numId="12" w16cid:durableId="357659601">
    <w:abstractNumId w:val="15"/>
  </w:num>
  <w:num w:numId="13" w16cid:durableId="230775325">
    <w:abstractNumId w:val="14"/>
  </w:num>
  <w:num w:numId="14" w16cid:durableId="1726827617">
    <w:abstractNumId w:val="13"/>
  </w:num>
  <w:num w:numId="15" w16cid:durableId="1724525155">
    <w:abstractNumId w:val="12"/>
  </w:num>
  <w:num w:numId="16" w16cid:durableId="1569533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F9"/>
    <w:rsid w:val="00012103"/>
    <w:rsid w:val="0002429A"/>
    <w:rsid w:val="0004713D"/>
    <w:rsid w:val="000534D3"/>
    <w:rsid w:val="0006468A"/>
    <w:rsid w:val="00085799"/>
    <w:rsid w:val="00090574"/>
    <w:rsid w:val="0009534B"/>
    <w:rsid w:val="000A2777"/>
    <w:rsid w:val="000C1C0E"/>
    <w:rsid w:val="000C548A"/>
    <w:rsid w:val="000F7BBE"/>
    <w:rsid w:val="00104DBD"/>
    <w:rsid w:val="00110AAE"/>
    <w:rsid w:val="0011314D"/>
    <w:rsid w:val="00122950"/>
    <w:rsid w:val="00150DB9"/>
    <w:rsid w:val="00154487"/>
    <w:rsid w:val="001A73F9"/>
    <w:rsid w:val="001C0169"/>
    <w:rsid w:val="001D1D50"/>
    <w:rsid w:val="001D6745"/>
    <w:rsid w:val="001E446E"/>
    <w:rsid w:val="001E6F7F"/>
    <w:rsid w:val="00200BCA"/>
    <w:rsid w:val="00210CAE"/>
    <w:rsid w:val="00211931"/>
    <w:rsid w:val="002154EE"/>
    <w:rsid w:val="00224BB7"/>
    <w:rsid w:val="002276D2"/>
    <w:rsid w:val="0023283D"/>
    <w:rsid w:val="00255B4C"/>
    <w:rsid w:val="00261B62"/>
    <w:rsid w:val="0026373E"/>
    <w:rsid w:val="00263E29"/>
    <w:rsid w:val="00271C43"/>
    <w:rsid w:val="00281DAD"/>
    <w:rsid w:val="00290728"/>
    <w:rsid w:val="002978F4"/>
    <w:rsid w:val="002A0571"/>
    <w:rsid w:val="002A4FDB"/>
    <w:rsid w:val="002B028D"/>
    <w:rsid w:val="002E6541"/>
    <w:rsid w:val="002F1312"/>
    <w:rsid w:val="00317982"/>
    <w:rsid w:val="00320184"/>
    <w:rsid w:val="00320AE5"/>
    <w:rsid w:val="00334924"/>
    <w:rsid w:val="003378B6"/>
    <w:rsid w:val="003409BC"/>
    <w:rsid w:val="00357185"/>
    <w:rsid w:val="00362C95"/>
    <w:rsid w:val="00363778"/>
    <w:rsid w:val="00363DF3"/>
    <w:rsid w:val="00367253"/>
    <w:rsid w:val="003704CA"/>
    <w:rsid w:val="00375762"/>
    <w:rsid w:val="00383829"/>
    <w:rsid w:val="00384135"/>
    <w:rsid w:val="003A2A02"/>
    <w:rsid w:val="003B5733"/>
    <w:rsid w:val="003C24C4"/>
    <w:rsid w:val="003F36A6"/>
    <w:rsid w:val="003F4B29"/>
    <w:rsid w:val="004111FB"/>
    <w:rsid w:val="0042686F"/>
    <w:rsid w:val="004317D8"/>
    <w:rsid w:val="00434183"/>
    <w:rsid w:val="00443869"/>
    <w:rsid w:val="00447F32"/>
    <w:rsid w:val="00454673"/>
    <w:rsid w:val="004563AF"/>
    <w:rsid w:val="00483217"/>
    <w:rsid w:val="004910BD"/>
    <w:rsid w:val="004A3F67"/>
    <w:rsid w:val="004A75E4"/>
    <w:rsid w:val="004B024B"/>
    <w:rsid w:val="004B12FC"/>
    <w:rsid w:val="004C39C6"/>
    <w:rsid w:val="004C706B"/>
    <w:rsid w:val="004E11DC"/>
    <w:rsid w:val="004F5793"/>
    <w:rsid w:val="00510E0B"/>
    <w:rsid w:val="00525DDD"/>
    <w:rsid w:val="005409AC"/>
    <w:rsid w:val="0055516A"/>
    <w:rsid w:val="0058491B"/>
    <w:rsid w:val="00592EA5"/>
    <w:rsid w:val="005A3170"/>
    <w:rsid w:val="005A7E81"/>
    <w:rsid w:val="005B20C0"/>
    <w:rsid w:val="005B3994"/>
    <w:rsid w:val="005C3EA3"/>
    <w:rsid w:val="005C5120"/>
    <w:rsid w:val="005F0D4D"/>
    <w:rsid w:val="005F6952"/>
    <w:rsid w:val="00624AC3"/>
    <w:rsid w:val="006272B1"/>
    <w:rsid w:val="00631C5E"/>
    <w:rsid w:val="00657080"/>
    <w:rsid w:val="006639BA"/>
    <w:rsid w:val="0066428C"/>
    <w:rsid w:val="00665B5E"/>
    <w:rsid w:val="00670177"/>
    <w:rsid w:val="00677396"/>
    <w:rsid w:val="00685C0B"/>
    <w:rsid w:val="0069200F"/>
    <w:rsid w:val="0069681A"/>
    <w:rsid w:val="006A5BE8"/>
    <w:rsid w:val="006A65CB"/>
    <w:rsid w:val="006C3242"/>
    <w:rsid w:val="006C7CC0"/>
    <w:rsid w:val="006E5F73"/>
    <w:rsid w:val="006F63F7"/>
    <w:rsid w:val="007025C7"/>
    <w:rsid w:val="00706D7A"/>
    <w:rsid w:val="00713512"/>
    <w:rsid w:val="00721CFA"/>
    <w:rsid w:val="00722956"/>
    <w:rsid w:val="00722F0D"/>
    <w:rsid w:val="00723B6E"/>
    <w:rsid w:val="0074420E"/>
    <w:rsid w:val="00783E26"/>
    <w:rsid w:val="00784176"/>
    <w:rsid w:val="00795968"/>
    <w:rsid w:val="007A2DC6"/>
    <w:rsid w:val="007C3BC7"/>
    <w:rsid w:val="007C3BCD"/>
    <w:rsid w:val="007D4ACF"/>
    <w:rsid w:val="007E0858"/>
    <w:rsid w:val="007F0787"/>
    <w:rsid w:val="00810B7B"/>
    <w:rsid w:val="0082358A"/>
    <w:rsid w:val="008235CD"/>
    <w:rsid w:val="008247DE"/>
    <w:rsid w:val="00833944"/>
    <w:rsid w:val="0083416E"/>
    <w:rsid w:val="00840B10"/>
    <w:rsid w:val="008513CB"/>
    <w:rsid w:val="00855112"/>
    <w:rsid w:val="0086376D"/>
    <w:rsid w:val="00890DA1"/>
    <w:rsid w:val="008922D0"/>
    <w:rsid w:val="00893017"/>
    <w:rsid w:val="0089720D"/>
    <w:rsid w:val="00897A04"/>
    <w:rsid w:val="008A4A32"/>
    <w:rsid w:val="008A7F84"/>
    <w:rsid w:val="008B1681"/>
    <w:rsid w:val="008C5DDD"/>
    <w:rsid w:val="008C73AA"/>
    <w:rsid w:val="008E690F"/>
    <w:rsid w:val="00907C67"/>
    <w:rsid w:val="0091702E"/>
    <w:rsid w:val="00923B0C"/>
    <w:rsid w:val="00933F0D"/>
    <w:rsid w:val="0094021C"/>
    <w:rsid w:val="00952F86"/>
    <w:rsid w:val="00982B28"/>
    <w:rsid w:val="009A0BA7"/>
    <w:rsid w:val="009B4106"/>
    <w:rsid w:val="009D313F"/>
    <w:rsid w:val="009D7763"/>
    <w:rsid w:val="009F06C2"/>
    <w:rsid w:val="00A47A5A"/>
    <w:rsid w:val="00A640C5"/>
    <w:rsid w:val="00A6683B"/>
    <w:rsid w:val="00A97F94"/>
    <w:rsid w:val="00AA7EA2"/>
    <w:rsid w:val="00AC45BF"/>
    <w:rsid w:val="00AC7390"/>
    <w:rsid w:val="00AD6C80"/>
    <w:rsid w:val="00AE25F9"/>
    <w:rsid w:val="00AF0FB3"/>
    <w:rsid w:val="00B03099"/>
    <w:rsid w:val="00B05BC8"/>
    <w:rsid w:val="00B10E41"/>
    <w:rsid w:val="00B1143A"/>
    <w:rsid w:val="00B205A8"/>
    <w:rsid w:val="00B2596F"/>
    <w:rsid w:val="00B26B3F"/>
    <w:rsid w:val="00B64B47"/>
    <w:rsid w:val="00BA4225"/>
    <w:rsid w:val="00BA5E35"/>
    <w:rsid w:val="00C002DE"/>
    <w:rsid w:val="00C2595F"/>
    <w:rsid w:val="00C35794"/>
    <w:rsid w:val="00C502CD"/>
    <w:rsid w:val="00C53BF8"/>
    <w:rsid w:val="00C60CFC"/>
    <w:rsid w:val="00C639E7"/>
    <w:rsid w:val="00C66157"/>
    <w:rsid w:val="00C674FE"/>
    <w:rsid w:val="00C67501"/>
    <w:rsid w:val="00C75633"/>
    <w:rsid w:val="00C83785"/>
    <w:rsid w:val="00CC0C6C"/>
    <w:rsid w:val="00CD4090"/>
    <w:rsid w:val="00CE2EE1"/>
    <w:rsid w:val="00CE3349"/>
    <w:rsid w:val="00CE36E5"/>
    <w:rsid w:val="00CF278C"/>
    <w:rsid w:val="00CF27F5"/>
    <w:rsid w:val="00CF3FFD"/>
    <w:rsid w:val="00D02121"/>
    <w:rsid w:val="00D10CCF"/>
    <w:rsid w:val="00D37F70"/>
    <w:rsid w:val="00D4203E"/>
    <w:rsid w:val="00D47754"/>
    <w:rsid w:val="00D77D0F"/>
    <w:rsid w:val="00DA1CF0"/>
    <w:rsid w:val="00DC1E02"/>
    <w:rsid w:val="00DC24B4"/>
    <w:rsid w:val="00DC5FB0"/>
    <w:rsid w:val="00DC74D8"/>
    <w:rsid w:val="00DF13F7"/>
    <w:rsid w:val="00DF16DC"/>
    <w:rsid w:val="00E174E2"/>
    <w:rsid w:val="00E41C1A"/>
    <w:rsid w:val="00E43348"/>
    <w:rsid w:val="00E45211"/>
    <w:rsid w:val="00E473C5"/>
    <w:rsid w:val="00E54C33"/>
    <w:rsid w:val="00E579D6"/>
    <w:rsid w:val="00E7320A"/>
    <w:rsid w:val="00E74F5E"/>
    <w:rsid w:val="00E92863"/>
    <w:rsid w:val="00EB25D6"/>
    <w:rsid w:val="00EB796D"/>
    <w:rsid w:val="00EC388E"/>
    <w:rsid w:val="00ED3BA1"/>
    <w:rsid w:val="00EE4000"/>
    <w:rsid w:val="00EE7E56"/>
    <w:rsid w:val="00EF694F"/>
    <w:rsid w:val="00F058DC"/>
    <w:rsid w:val="00F05FBE"/>
    <w:rsid w:val="00F12075"/>
    <w:rsid w:val="00F16820"/>
    <w:rsid w:val="00F24FC4"/>
    <w:rsid w:val="00F2676C"/>
    <w:rsid w:val="00F32037"/>
    <w:rsid w:val="00F82923"/>
    <w:rsid w:val="00F84366"/>
    <w:rsid w:val="00F85089"/>
    <w:rsid w:val="00F974C5"/>
    <w:rsid w:val="00FA6F46"/>
    <w:rsid w:val="00FB4401"/>
    <w:rsid w:val="00FC09E8"/>
    <w:rsid w:val="00FD77A1"/>
    <w:rsid w:val="00FE5872"/>
    <w:rsid w:val="00FE7B6E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5ACD"/>
  <w15:chartTrackingRefBased/>
  <w15:docId w15:val="{B3370E8C-8437-4A08-A446-0AE01CDF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5C3EA3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paragraph" w:styleId="Revision">
    <w:name w:val="Revision"/>
    <w:hidden/>
    <w:uiPriority w:val="99"/>
    <w:semiHidden/>
    <w:rsid w:val="00670177"/>
    <w:pPr>
      <w:spacing w:after="0" w:line="240" w:lineRule="auto"/>
    </w:pPr>
    <w:rPr>
      <w:rFonts w:ascii="Dubai" w:hAnsi="Dubai" w:cs="Dubai"/>
    </w:rPr>
  </w:style>
  <w:style w:type="paragraph" w:styleId="NormalWeb">
    <w:name w:val="Normal (Web)"/>
    <w:basedOn w:val="Normal"/>
    <w:uiPriority w:val="99"/>
    <w:semiHidden/>
    <w:unhideWhenUsed/>
    <w:rsid w:val="00510E0B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head0">
    <w:name w:val="Table_head"/>
    <w:basedOn w:val="Normal"/>
    <w:next w:val="Tabletext"/>
    <w:link w:val="TableheadChar"/>
    <w:uiPriority w:val="99"/>
    <w:rsid w:val="00317982"/>
    <w:pPr>
      <w:keepNext/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Calibri" w:eastAsia="Times New Roman" w:hAnsi="Calibri" w:cs="Calibri"/>
      <w:b/>
      <w:sz w:val="20"/>
      <w:lang w:eastAsia="en-US"/>
    </w:rPr>
  </w:style>
  <w:style w:type="paragraph" w:customStyle="1" w:styleId="Tabletext">
    <w:name w:val="Table_text"/>
    <w:basedOn w:val="Normal"/>
    <w:link w:val="TabletextChar"/>
    <w:uiPriority w:val="99"/>
    <w:rsid w:val="00317982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Calibri" w:eastAsia="Times New Roman" w:hAnsi="Calibri" w:cs="Calibri"/>
      <w:sz w:val="20"/>
      <w:lang w:eastAsia="en-US"/>
    </w:rPr>
  </w:style>
  <w:style w:type="character" w:customStyle="1" w:styleId="TabletextChar">
    <w:name w:val="Table_text Char"/>
    <w:link w:val="Tabletext"/>
    <w:uiPriority w:val="99"/>
    <w:locked/>
    <w:rsid w:val="00317982"/>
    <w:rPr>
      <w:rFonts w:ascii="Calibri" w:eastAsia="Times New Roman" w:hAnsi="Calibri" w:cs="Calibri"/>
      <w:sz w:val="20"/>
      <w:lang w:eastAsia="en-US"/>
    </w:rPr>
  </w:style>
  <w:style w:type="character" w:customStyle="1" w:styleId="TableheadChar">
    <w:name w:val="Table_head Char"/>
    <w:basedOn w:val="DefaultParagraphFont"/>
    <w:link w:val="Tablehead0"/>
    <w:uiPriority w:val="99"/>
    <w:locked/>
    <w:rsid w:val="00317982"/>
    <w:rPr>
      <w:rFonts w:ascii="Calibri" w:eastAsia="Times New Roman" w:hAnsi="Calibri" w:cs="Calibri"/>
      <w:b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7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" TargetMode="External"/><Relationship Id="rId13" Type="http://schemas.openxmlformats.org/officeDocument/2006/relationships/hyperlink" Target="https://www.itu.int/dms_ties/itu-r/md/19/wp4a/c/R19-WP4A-C-0978!N09!MSW-E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9-WP4A-C-0978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rec/R-REC-S.1503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R19-SG04-C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1295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Arabic-AAM</dc:creator>
  <cp:keywords/>
  <dc:description/>
  <cp:lastModifiedBy>Chamova, Alisa</cp:lastModifiedBy>
  <cp:revision>75</cp:revision>
  <dcterms:created xsi:type="dcterms:W3CDTF">2023-07-18T07:15:00Z</dcterms:created>
  <dcterms:modified xsi:type="dcterms:W3CDTF">2023-07-19T09:33:00Z</dcterms:modified>
</cp:coreProperties>
</file>