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736C4E" w14:paraId="7C037C9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BEE82F" w14:textId="77777777" w:rsidR="00E53DCE" w:rsidRPr="00736C4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36C4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1DE03C8" w14:textId="77777777" w:rsidR="00E53DCE" w:rsidRPr="00736C4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0D43C5AF" w14:textId="77777777" w:rsidR="00E53DCE" w:rsidRPr="00736C4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36C4E" w14:paraId="375BE03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CD0ECDA" w14:textId="1CFEA286" w:rsidR="00E53DCE" w:rsidRPr="00736C4E" w:rsidRDefault="002623B1" w:rsidP="002623B1">
            <w:pPr>
              <w:spacing w:before="0"/>
              <w:jc w:val="left"/>
              <w:rPr>
                <w:lang w:val="es-ES_tradnl"/>
              </w:rPr>
            </w:pPr>
            <w:proofErr w:type="spellStart"/>
            <w:r w:rsidRPr="00736C4E">
              <w:rPr>
                <w:lang w:val="es-ES_tradnl"/>
              </w:rPr>
              <w:t>A</w:t>
            </w:r>
            <w:r w:rsidR="00016485">
              <w:rPr>
                <w:lang w:val="es-ES_tradnl"/>
              </w:rPr>
              <w:t>d</w:t>
            </w:r>
            <w:r w:rsidRPr="00736C4E">
              <w:rPr>
                <w:lang w:val="es-ES_tradnl"/>
              </w:rPr>
              <w:t>déndum</w:t>
            </w:r>
            <w:proofErr w:type="spellEnd"/>
            <w:r w:rsidRPr="00736C4E">
              <w:rPr>
                <w:lang w:val="es-ES_tradnl"/>
              </w:rPr>
              <w:t xml:space="preserve"> 1 a la </w:t>
            </w:r>
            <w:r w:rsidRPr="00736C4E">
              <w:rPr>
                <w:lang w:val="es-ES_tradnl"/>
              </w:rPr>
              <w:br/>
            </w:r>
            <w:r w:rsidR="00A96D3A" w:rsidRPr="00736C4E">
              <w:rPr>
                <w:lang w:val="es-ES_tradnl"/>
              </w:rPr>
              <w:t>Circular Administrativa</w:t>
            </w:r>
          </w:p>
          <w:p w14:paraId="661B423B" w14:textId="7F138BDE" w:rsidR="00E53DCE" w:rsidRPr="00736C4E" w:rsidRDefault="001B3D4D" w:rsidP="002623B1">
            <w:pPr>
              <w:spacing w:before="0"/>
              <w:rPr>
                <w:b/>
                <w:bCs/>
                <w:lang w:val="es-ES_tradnl"/>
              </w:rPr>
            </w:pPr>
            <w:r w:rsidRPr="00736C4E">
              <w:rPr>
                <w:b/>
                <w:bCs/>
                <w:lang w:val="es-ES_tradnl"/>
              </w:rPr>
              <w:t>CACE/</w:t>
            </w:r>
            <w:r w:rsidR="002623B1" w:rsidRPr="00736C4E">
              <w:rPr>
                <w:b/>
                <w:bCs/>
                <w:lang w:val="es-ES_tradnl"/>
              </w:rPr>
              <w:t>1067</w:t>
            </w:r>
          </w:p>
        </w:tc>
        <w:tc>
          <w:tcPr>
            <w:tcW w:w="2835" w:type="dxa"/>
            <w:shd w:val="clear" w:color="auto" w:fill="auto"/>
          </w:tcPr>
          <w:p w14:paraId="3EC8C5DF" w14:textId="4085E42C" w:rsidR="00E53DCE" w:rsidRPr="00736C4E" w:rsidRDefault="002623B1" w:rsidP="002623B1">
            <w:pPr>
              <w:spacing w:before="0"/>
              <w:jc w:val="right"/>
              <w:rPr>
                <w:lang w:val="es-ES_tradnl"/>
              </w:rPr>
            </w:pPr>
            <w:r w:rsidRPr="00736C4E">
              <w:rPr>
                <w:lang w:val="es-ES_tradnl"/>
              </w:rPr>
              <w:t>15 de agosto de 2023</w:t>
            </w:r>
          </w:p>
        </w:tc>
      </w:tr>
      <w:tr w:rsidR="00E53DCE" w:rsidRPr="00736C4E" w14:paraId="5B6C7BF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48C05" w14:textId="77777777" w:rsidR="00E53DCE" w:rsidRPr="00736C4E" w:rsidRDefault="00E53DCE" w:rsidP="002623B1">
            <w:pPr>
              <w:spacing w:before="0"/>
              <w:rPr>
                <w:lang w:val="es-ES_tradnl"/>
              </w:rPr>
            </w:pPr>
          </w:p>
        </w:tc>
      </w:tr>
      <w:tr w:rsidR="00E53DCE" w:rsidRPr="00736C4E" w14:paraId="704CB49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DBF4D6" w14:textId="77777777" w:rsidR="00E53DCE" w:rsidRPr="00736C4E" w:rsidRDefault="00E53DCE" w:rsidP="002623B1">
            <w:pPr>
              <w:spacing w:before="0"/>
              <w:rPr>
                <w:lang w:val="es-ES_tradnl"/>
              </w:rPr>
            </w:pPr>
          </w:p>
        </w:tc>
      </w:tr>
      <w:tr w:rsidR="00E53DCE" w:rsidRPr="00736C4E" w14:paraId="77337F6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007FCB" w14:textId="49B72BF5" w:rsidR="00E53DCE" w:rsidRPr="00736C4E" w:rsidRDefault="002623B1" w:rsidP="00596199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736C4E">
              <w:rPr>
                <w:b/>
                <w:bCs/>
                <w:lang w:val="es-ES_tradnl"/>
              </w:rPr>
              <w:t>A las Administraciones de los Estados Miembros de la UIT, a los Miembros del Sector de Radiocomunicaciones, a los Asociados del UIT-R que participan en los trabajos de la Comisión de Estudio 5 de Radiocomunicaciones y a las Instituciones Académicas de la UIT</w:t>
            </w:r>
          </w:p>
        </w:tc>
      </w:tr>
      <w:tr w:rsidR="00E53DCE" w:rsidRPr="00736C4E" w14:paraId="3936916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CCCB9" w14:textId="77777777" w:rsidR="00E53DCE" w:rsidRPr="00736C4E" w:rsidRDefault="00E53DCE" w:rsidP="002623B1">
            <w:pPr>
              <w:spacing w:before="0"/>
              <w:rPr>
                <w:lang w:val="es-ES_tradnl"/>
              </w:rPr>
            </w:pPr>
          </w:p>
        </w:tc>
      </w:tr>
      <w:tr w:rsidR="00E53DCE" w:rsidRPr="00736C4E" w14:paraId="62080C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73E43E" w14:textId="77777777" w:rsidR="00E53DCE" w:rsidRPr="00736C4E" w:rsidRDefault="00E53DCE" w:rsidP="002623B1">
            <w:pPr>
              <w:spacing w:before="0"/>
              <w:rPr>
                <w:lang w:val="es-ES_tradnl"/>
              </w:rPr>
            </w:pPr>
          </w:p>
        </w:tc>
      </w:tr>
      <w:tr w:rsidR="00E53DCE" w:rsidRPr="00736C4E" w14:paraId="73C7BE0D" w14:textId="77777777" w:rsidTr="00131D80">
        <w:trPr>
          <w:jc w:val="center"/>
        </w:trPr>
        <w:tc>
          <w:tcPr>
            <w:tcW w:w="1276" w:type="dxa"/>
            <w:shd w:val="clear" w:color="auto" w:fill="auto"/>
          </w:tcPr>
          <w:p w14:paraId="69D7F69D" w14:textId="77777777" w:rsidR="00E53DCE" w:rsidRPr="00736C4E" w:rsidRDefault="00311970" w:rsidP="002623B1">
            <w:pPr>
              <w:spacing w:before="0"/>
              <w:rPr>
                <w:lang w:val="es-ES_tradnl"/>
              </w:rPr>
            </w:pPr>
            <w:r w:rsidRPr="00736C4E">
              <w:rPr>
                <w:lang w:val="es-ES_tradnl"/>
              </w:rPr>
              <w:t>Asunto: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1D1CC53F" w14:textId="47DD836D" w:rsidR="00E53DCE" w:rsidRPr="00736C4E" w:rsidRDefault="002623B1" w:rsidP="002623B1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736C4E">
              <w:rPr>
                <w:b/>
                <w:bCs/>
                <w:lang w:val="es-ES_tradnl"/>
              </w:rPr>
              <w:t>Reunión de la Comisión de Estudio 5 de Radiocomunicaciones (Servicios terrenales), Ginebra, 25 y 26 de septiembre de 2023</w:t>
            </w:r>
          </w:p>
        </w:tc>
      </w:tr>
      <w:tr w:rsidR="00E53DCE" w:rsidRPr="00736C4E" w14:paraId="750585AD" w14:textId="77777777" w:rsidTr="00131D80">
        <w:trPr>
          <w:jc w:val="center"/>
        </w:trPr>
        <w:tc>
          <w:tcPr>
            <w:tcW w:w="1276" w:type="dxa"/>
            <w:shd w:val="clear" w:color="auto" w:fill="auto"/>
          </w:tcPr>
          <w:p w14:paraId="50D2F374" w14:textId="77777777" w:rsidR="00E53DCE" w:rsidRPr="00736C4E" w:rsidRDefault="00E53DCE" w:rsidP="002623B1">
            <w:pPr>
              <w:spacing w:before="0"/>
              <w:rPr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47D2975C" w14:textId="77777777" w:rsidR="00E53DCE" w:rsidRPr="00736C4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36C4E" w14:paraId="65ABEEED" w14:textId="77777777" w:rsidTr="00131D80">
        <w:trPr>
          <w:jc w:val="center"/>
        </w:trPr>
        <w:tc>
          <w:tcPr>
            <w:tcW w:w="1276" w:type="dxa"/>
            <w:shd w:val="clear" w:color="auto" w:fill="auto"/>
          </w:tcPr>
          <w:p w14:paraId="6FE63535" w14:textId="77777777" w:rsidR="00E53DCE" w:rsidRPr="00736C4E" w:rsidRDefault="00E53DCE" w:rsidP="002623B1">
            <w:pPr>
              <w:spacing w:before="0"/>
              <w:rPr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6D9419BA" w14:textId="77777777" w:rsidR="00E53DCE" w:rsidRPr="00736C4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4B1CCBF5" w14:textId="77777777" w:rsidR="002623B1" w:rsidRPr="00736C4E" w:rsidRDefault="002623B1" w:rsidP="002623B1">
      <w:pPr>
        <w:pStyle w:val="Headingb"/>
        <w:rPr>
          <w:lang w:val="es-ES_tradnl"/>
        </w:rPr>
      </w:pPr>
      <w:r w:rsidRPr="00736C4E">
        <w:rPr>
          <w:lang w:val="es-ES_tradnl"/>
        </w:rPr>
        <w:t>Introducción</w:t>
      </w:r>
    </w:p>
    <w:p w14:paraId="2AC94714" w14:textId="16AC8FD7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 xml:space="preserve">Por conducto de la Circular </w:t>
      </w:r>
      <w:hyperlink r:id="rId8" w:history="1">
        <w:r w:rsidRPr="00736C4E">
          <w:rPr>
            <w:rStyle w:val="Hyperlink"/>
            <w:lang w:val="es-ES_tradnl"/>
          </w:rPr>
          <w:t>CACE/1067</w:t>
        </w:r>
      </w:hyperlink>
      <w:r w:rsidRPr="00736C4E">
        <w:rPr>
          <w:lang w:val="es-ES_tradnl"/>
        </w:rPr>
        <w:t>, de 6 de julio de 2023, se anunció que la Comisión de Estudio 5 de Radiocomunicaciones se reuniría en Ginebra los días 25 y 26 de septiembre de 2023.</w:t>
      </w:r>
    </w:p>
    <w:p w14:paraId="06B89247" w14:textId="3C6C767C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>La sección</w:t>
      </w:r>
      <w:r w:rsidR="00676620" w:rsidRPr="00736C4E">
        <w:rPr>
          <w:lang w:val="es-ES_tradnl"/>
        </w:rPr>
        <w:t> </w:t>
      </w:r>
      <w:r w:rsidRPr="00736C4E">
        <w:rPr>
          <w:lang w:val="es-ES_tradnl"/>
        </w:rPr>
        <w:t>2.1 y el Anexo</w:t>
      </w:r>
      <w:r w:rsidR="00676620" w:rsidRPr="00736C4E">
        <w:rPr>
          <w:lang w:val="es-ES_tradnl"/>
        </w:rPr>
        <w:t> </w:t>
      </w:r>
      <w:r w:rsidRPr="00736C4E">
        <w:rPr>
          <w:lang w:val="es-ES_tradnl"/>
        </w:rPr>
        <w:t>2 a la misma contienen información destinada a los miembros sobre los títulos y los resúmenes de las revisiones de las diez Recomendaciones UIT-R que se proponen para adopción por la Comisión de Estudio en su reunión, con arreglo al § </w:t>
      </w:r>
      <w:proofErr w:type="spellStart"/>
      <w:r w:rsidRPr="00736C4E">
        <w:rPr>
          <w:lang w:val="es-ES_tradnl"/>
        </w:rPr>
        <w:t>A2.6.2.2.2</w:t>
      </w:r>
      <w:proofErr w:type="spellEnd"/>
      <w:r w:rsidRPr="00736C4E">
        <w:rPr>
          <w:lang w:val="es-ES_tradnl"/>
        </w:rPr>
        <w:t xml:space="preserve"> de la Resolución UIT</w:t>
      </w:r>
      <w:r w:rsidRPr="00736C4E">
        <w:rPr>
          <w:lang w:val="es-ES_tradnl"/>
        </w:rPr>
        <w:noBreakHyphen/>
        <w:t>R 1-8.</w:t>
      </w:r>
    </w:p>
    <w:p w14:paraId="71D05042" w14:textId="3B6ED8CD" w:rsidR="002623B1" w:rsidRPr="00736C4E" w:rsidRDefault="002623B1" w:rsidP="003307B7">
      <w:pPr>
        <w:pStyle w:val="Headingb"/>
        <w:jc w:val="left"/>
        <w:rPr>
          <w:lang w:val="es-ES_tradnl"/>
        </w:rPr>
      </w:pPr>
      <w:r w:rsidRPr="00736C4E">
        <w:rPr>
          <w:lang w:val="es-ES_tradnl"/>
        </w:rPr>
        <w:t xml:space="preserve">Adopción de otros </w:t>
      </w:r>
      <w:r w:rsidR="00676620" w:rsidRPr="00736C4E">
        <w:rPr>
          <w:lang w:val="es-ES_tradnl"/>
        </w:rPr>
        <w:t>cinco</w:t>
      </w:r>
      <w:r w:rsidRPr="00736C4E">
        <w:rPr>
          <w:lang w:val="es-ES_tradnl"/>
        </w:rPr>
        <w:t xml:space="preserve"> proyectos de </w:t>
      </w:r>
      <w:r w:rsidR="003307B7" w:rsidRPr="00736C4E">
        <w:rPr>
          <w:lang w:val="es-ES_tradnl"/>
        </w:rPr>
        <w:t>Recomendación</w:t>
      </w:r>
      <w:r w:rsidRPr="00736C4E">
        <w:rPr>
          <w:lang w:val="es-ES_tradnl"/>
        </w:rPr>
        <w:t xml:space="preserve"> en la reunión de la Comisión de Estudio (§</w:t>
      </w:r>
      <w:r w:rsidR="00676620" w:rsidRPr="00736C4E">
        <w:rPr>
          <w:lang w:val="es-ES_tradnl"/>
        </w:rPr>
        <w:t> </w:t>
      </w:r>
      <w:proofErr w:type="spellStart"/>
      <w:r w:rsidRPr="00736C4E">
        <w:rPr>
          <w:lang w:val="es-ES_tradnl"/>
        </w:rPr>
        <w:t>A2.6.2.2.2</w:t>
      </w:r>
      <w:proofErr w:type="spellEnd"/>
      <w:r w:rsidRPr="00736C4E">
        <w:rPr>
          <w:lang w:val="es-ES_tradnl"/>
        </w:rPr>
        <w:t xml:space="preserve"> de la Resolución UIT-R 1-8)</w:t>
      </w:r>
    </w:p>
    <w:p w14:paraId="5FA3E318" w14:textId="2B2A0226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 xml:space="preserve">Una vez finalizada la 31ª reunión del Grupo de Trabajo </w:t>
      </w:r>
      <w:proofErr w:type="spellStart"/>
      <w:r w:rsidRPr="00736C4E">
        <w:rPr>
          <w:lang w:val="es-ES_tradnl"/>
        </w:rPr>
        <w:t>5B</w:t>
      </w:r>
      <w:proofErr w:type="spellEnd"/>
      <w:r w:rsidRPr="00736C4E">
        <w:rPr>
          <w:lang w:val="es-ES_tradnl"/>
        </w:rPr>
        <w:t xml:space="preserve"> del UIT-R, que tuvo lugar en julio de 2023, se decidió proponer otros cinco proyectos de Recomendaci</w:t>
      </w:r>
      <w:r w:rsidR="00596199" w:rsidRPr="00736C4E">
        <w:rPr>
          <w:lang w:val="es-ES_tradnl"/>
        </w:rPr>
        <w:t>ón</w:t>
      </w:r>
      <w:r w:rsidRPr="00736C4E">
        <w:rPr>
          <w:lang w:val="es-ES_tradnl"/>
        </w:rPr>
        <w:t xml:space="preserve"> para adopción por la Comisión de Estudio en su reunión, con arreglo al</w:t>
      </w:r>
      <w:bookmarkStart w:id="0" w:name="_GoBack"/>
      <w:bookmarkEnd w:id="0"/>
      <w:r w:rsidRPr="00736C4E">
        <w:rPr>
          <w:lang w:val="es-ES_tradnl"/>
        </w:rPr>
        <w:t xml:space="preserve"> §</w:t>
      </w:r>
      <w:r w:rsidR="00676620" w:rsidRPr="00736C4E">
        <w:rPr>
          <w:lang w:val="es-ES_tradnl"/>
        </w:rPr>
        <w:t> </w:t>
      </w:r>
      <w:proofErr w:type="spellStart"/>
      <w:r w:rsidRPr="00736C4E">
        <w:rPr>
          <w:lang w:val="es-ES_tradnl"/>
        </w:rPr>
        <w:t>A2.6.2.2.2</w:t>
      </w:r>
      <w:proofErr w:type="spellEnd"/>
      <w:r w:rsidRPr="00736C4E">
        <w:rPr>
          <w:lang w:val="es-ES_tradnl"/>
        </w:rPr>
        <w:t xml:space="preserve"> de la Resolución</w:t>
      </w:r>
      <w:r w:rsidR="00676620" w:rsidRPr="00736C4E">
        <w:rPr>
          <w:lang w:val="es-ES_tradnl"/>
        </w:rPr>
        <w:t> </w:t>
      </w:r>
      <w:r w:rsidRPr="00736C4E">
        <w:rPr>
          <w:lang w:val="es-ES_tradnl"/>
        </w:rPr>
        <w:t>UIT-R</w:t>
      </w:r>
      <w:r w:rsidR="00676620" w:rsidRPr="00736C4E">
        <w:rPr>
          <w:lang w:val="es-ES_tradnl"/>
        </w:rPr>
        <w:t> </w:t>
      </w:r>
      <w:r w:rsidRPr="00736C4E">
        <w:rPr>
          <w:lang w:val="es-ES_tradnl"/>
        </w:rPr>
        <w:t>1-8.</w:t>
      </w:r>
    </w:p>
    <w:p w14:paraId="2D4BF7F2" w14:textId="6FADA886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>De acuerdo con lo dispuesto en el §</w:t>
      </w:r>
      <w:r w:rsidR="00676620" w:rsidRPr="00736C4E">
        <w:rPr>
          <w:lang w:val="es-ES_tradnl"/>
        </w:rPr>
        <w:t> </w:t>
      </w:r>
      <w:proofErr w:type="spellStart"/>
      <w:r w:rsidRPr="00736C4E">
        <w:rPr>
          <w:lang w:val="es-ES_tradnl"/>
        </w:rPr>
        <w:t>A2.6.2.2.2.1</w:t>
      </w:r>
      <w:proofErr w:type="spellEnd"/>
      <w:r w:rsidRPr="00736C4E">
        <w:rPr>
          <w:lang w:val="es-ES_tradnl"/>
        </w:rPr>
        <w:t xml:space="preserve"> de la Resolución</w:t>
      </w:r>
      <w:r w:rsidR="00676620" w:rsidRPr="00736C4E">
        <w:rPr>
          <w:lang w:val="es-ES_tradnl"/>
        </w:rPr>
        <w:t> </w:t>
      </w:r>
      <w:r w:rsidRPr="00736C4E">
        <w:rPr>
          <w:lang w:val="es-ES_tradnl"/>
        </w:rPr>
        <w:t>UIT-R</w:t>
      </w:r>
      <w:r w:rsidR="00676620" w:rsidRPr="00736C4E">
        <w:rPr>
          <w:lang w:val="es-ES_tradnl"/>
        </w:rPr>
        <w:t> </w:t>
      </w:r>
      <w:r w:rsidRPr="00736C4E">
        <w:rPr>
          <w:lang w:val="es-ES_tradnl"/>
        </w:rPr>
        <w:t xml:space="preserve">1-8, en el Anexo al presente </w:t>
      </w:r>
      <w:proofErr w:type="spellStart"/>
      <w:r w:rsidRPr="00736C4E">
        <w:rPr>
          <w:lang w:val="es-ES_tradnl"/>
        </w:rPr>
        <w:t>A</w:t>
      </w:r>
      <w:r w:rsidR="00016485">
        <w:rPr>
          <w:lang w:val="es-ES_tradnl"/>
        </w:rPr>
        <w:t>d</w:t>
      </w:r>
      <w:r w:rsidRPr="00736C4E">
        <w:rPr>
          <w:lang w:val="es-ES_tradnl"/>
        </w:rPr>
        <w:t>déndum</w:t>
      </w:r>
      <w:proofErr w:type="spellEnd"/>
      <w:r w:rsidRPr="00736C4E">
        <w:rPr>
          <w:lang w:val="es-ES_tradnl"/>
        </w:rPr>
        <w:t xml:space="preserve"> se facilitan los títulos y resúmenes de los proyectos de revisión de las Recomendaciones.</w:t>
      </w:r>
    </w:p>
    <w:p w14:paraId="5A370BAA" w14:textId="766EE7BA" w:rsidR="00031E64" w:rsidRPr="00736C4E" w:rsidRDefault="001B3D4D" w:rsidP="003307B7">
      <w:pPr>
        <w:spacing w:before="1200"/>
        <w:jc w:val="left"/>
        <w:rPr>
          <w:szCs w:val="24"/>
          <w:lang w:val="es-ES_tradnl"/>
        </w:rPr>
      </w:pPr>
      <w:r w:rsidRPr="00736C4E">
        <w:rPr>
          <w:lang w:val="es-ES_tradnl"/>
        </w:rPr>
        <w:t>Mario Maniewicz</w:t>
      </w:r>
      <w:r w:rsidR="00E53DCE" w:rsidRPr="00736C4E">
        <w:rPr>
          <w:szCs w:val="24"/>
          <w:lang w:val="es-ES_tradnl"/>
        </w:rPr>
        <w:br/>
      </w:r>
      <w:proofErr w:type="gramStart"/>
      <w:r w:rsidR="00A96D3A" w:rsidRPr="00736C4E">
        <w:rPr>
          <w:szCs w:val="24"/>
          <w:lang w:val="es-ES_tradnl"/>
        </w:rPr>
        <w:t>Director</w:t>
      </w:r>
      <w:proofErr w:type="gramEnd"/>
    </w:p>
    <w:p w14:paraId="754794DC" w14:textId="35151BA2" w:rsidR="002623B1" w:rsidRPr="00736C4E" w:rsidRDefault="002623B1" w:rsidP="003307B7">
      <w:pPr>
        <w:tabs>
          <w:tab w:val="clear" w:pos="794"/>
        </w:tabs>
        <w:spacing w:before="1560"/>
        <w:ind w:left="1191" w:hanging="1191"/>
        <w:rPr>
          <w:lang w:val="es-ES_tradnl"/>
        </w:rPr>
      </w:pPr>
      <w:r w:rsidRPr="00736C4E">
        <w:rPr>
          <w:b/>
          <w:bCs/>
          <w:lang w:val="es-ES_tradnl"/>
        </w:rPr>
        <w:t>Anexo</w:t>
      </w:r>
      <w:r w:rsidRPr="00736C4E">
        <w:rPr>
          <w:lang w:val="es-ES_tradnl"/>
        </w:rPr>
        <w:t>:</w:t>
      </w:r>
      <w:r w:rsidRPr="00736C4E">
        <w:rPr>
          <w:lang w:val="es-ES_tradnl"/>
        </w:rPr>
        <w:tab/>
        <w:t xml:space="preserve">Títulos y resúmenes de los proyectos de </w:t>
      </w:r>
      <w:r w:rsidR="003307B7" w:rsidRPr="00736C4E">
        <w:rPr>
          <w:lang w:val="es-ES_tradnl"/>
        </w:rPr>
        <w:t>Recomendación</w:t>
      </w:r>
      <w:r w:rsidRPr="00736C4E">
        <w:rPr>
          <w:lang w:val="es-ES_tradnl"/>
        </w:rPr>
        <w:t xml:space="preserve"> propuestos para adopción en la reunión de la Comisión de Estudio 5</w:t>
      </w:r>
      <w:r w:rsidRPr="00736C4E">
        <w:rPr>
          <w:lang w:val="es-ES_tradnl"/>
        </w:rPr>
        <w:br w:type="page"/>
      </w:r>
    </w:p>
    <w:p w14:paraId="63FA873F" w14:textId="2323BD25" w:rsidR="002623B1" w:rsidRPr="00736C4E" w:rsidRDefault="002623B1" w:rsidP="002623B1">
      <w:pPr>
        <w:pStyle w:val="AnnexNoTitle"/>
        <w:rPr>
          <w:lang w:val="es-ES_tradnl"/>
        </w:rPr>
      </w:pPr>
      <w:r w:rsidRPr="00736C4E">
        <w:rPr>
          <w:lang w:val="es-ES_tradnl"/>
        </w:rPr>
        <w:lastRenderedPageBreak/>
        <w:t>Anexo</w:t>
      </w:r>
      <w:r w:rsidRPr="00736C4E">
        <w:rPr>
          <w:lang w:val="es-ES_tradnl"/>
        </w:rPr>
        <w:br/>
      </w:r>
      <w:r w:rsidRPr="00736C4E">
        <w:rPr>
          <w:lang w:val="es-ES_tradnl"/>
        </w:rPr>
        <w:br/>
        <w:t xml:space="preserve">Títulos y resúmenes de los proyectos de </w:t>
      </w:r>
      <w:r w:rsidR="00736C4E" w:rsidRPr="00736C4E">
        <w:rPr>
          <w:lang w:val="es-ES_tradnl"/>
        </w:rPr>
        <w:t>Recomendación</w:t>
      </w:r>
      <w:r w:rsidRPr="00736C4E">
        <w:rPr>
          <w:lang w:val="es-ES_tradnl"/>
        </w:rPr>
        <w:t xml:space="preserve"> propuestos</w:t>
      </w:r>
      <w:r w:rsidRPr="00736C4E">
        <w:rPr>
          <w:lang w:val="es-ES_tradnl"/>
        </w:rPr>
        <w:br/>
        <w:t>para adopción en la reunión de la Comisión de Estudio 5</w:t>
      </w:r>
    </w:p>
    <w:p w14:paraId="1D236B75" w14:textId="77777777" w:rsidR="002623B1" w:rsidRPr="00736C4E" w:rsidRDefault="002623B1" w:rsidP="00131D80">
      <w:pPr>
        <w:pStyle w:val="Title4"/>
        <w:spacing w:before="600"/>
        <w:rPr>
          <w:lang w:val="es-ES_tradnl"/>
        </w:rPr>
      </w:pPr>
      <w:bookmarkStart w:id="1" w:name="_Hlk138929818"/>
      <w:r w:rsidRPr="00736C4E">
        <w:rPr>
          <w:lang w:val="es-ES_tradnl"/>
        </w:rPr>
        <w:t xml:space="preserve">Grupo de Trabajo </w:t>
      </w:r>
      <w:proofErr w:type="spellStart"/>
      <w:r w:rsidRPr="00736C4E">
        <w:rPr>
          <w:lang w:val="es-ES_tradnl"/>
        </w:rPr>
        <w:t>5B</w:t>
      </w:r>
      <w:proofErr w:type="spellEnd"/>
    </w:p>
    <w:bookmarkEnd w:id="1"/>
    <w:p w14:paraId="72DE2CBC" w14:textId="2B30F9F4" w:rsidR="002623B1" w:rsidRPr="00736C4E" w:rsidRDefault="002623B1" w:rsidP="00131D80">
      <w:pPr>
        <w:tabs>
          <w:tab w:val="left" w:pos="8505"/>
        </w:tabs>
        <w:spacing w:before="480"/>
        <w:rPr>
          <w:u w:val="single"/>
          <w:lang w:val="es-ES_tradnl"/>
        </w:rPr>
      </w:pPr>
      <w:r w:rsidRPr="00736C4E">
        <w:rPr>
          <w:u w:val="single"/>
          <w:lang w:val="es-ES_tradnl"/>
        </w:rPr>
        <w:t xml:space="preserve">Proyecto de revisión de la Recomendación UIT-R </w:t>
      </w:r>
      <w:proofErr w:type="spellStart"/>
      <w:r w:rsidRPr="00736C4E">
        <w:rPr>
          <w:u w:val="single"/>
          <w:lang w:val="es-ES_tradnl"/>
        </w:rPr>
        <w:t>M.493</w:t>
      </w:r>
      <w:proofErr w:type="spellEnd"/>
      <w:r w:rsidRPr="00736C4E">
        <w:rPr>
          <w:u w:val="single"/>
          <w:lang w:val="es-ES_tradnl"/>
        </w:rPr>
        <w:t>-15</w:t>
      </w:r>
      <w:r w:rsidRPr="00736C4E">
        <w:rPr>
          <w:lang w:val="es-ES_tradnl"/>
        </w:rPr>
        <w:tab/>
        <w:t xml:space="preserve">Doc. </w:t>
      </w:r>
      <w:hyperlink r:id="rId9" w:history="1">
        <w:r w:rsidRPr="00736C4E">
          <w:rPr>
            <w:rStyle w:val="Hyperlink"/>
            <w:lang w:val="es-ES_tradnl"/>
          </w:rPr>
          <w:t>5/155</w:t>
        </w:r>
      </w:hyperlink>
    </w:p>
    <w:p w14:paraId="50672234" w14:textId="77777777" w:rsidR="002623B1" w:rsidRPr="00736C4E" w:rsidRDefault="002623B1" w:rsidP="002623B1">
      <w:pPr>
        <w:pStyle w:val="Rectitle"/>
        <w:rPr>
          <w:lang w:val="es-ES_tradnl"/>
        </w:rPr>
      </w:pPr>
      <w:r w:rsidRPr="00736C4E">
        <w:rPr>
          <w:lang w:val="es-ES_tradnl"/>
        </w:rPr>
        <w:t>Sistema de llamada selectiva digital para el servicio móvil marítimo</w:t>
      </w:r>
    </w:p>
    <w:p w14:paraId="1F98131D" w14:textId="6B7D999E" w:rsidR="002623B1" w:rsidRPr="00736C4E" w:rsidRDefault="002623B1" w:rsidP="002623B1">
      <w:pPr>
        <w:pStyle w:val="Normalaftertitle"/>
        <w:rPr>
          <w:lang w:val="es-ES_tradnl"/>
        </w:rPr>
      </w:pPr>
      <w:r w:rsidRPr="00736C4E">
        <w:rPr>
          <w:lang w:val="es-ES_tradnl"/>
        </w:rPr>
        <w:t>A fin de armonizar el texto con las enmiendas introducidas por la Organización Marítima Internacional (OMI) en el Capítulo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IV del Convenio SOLAS, en esta revisión de la Recomendación se propone lo siguiente:</w:t>
      </w:r>
    </w:p>
    <w:p w14:paraId="2821FA6E" w14:textId="07185969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•</w:t>
      </w:r>
      <w:r w:rsidRPr="00736C4E">
        <w:rPr>
          <w:lang w:val="es-ES_tradnl"/>
        </w:rPr>
        <w:tab/>
        <w:t xml:space="preserve">Debido a la eliminación de las </w:t>
      </w:r>
      <w:proofErr w:type="spellStart"/>
      <w:r w:rsidRPr="00736C4E">
        <w:rPr>
          <w:lang w:val="es-ES_tradnl"/>
        </w:rPr>
        <w:t>EPIRB</w:t>
      </w:r>
      <w:proofErr w:type="spellEnd"/>
      <w:r w:rsidRPr="00736C4E">
        <w:rPr>
          <w:lang w:val="es-ES_tradnl"/>
        </w:rPr>
        <w:t xml:space="preserve"> en ondas métricas con capacidad de llamada selectiva digital (</w:t>
      </w:r>
      <w:proofErr w:type="spellStart"/>
      <w:r w:rsidRPr="00736C4E">
        <w:rPr>
          <w:lang w:val="es-ES_tradnl"/>
        </w:rPr>
        <w:t>DSC</w:t>
      </w:r>
      <w:proofErr w:type="spellEnd"/>
      <w:r w:rsidRPr="00736C4E">
        <w:rPr>
          <w:lang w:val="es-ES_tradnl"/>
        </w:rPr>
        <w:t>) de SOLAS IV, las llamadas conexas y todas las referencias a ese punto se han eliminado de esta Recomendación.</w:t>
      </w:r>
    </w:p>
    <w:p w14:paraId="3A911EF6" w14:textId="77777777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•</w:t>
      </w:r>
      <w:r w:rsidRPr="00736C4E">
        <w:rPr>
          <w:lang w:val="es-ES_tradnl"/>
        </w:rPr>
        <w:tab/>
        <w:t xml:space="preserve">Se han actualizado y complementado las características técnicas de la </w:t>
      </w:r>
      <w:proofErr w:type="spellStart"/>
      <w:r w:rsidRPr="00736C4E">
        <w:rPr>
          <w:lang w:val="es-ES_tradnl"/>
        </w:rPr>
        <w:t>DSC</w:t>
      </w:r>
      <w:proofErr w:type="spellEnd"/>
      <w:r w:rsidRPr="00736C4E">
        <w:rPr>
          <w:lang w:val="es-ES_tradnl"/>
        </w:rPr>
        <w:t xml:space="preserve"> con miras a la introducción del sistema de conexión automática (ACS).</w:t>
      </w:r>
    </w:p>
    <w:p w14:paraId="6C5D8467" w14:textId="2569457B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•</w:t>
      </w:r>
      <w:r w:rsidRPr="00736C4E">
        <w:rPr>
          <w:lang w:val="es-ES_tradnl"/>
        </w:rPr>
        <w:tab/>
        <w:t>Las referencias a la impresión directa de banda estrecha (</w:t>
      </w:r>
      <w:proofErr w:type="spellStart"/>
      <w:r w:rsidRPr="00736C4E">
        <w:rPr>
          <w:lang w:val="es-ES_tradnl"/>
        </w:rPr>
        <w:t>NBDP</w:t>
      </w:r>
      <w:proofErr w:type="spellEnd"/>
      <w:r w:rsidRPr="00736C4E">
        <w:rPr>
          <w:lang w:val="es-ES_tradnl"/>
        </w:rPr>
        <w:t xml:space="preserve">) en ondas hectométricas y </w:t>
      </w:r>
      <w:proofErr w:type="spellStart"/>
      <w:r w:rsidRPr="00736C4E">
        <w:rPr>
          <w:lang w:val="es-ES_tradnl"/>
        </w:rPr>
        <w:t>decamétricas</w:t>
      </w:r>
      <w:proofErr w:type="spellEnd"/>
      <w:r w:rsidRPr="00736C4E">
        <w:rPr>
          <w:lang w:val="es-ES_tradnl"/>
        </w:rPr>
        <w:t xml:space="preserve"> para la emisión de alertas de socorro, retransmisiones de socorro, llamadas de urgencia y seguridad y acuses de recibo conexos, incluidas todas las llamadas que utilizan la petición automática de repetición (</w:t>
      </w:r>
      <w:proofErr w:type="spellStart"/>
      <w:r w:rsidRPr="00736C4E">
        <w:rPr>
          <w:lang w:val="es-ES_tradnl"/>
        </w:rPr>
        <w:t>ARQ</w:t>
      </w:r>
      <w:proofErr w:type="spellEnd"/>
      <w:r w:rsidRPr="00736C4E">
        <w:rPr>
          <w:lang w:val="es-ES_tradnl"/>
        </w:rPr>
        <w:t>), se han eliminado de los Cuadros</w:t>
      </w:r>
      <w:r w:rsidR="005F5961" w:rsidRPr="00736C4E">
        <w:rPr>
          <w:lang w:val="es-ES_tradnl"/>
        </w:rPr>
        <w:t> </w:t>
      </w:r>
      <w:proofErr w:type="spellStart"/>
      <w:r w:rsidRPr="00736C4E">
        <w:rPr>
          <w:lang w:val="es-ES_tradnl"/>
        </w:rPr>
        <w:t>A1</w:t>
      </w:r>
      <w:proofErr w:type="spellEnd"/>
      <w:r w:rsidRPr="00736C4E">
        <w:rPr>
          <w:lang w:val="es-ES_tradnl"/>
        </w:rPr>
        <w:t xml:space="preserve">-4.1 a </w:t>
      </w:r>
      <w:proofErr w:type="spellStart"/>
      <w:r w:rsidRPr="00736C4E">
        <w:rPr>
          <w:lang w:val="es-ES_tradnl"/>
        </w:rPr>
        <w:t>A1</w:t>
      </w:r>
      <w:proofErr w:type="spellEnd"/>
      <w:r w:rsidRPr="00736C4E">
        <w:rPr>
          <w:lang w:val="es-ES_tradnl"/>
        </w:rPr>
        <w:noBreakHyphen/>
        <w:t>4.10.2 de esta Recomendación conforme a la revisión de SOLAS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IV.</w:t>
      </w:r>
    </w:p>
    <w:p w14:paraId="5AAD56BB" w14:textId="0548C220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•</w:t>
      </w:r>
      <w:r w:rsidRPr="00736C4E">
        <w:rPr>
          <w:lang w:val="es-ES_tradnl"/>
        </w:rPr>
        <w:tab/>
        <w:t xml:space="preserve">Dado que la información sobre seguridad marítima (ISM) en ondas </w:t>
      </w:r>
      <w:proofErr w:type="spellStart"/>
      <w:r w:rsidRPr="00736C4E">
        <w:rPr>
          <w:lang w:val="es-ES_tradnl"/>
        </w:rPr>
        <w:t>decamétricas</w:t>
      </w:r>
      <w:proofErr w:type="spellEnd"/>
      <w:r w:rsidRPr="00736C4E">
        <w:rPr>
          <w:lang w:val="es-ES_tradnl"/>
        </w:rPr>
        <w:t xml:space="preserve"> se ha mantenido en el </w:t>
      </w:r>
      <w:r w:rsidR="003B0C50" w:rsidRPr="00736C4E">
        <w:rPr>
          <w:lang w:val="es-ES_tradnl"/>
        </w:rPr>
        <w:t>Capítulo </w:t>
      </w:r>
      <w:r w:rsidRPr="00736C4E">
        <w:rPr>
          <w:lang w:val="es-ES_tradnl"/>
        </w:rPr>
        <w:t>IV revisado del Convenio SOLAS para la recepción automática de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 xml:space="preserve">ISM en ondas </w:t>
      </w:r>
      <w:proofErr w:type="spellStart"/>
      <w:r w:rsidRPr="00736C4E">
        <w:rPr>
          <w:lang w:val="es-ES_tradnl"/>
        </w:rPr>
        <w:t>decamétricas</w:t>
      </w:r>
      <w:proofErr w:type="spellEnd"/>
      <w:r w:rsidRPr="00736C4E">
        <w:rPr>
          <w:lang w:val="es-ES_tradnl"/>
        </w:rPr>
        <w:t xml:space="preserve">, se han incluido la capacidad de recepción de </w:t>
      </w:r>
      <w:proofErr w:type="spellStart"/>
      <w:r w:rsidRPr="00736C4E">
        <w:rPr>
          <w:lang w:val="es-ES_tradnl"/>
        </w:rPr>
        <w:t>NBDP</w:t>
      </w:r>
      <w:proofErr w:type="spellEnd"/>
      <w:r w:rsidRPr="00736C4E">
        <w:rPr>
          <w:lang w:val="es-ES_tradnl"/>
        </w:rPr>
        <w:t xml:space="preserve"> utilizando la corrección de errores de errores en </w:t>
      </w:r>
      <w:proofErr w:type="gramStart"/>
      <w:r w:rsidRPr="00736C4E">
        <w:rPr>
          <w:lang w:val="es-ES_tradnl"/>
        </w:rPr>
        <w:t>recepción</w:t>
      </w:r>
      <w:proofErr w:type="gramEnd"/>
      <w:r w:rsidRPr="00736C4E">
        <w:rPr>
          <w:lang w:val="es-ES_tradnl"/>
        </w:rPr>
        <w:t xml:space="preserve"> (</w:t>
      </w:r>
      <w:proofErr w:type="spellStart"/>
      <w:r w:rsidRPr="00736C4E">
        <w:rPr>
          <w:lang w:val="es-ES_tradnl"/>
        </w:rPr>
        <w:t>FEC</w:t>
      </w:r>
      <w:proofErr w:type="spellEnd"/>
      <w:r w:rsidRPr="00736C4E">
        <w:rPr>
          <w:lang w:val="es-ES_tradnl"/>
        </w:rPr>
        <w:t>) en las correspondientes zonas.</w:t>
      </w:r>
    </w:p>
    <w:p w14:paraId="46E532C1" w14:textId="7AC0CEC4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>Se ha suprimido la referencia a la Recomendación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UIT-R</w:t>
      </w:r>
      <w:r w:rsidR="005F5961" w:rsidRPr="00736C4E">
        <w:rPr>
          <w:lang w:val="es-ES_tradnl"/>
        </w:rPr>
        <w:t> </w:t>
      </w:r>
      <w:proofErr w:type="spellStart"/>
      <w:r w:rsidRPr="00736C4E">
        <w:rPr>
          <w:lang w:val="es-ES_tradnl"/>
        </w:rPr>
        <w:t>M.476</w:t>
      </w:r>
      <w:proofErr w:type="spellEnd"/>
      <w:r w:rsidRPr="00736C4E">
        <w:rPr>
          <w:lang w:val="es-ES_tradnl"/>
        </w:rPr>
        <w:t>, ya que los equipos a los que hace referencia no se instalan desde 2005.</w:t>
      </w:r>
    </w:p>
    <w:p w14:paraId="61D8E263" w14:textId="494038EF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>A raíz de la evolución de la Recomendación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UIT-R</w:t>
      </w:r>
      <w:r w:rsidR="005F5961" w:rsidRPr="00736C4E">
        <w:rPr>
          <w:lang w:val="es-ES_tradnl"/>
        </w:rPr>
        <w:t> </w:t>
      </w:r>
      <w:proofErr w:type="spellStart"/>
      <w:r w:rsidRPr="00736C4E">
        <w:rPr>
          <w:lang w:val="es-ES_tradnl"/>
        </w:rPr>
        <w:t>M.2135</w:t>
      </w:r>
      <w:proofErr w:type="spellEnd"/>
      <w:r w:rsidRPr="00736C4E">
        <w:rPr>
          <w:lang w:val="es-ES_tradnl"/>
        </w:rPr>
        <w:t xml:space="preserve">, la descripción general de los dispositivos </w:t>
      </w:r>
      <w:proofErr w:type="spellStart"/>
      <w:r w:rsidRPr="00736C4E">
        <w:rPr>
          <w:lang w:val="es-ES_tradnl"/>
        </w:rPr>
        <w:t>DSC</w:t>
      </w:r>
      <w:proofErr w:type="spellEnd"/>
      <w:r w:rsidRPr="00736C4E">
        <w:rPr>
          <w:lang w:val="es-ES_tradnl"/>
        </w:rPr>
        <w:t xml:space="preserve"> de clase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 xml:space="preserve">M y sus funcionalidades operativas se ha trasladado a dicha Recomendación y la funcionalidad </w:t>
      </w:r>
      <w:proofErr w:type="spellStart"/>
      <w:r w:rsidRPr="00736C4E">
        <w:rPr>
          <w:lang w:val="es-ES_tradnl"/>
        </w:rPr>
        <w:t>DSC</w:t>
      </w:r>
      <w:proofErr w:type="spellEnd"/>
      <w:r w:rsidRPr="00736C4E">
        <w:rPr>
          <w:lang w:val="es-ES_tradnl"/>
        </w:rPr>
        <w:t xml:space="preserve"> específica se describe ahora en esta Recomendación.</w:t>
      </w:r>
    </w:p>
    <w:p w14:paraId="5871ECB8" w14:textId="68A912E1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>Con miras a reflejar las modificaciones necesarias, se ha actualizado</w:t>
      </w:r>
      <w:r w:rsidRPr="00736C4E">
        <w:rPr>
          <w:b/>
          <w:bCs/>
          <w:lang w:val="es-ES_tradnl"/>
        </w:rPr>
        <w:t xml:space="preserve"> </w:t>
      </w:r>
      <w:bookmarkStart w:id="2" w:name="_Hlk142547585"/>
      <w:proofErr w:type="spellStart"/>
      <w:r w:rsidRPr="00736C4E">
        <w:rPr>
          <w:lang w:val="es-ES_tradnl"/>
        </w:rPr>
        <w:t>el</w:t>
      </w:r>
      <w:proofErr w:type="spellEnd"/>
      <w:r w:rsidRPr="00736C4E">
        <w:rPr>
          <w:i/>
          <w:iCs/>
          <w:lang w:val="es-ES_tradnl"/>
        </w:rPr>
        <w:t xml:space="preserve"> recomienda</w:t>
      </w:r>
      <w:bookmarkEnd w:id="2"/>
      <w:r w:rsidR="005F5961" w:rsidRPr="00736C4E">
        <w:rPr>
          <w:i/>
          <w:iCs/>
          <w:lang w:val="es-ES_tradnl"/>
        </w:rPr>
        <w:t> </w:t>
      </w:r>
      <w:r w:rsidRPr="00736C4E">
        <w:rPr>
          <w:lang w:val="es-ES_tradnl"/>
        </w:rPr>
        <w:t xml:space="preserve">3 y se ha suprimido </w:t>
      </w:r>
      <w:proofErr w:type="spellStart"/>
      <w:r w:rsidRPr="00736C4E">
        <w:rPr>
          <w:lang w:val="es-ES_tradnl"/>
        </w:rPr>
        <w:t>el</w:t>
      </w:r>
      <w:proofErr w:type="spellEnd"/>
      <w:r w:rsidRPr="00736C4E">
        <w:rPr>
          <w:lang w:val="es-ES_tradnl"/>
        </w:rPr>
        <w:t xml:space="preserve"> </w:t>
      </w:r>
      <w:r w:rsidRPr="00736C4E">
        <w:rPr>
          <w:i/>
          <w:iCs/>
          <w:lang w:val="es-ES_tradnl"/>
        </w:rPr>
        <w:t>recomienda</w:t>
      </w:r>
      <w:r w:rsidR="005F5961" w:rsidRPr="00736C4E">
        <w:rPr>
          <w:i/>
          <w:iCs/>
          <w:lang w:val="es-ES_tradnl"/>
        </w:rPr>
        <w:t> </w:t>
      </w:r>
      <w:r w:rsidRPr="00736C4E">
        <w:rPr>
          <w:lang w:val="es-ES_tradnl"/>
        </w:rPr>
        <w:t>4.</w:t>
      </w:r>
    </w:p>
    <w:p w14:paraId="4D64D5D1" w14:textId="77777777" w:rsidR="00131D80" w:rsidRPr="00736C4E" w:rsidRDefault="00131D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  <w:lang w:val="es-ES_tradnl"/>
        </w:rPr>
      </w:pPr>
      <w:r w:rsidRPr="00736C4E">
        <w:rPr>
          <w:u w:val="single"/>
          <w:lang w:val="es-ES_tradnl"/>
        </w:rPr>
        <w:br w:type="page"/>
      </w:r>
    </w:p>
    <w:p w14:paraId="2593393E" w14:textId="0B86CCA0" w:rsidR="002623B1" w:rsidRPr="00736C4E" w:rsidRDefault="002623B1" w:rsidP="003B0C50">
      <w:pPr>
        <w:keepNext/>
        <w:keepLines/>
        <w:tabs>
          <w:tab w:val="left" w:pos="8505"/>
        </w:tabs>
        <w:spacing w:before="360"/>
        <w:rPr>
          <w:u w:val="single"/>
          <w:lang w:val="es-ES_tradnl"/>
        </w:rPr>
      </w:pPr>
      <w:r w:rsidRPr="00736C4E">
        <w:rPr>
          <w:u w:val="single"/>
          <w:lang w:val="es-ES_tradnl"/>
        </w:rPr>
        <w:lastRenderedPageBreak/>
        <w:t xml:space="preserve">Proyecto de revisión de la Recomendación UIT-R </w:t>
      </w:r>
      <w:proofErr w:type="spellStart"/>
      <w:r w:rsidRPr="00736C4E">
        <w:rPr>
          <w:u w:val="single"/>
          <w:lang w:val="es-ES_tradnl"/>
        </w:rPr>
        <w:t>M.541</w:t>
      </w:r>
      <w:proofErr w:type="spellEnd"/>
      <w:r w:rsidRPr="00736C4E">
        <w:rPr>
          <w:u w:val="single"/>
          <w:lang w:val="es-ES_tradnl"/>
        </w:rPr>
        <w:t>-10</w:t>
      </w:r>
      <w:r w:rsidRPr="00736C4E">
        <w:rPr>
          <w:lang w:val="es-ES_tradnl"/>
        </w:rPr>
        <w:tab/>
        <w:t xml:space="preserve">Doc. </w:t>
      </w:r>
      <w:hyperlink r:id="rId10" w:history="1">
        <w:r w:rsidRPr="00736C4E">
          <w:rPr>
            <w:rStyle w:val="Hyperlink"/>
            <w:lang w:val="es-ES_tradnl"/>
          </w:rPr>
          <w:t>5/156</w:t>
        </w:r>
      </w:hyperlink>
    </w:p>
    <w:p w14:paraId="1C07D6AB" w14:textId="44812C3A" w:rsidR="002623B1" w:rsidRPr="00736C4E" w:rsidRDefault="002623B1" w:rsidP="002623B1">
      <w:pPr>
        <w:pStyle w:val="Rectitle"/>
        <w:rPr>
          <w:lang w:val="es-ES_tradnl"/>
        </w:rPr>
      </w:pPr>
      <w:r w:rsidRPr="00736C4E">
        <w:rPr>
          <w:lang w:val="es-ES_tradnl"/>
        </w:rPr>
        <w:t xml:space="preserve">Procedimientos de explotación para la utilización de equipos </w:t>
      </w:r>
      <w:r w:rsidR="00676620" w:rsidRPr="00736C4E">
        <w:rPr>
          <w:lang w:val="es-ES_tradnl"/>
        </w:rPr>
        <w:br/>
      </w:r>
      <w:r w:rsidRPr="00736C4E">
        <w:rPr>
          <w:lang w:val="es-ES_tradnl"/>
        </w:rPr>
        <w:t>de llamada selectiva digital en el servicio móvil marítimo</w:t>
      </w:r>
    </w:p>
    <w:p w14:paraId="73C31B1C" w14:textId="77777777" w:rsidR="002623B1" w:rsidRPr="00736C4E" w:rsidRDefault="002623B1" w:rsidP="002623B1">
      <w:pPr>
        <w:pStyle w:val="Normalaftertitle"/>
        <w:rPr>
          <w:i/>
          <w:iCs/>
          <w:lang w:val="es-ES_tradnl"/>
        </w:rPr>
      </w:pPr>
      <w:r w:rsidRPr="00736C4E">
        <w:rPr>
          <w:i/>
          <w:iCs/>
          <w:lang w:val="es-ES_tradnl"/>
        </w:rPr>
        <w:t>Nota: Esta Recomendación se ha incorporado por referencia en el Reglamento de Radiocomunicaciones.</w:t>
      </w:r>
    </w:p>
    <w:p w14:paraId="1EF3FBD5" w14:textId="77777777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 xml:space="preserve">Las enmiendas propuestas a esta Recomendación actualizan y complementan los procedimientos operativos para el uso de la </w:t>
      </w:r>
      <w:proofErr w:type="spellStart"/>
      <w:r w:rsidRPr="00736C4E">
        <w:rPr>
          <w:lang w:val="es-ES_tradnl"/>
        </w:rPr>
        <w:t>DSC</w:t>
      </w:r>
      <w:proofErr w:type="spellEnd"/>
      <w:r w:rsidRPr="00736C4E">
        <w:rPr>
          <w:lang w:val="es-ES_tradnl"/>
        </w:rPr>
        <w:t xml:space="preserve"> con miras a la introducción del sistema de conexión automática (ACS).</w:t>
      </w:r>
    </w:p>
    <w:p w14:paraId="1110DB32" w14:textId="77777777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>Los textos relacionados con la telegrafía de impresión directa de banda estrecha (</w:t>
      </w:r>
      <w:proofErr w:type="spellStart"/>
      <w:r w:rsidRPr="00736C4E">
        <w:rPr>
          <w:lang w:val="es-ES_tradnl"/>
        </w:rPr>
        <w:t>NBDP</w:t>
      </w:r>
      <w:proofErr w:type="spellEnd"/>
      <w:r w:rsidRPr="00736C4E">
        <w:rPr>
          <w:lang w:val="es-ES_tradnl"/>
        </w:rPr>
        <w:t xml:space="preserve">) se han suprimido de la Recomendación, ya que el servicio </w:t>
      </w:r>
      <w:proofErr w:type="spellStart"/>
      <w:r w:rsidRPr="00736C4E">
        <w:rPr>
          <w:lang w:val="es-ES_tradnl"/>
        </w:rPr>
        <w:t>NBDP</w:t>
      </w:r>
      <w:proofErr w:type="spellEnd"/>
      <w:r w:rsidRPr="00736C4E">
        <w:rPr>
          <w:lang w:val="es-ES_tradnl"/>
        </w:rPr>
        <w:t xml:space="preserve"> quedará excluido del </w:t>
      </w:r>
      <w:proofErr w:type="spellStart"/>
      <w:r w:rsidRPr="00736C4E">
        <w:rPr>
          <w:lang w:val="es-ES_tradnl"/>
        </w:rPr>
        <w:t>SMSSM</w:t>
      </w:r>
      <w:proofErr w:type="spellEnd"/>
      <w:r w:rsidRPr="00736C4E">
        <w:rPr>
          <w:lang w:val="es-ES_tradnl"/>
        </w:rPr>
        <w:t xml:space="preserve"> a partir del 1 de enero de 2024.</w:t>
      </w:r>
    </w:p>
    <w:p w14:paraId="4EB5C536" w14:textId="16A43EB6" w:rsidR="002623B1" w:rsidRPr="00736C4E" w:rsidRDefault="002623B1" w:rsidP="002623B1">
      <w:pPr>
        <w:rPr>
          <w:lang w:val="es-ES_tradnl"/>
        </w:rPr>
      </w:pPr>
      <w:r w:rsidRPr="00736C4E">
        <w:rPr>
          <w:lang w:val="es-ES_tradnl"/>
        </w:rPr>
        <w:t xml:space="preserve">Se han modificado las secciones relativas al alcance, las abreviaturas/glosario y las recomendaciones. Se han suprimido las explicaciones relacionadas con la </w:t>
      </w:r>
      <w:proofErr w:type="spellStart"/>
      <w:r w:rsidRPr="00736C4E">
        <w:rPr>
          <w:lang w:val="es-ES_tradnl"/>
        </w:rPr>
        <w:t>NBDP</w:t>
      </w:r>
      <w:proofErr w:type="spellEnd"/>
      <w:r w:rsidRPr="00736C4E">
        <w:rPr>
          <w:lang w:val="es-ES_tradnl"/>
        </w:rPr>
        <w:t xml:space="preserve"> de los Anexos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1, 2 y 4. Se ha añadido un nuevo Anexo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5 con los procedimientos operativos de la ACS, se han renumerado el antiguo Anexo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5 como Anexo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6 y el antiguo Anexo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6 como el Anexo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7, y se ha añadido la nueva sección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2.3. Se ha modificado el número de Anexos de referencia en general.</w:t>
      </w:r>
    </w:p>
    <w:p w14:paraId="2E5B7D5D" w14:textId="746536EA" w:rsidR="002623B1" w:rsidRPr="00736C4E" w:rsidRDefault="002623B1" w:rsidP="002623B1">
      <w:pPr>
        <w:tabs>
          <w:tab w:val="left" w:pos="8505"/>
        </w:tabs>
        <w:spacing w:before="360"/>
        <w:rPr>
          <w:u w:val="single"/>
          <w:lang w:val="es-ES_tradnl"/>
        </w:rPr>
      </w:pPr>
      <w:r w:rsidRPr="00736C4E">
        <w:rPr>
          <w:u w:val="single"/>
          <w:lang w:val="es-ES_tradnl"/>
        </w:rPr>
        <w:t xml:space="preserve">Proyecto de revisión de la Recomendación UIT-R </w:t>
      </w:r>
      <w:proofErr w:type="spellStart"/>
      <w:r w:rsidRPr="00736C4E">
        <w:rPr>
          <w:u w:val="single"/>
          <w:lang w:val="es-ES_tradnl"/>
        </w:rPr>
        <w:t>M.1171</w:t>
      </w:r>
      <w:proofErr w:type="spellEnd"/>
      <w:r w:rsidRPr="00736C4E">
        <w:rPr>
          <w:u w:val="single"/>
          <w:lang w:val="es-ES_tradnl"/>
        </w:rPr>
        <w:t>-0</w:t>
      </w:r>
      <w:r w:rsidRPr="00736C4E">
        <w:rPr>
          <w:lang w:val="es-ES_tradnl"/>
        </w:rPr>
        <w:tab/>
        <w:t xml:space="preserve">Doc. </w:t>
      </w:r>
      <w:hyperlink r:id="rId11" w:history="1">
        <w:r w:rsidRPr="00736C4E">
          <w:rPr>
            <w:rStyle w:val="Hyperlink"/>
            <w:lang w:val="es-ES_tradnl"/>
          </w:rPr>
          <w:t>5/157</w:t>
        </w:r>
      </w:hyperlink>
    </w:p>
    <w:p w14:paraId="06E51CF9" w14:textId="77777777" w:rsidR="002623B1" w:rsidRPr="00736C4E" w:rsidRDefault="002623B1" w:rsidP="002623B1">
      <w:pPr>
        <w:pStyle w:val="Rectitle"/>
        <w:rPr>
          <w:lang w:val="es-ES_tradnl"/>
        </w:rPr>
      </w:pPr>
      <w:r w:rsidRPr="00736C4E">
        <w:rPr>
          <w:lang w:val="es-ES_tradnl"/>
        </w:rPr>
        <w:t>Procedimientos de radiotelefonía en el servicio móvil marítimo</w:t>
      </w:r>
    </w:p>
    <w:p w14:paraId="1E953B2D" w14:textId="77777777" w:rsidR="002623B1" w:rsidRPr="00736C4E" w:rsidRDefault="002623B1" w:rsidP="00131D80">
      <w:pPr>
        <w:pStyle w:val="Normalaftertitle"/>
        <w:spacing w:before="240"/>
        <w:rPr>
          <w:i/>
          <w:iCs/>
          <w:lang w:val="es-ES_tradnl"/>
        </w:rPr>
      </w:pPr>
      <w:r w:rsidRPr="00736C4E">
        <w:rPr>
          <w:i/>
          <w:iCs/>
          <w:lang w:val="es-ES_tradnl"/>
        </w:rPr>
        <w:t>Nota: Esta Recomendación se ha incorporado por referencia en el Reglamento de Radiocomunicaciones.</w:t>
      </w:r>
    </w:p>
    <w:p w14:paraId="5E0BE218" w14:textId="34B8409B" w:rsidR="002623B1" w:rsidRPr="00736C4E" w:rsidRDefault="002623B1" w:rsidP="002623B1">
      <w:pPr>
        <w:rPr>
          <w:u w:val="single"/>
          <w:lang w:val="es-ES_tradnl"/>
        </w:rPr>
      </w:pPr>
      <w:r w:rsidRPr="00736C4E">
        <w:rPr>
          <w:lang w:val="es-ES_tradnl"/>
        </w:rPr>
        <w:t>Las palabras clave identificadas y escritas en mayúscula deberían figurar en inglés en las versiones publicadas en los seis idiomas oficiales de la UIT. Ese mismo principio ya se aplicó en los Artículos </w:t>
      </w:r>
      <w:r w:rsidRPr="00736C4E">
        <w:rPr>
          <w:b/>
          <w:bCs/>
          <w:lang w:val="es-ES_tradnl"/>
        </w:rPr>
        <w:t xml:space="preserve">32 </w:t>
      </w:r>
      <w:r w:rsidRPr="00736C4E">
        <w:rPr>
          <w:lang w:val="es-ES_tradnl"/>
        </w:rPr>
        <w:t xml:space="preserve">y </w:t>
      </w:r>
      <w:r w:rsidRPr="00736C4E">
        <w:rPr>
          <w:b/>
          <w:bCs/>
          <w:lang w:val="es-ES_tradnl"/>
        </w:rPr>
        <w:t xml:space="preserve">33 </w:t>
      </w:r>
      <w:r w:rsidRPr="00736C4E">
        <w:rPr>
          <w:lang w:val="es-ES_tradnl"/>
        </w:rPr>
        <w:t>del RR. En esta revisión se han suprimido las referencias a los servicios que ya no se utilizan en la práctica en el marco del servicio móvil marítimo, entre ellos la correspondencia pública, los telegramas y los códigos</w:t>
      </w:r>
      <w:r w:rsidR="005F5961" w:rsidRPr="00736C4E">
        <w:rPr>
          <w:lang w:val="es-ES_tradnl"/>
        </w:rPr>
        <w:t> </w:t>
      </w:r>
      <w:r w:rsidRPr="00736C4E">
        <w:rPr>
          <w:lang w:val="es-ES_tradnl"/>
        </w:rPr>
        <w:t>Q.</w:t>
      </w:r>
    </w:p>
    <w:p w14:paraId="08EDAE21" w14:textId="6809E826" w:rsidR="002623B1" w:rsidRPr="00736C4E" w:rsidRDefault="002623B1" w:rsidP="002623B1">
      <w:pPr>
        <w:tabs>
          <w:tab w:val="left" w:pos="8505"/>
        </w:tabs>
        <w:spacing w:before="360"/>
        <w:rPr>
          <w:u w:val="single"/>
          <w:lang w:val="es-ES_tradnl"/>
        </w:rPr>
      </w:pPr>
      <w:r w:rsidRPr="00736C4E">
        <w:rPr>
          <w:u w:val="single"/>
          <w:lang w:val="es-ES_tradnl"/>
        </w:rPr>
        <w:t xml:space="preserve">Proyecto de revisión de la Recomendación UIT-R </w:t>
      </w:r>
      <w:proofErr w:type="spellStart"/>
      <w:r w:rsidRPr="00736C4E">
        <w:rPr>
          <w:u w:val="single"/>
          <w:lang w:val="es-ES_tradnl"/>
        </w:rPr>
        <w:t>M.1851</w:t>
      </w:r>
      <w:proofErr w:type="spellEnd"/>
      <w:r w:rsidRPr="00736C4E">
        <w:rPr>
          <w:u w:val="single"/>
          <w:lang w:val="es-ES_tradnl"/>
        </w:rPr>
        <w:t>-1</w:t>
      </w:r>
      <w:r w:rsidRPr="00736C4E">
        <w:rPr>
          <w:lang w:val="es-ES_tradnl"/>
        </w:rPr>
        <w:tab/>
        <w:t xml:space="preserve">Doc. </w:t>
      </w:r>
      <w:hyperlink r:id="rId12" w:history="1">
        <w:r w:rsidRPr="00736C4E">
          <w:rPr>
            <w:rStyle w:val="Hyperlink"/>
            <w:lang w:val="es-ES_tradnl"/>
          </w:rPr>
          <w:t>5/158</w:t>
        </w:r>
      </w:hyperlink>
    </w:p>
    <w:p w14:paraId="213DE1AF" w14:textId="77777777" w:rsidR="002623B1" w:rsidRPr="00736C4E" w:rsidRDefault="002623B1" w:rsidP="002623B1">
      <w:pPr>
        <w:pStyle w:val="Rectitle"/>
        <w:rPr>
          <w:lang w:val="es-ES_tradnl"/>
        </w:rPr>
      </w:pPr>
      <w:r w:rsidRPr="00736C4E">
        <w:rPr>
          <w:lang w:val="es-ES_tradnl"/>
        </w:rPr>
        <w:t>Modelos matemáticos de diagramas de antena de sistemas de radar del servicio de radiodeterminación para uso en los análisis de interferencia</w:t>
      </w:r>
    </w:p>
    <w:p w14:paraId="5E07CB2B" w14:textId="77777777" w:rsidR="002623B1" w:rsidRPr="00736C4E" w:rsidRDefault="002623B1" w:rsidP="00131D80">
      <w:pPr>
        <w:pStyle w:val="Normalaftertitle"/>
        <w:spacing w:before="240"/>
        <w:rPr>
          <w:lang w:val="es-ES_tradnl"/>
        </w:rPr>
      </w:pPr>
      <w:r w:rsidRPr="00736C4E">
        <w:rPr>
          <w:lang w:val="es-ES_tradnl"/>
        </w:rPr>
        <w:t>Esta revisión incluye:</w:t>
      </w:r>
    </w:p>
    <w:p w14:paraId="6C0A0D3B" w14:textId="70098D6E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–</w:t>
      </w:r>
      <w:r w:rsidRPr="00736C4E">
        <w:rPr>
          <w:lang w:val="es-ES_tradnl"/>
        </w:rPr>
        <w:tab/>
        <w:t>la ampliación del alcance de la Recomendación a los sistemas móviles aeronáuticos;</w:t>
      </w:r>
    </w:p>
    <w:p w14:paraId="58AA7DC1" w14:textId="10465006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–</w:t>
      </w:r>
      <w:r w:rsidRPr="00736C4E">
        <w:rPr>
          <w:lang w:val="es-ES_tradnl"/>
        </w:rPr>
        <w:tab/>
        <w:t>la actualización de las recomendaciones;</w:t>
      </w:r>
    </w:p>
    <w:p w14:paraId="1FA72F8E" w14:textId="5E97A111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–</w:t>
      </w:r>
      <w:r w:rsidRPr="00736C4E">
        <w:rPr>
          <w:lang w:val="es-ES_tradnl"/>
        </w:rPr>
        <w:tab/>
        <w:t xml:space="preserve">la actualización y aclaración del diagrama de </w:t>
      </w:r>
      <w:proofErr w:type="spellStart"/>
      <w:r w:rsidRPr="00736C4E">
        <w:rPr>
          <w:lang w:val="es-ES_tradnl"/>
        </w:rPr>
        <w:t>consecante</w:t>
      </w:r>
      <w:proofErr w:type="spellEnd"/>
      <w:r w:rsidRPr="00736C4E">
        <w:rPr>
          <w:lang w:val="es-ES_tradnl"/>
        </w:rPr>
        <w:t xml:space="preserve"> cuadrado;</w:t>
      </w:r>
    </w:p>
    <w:p w14:paraId="6BD81747" w14:textId="53CC66CE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–</w:t>
      </w:r>
      <w:r w:rsidRPr="00736C4E">
        <w:rPr>
          <w:lang w:val="es-ES_tradnl"/>
        </w:rPr>
        <w:tab/>
        <w:t>la adición de un nuevo modelo para antenas de apertura rectangular sobre pedestal;</w:t>
      </w:r>
    </w:p>
    <w:p w14:paraId="5C01DD93" w14:textId="476A06C2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–</w:t>
      </w:r>
      <w:r w:rsidRPr="00736C4E">
        <w:rPr>
          <w:lang w:val="es-ES_tradnl"/>
        </w:rPr>
        <w:tab/>
        <w:t>la adición de un nuevo modelo para antenas de apertura circular;</w:t>
      </w:r>
    </w:p>
    <w:p w14:paraId="4E9E4810" w14:textId="02DAC031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–</w:t>
      </w:r>
      <w:r w:rsidRPr="00736C4E">
        <w:rPr>
          <w:lang w:val="es-ES_tradnl"/>
        </w:rPr>
        <w:tab/>
        <w:t>la actualización de la metodología utilizada para elaborar diagramas de antena tridimensionales a partir de principios de corte; y</w:t>
      </w:r>
    </w:p>
    <w:p w14:paraId="293F6ABA" w14:textId="67853FD9" w:rsidR="002623B1" w:rsidRPr="00736C4E" w:rsidRDefault="002623B1" w:rsidP="002623B1">
      <w:pPr>
        <w:pStyle w:val="enumlev1"/>
        <w:rPr>
          <w:lang w:val="es-ES_tradnl"/>
        </w:rPr>
      </w:pPr>
      <w:r w:rsidRPr="00736C4E">
        <w:rPr>
          <w:lang w:val="es-ES_tradnl"/>
        </w:rPr>
        <w:t>–</w:t>
      </w:r>
      <w:r w:rsidRPr="00736C4E">
        <w:rPr>
          <w:lang w:val="es-ES_tradnl"/>
        </w:rPr>
        <w:tab/>
        <w:t xml:space="preserve">la adición de una nueva medición de una antena con diagrama de </w:t>
      </w:r>
      <w:proofErr w:type="spellStart"/>
      <w:r w:rsidRPr="00736C4E">
        <w:rPr>
          <w:lang w:val="es-ES_tradnl"/>
        </w:rPr>
        <w:t>consecante</w:t>
      </w:r>
      <w:proofErr w:type="spellEnd"/>
      <w:r w:rsidRPr="00736C4E">
        <w:rPr>
          <w:lang w:val="es-ES_tradnl"/>
        </w:rPr>
        <w:t xml:space="preserve"> cuadrado.</w:t>
      </w:r>
    </w:p>
    <w:p w14:paraId="00EE1E0B" w14:textId="2850E76F" w:rsidR="002623B1" w:rsidRPr="00736C4E" w:rsidRDefault="002623B1" w:rsidP="00676620">
      <w:pPr>
        <w:keepNext/>
        <w:keepLines/>
        <w:tabs>
          <w:tab w:val="left" w:pos="8505"/>
        </w:tabs>
        <w:spacing w:before="360"/>
        <w:rPr>
          <w:u w:val="single"/>
          <w:lang w:val="es-ES_tradnl"/>
        </w:rPr>
      </w:pPr>
      <w:r w:rsidRPr="00736C4E">
        <w:rPr>
          <w:u w:val="single"/>
          <w:lang w:val="es-ES_tradnl"/>
        </w:rPr>
        <w:lastRenderedPageBreak/>
        <w:t xml:space="preserve">Proyecto de </w:t>
      </w:r>
      <w:r w:rsidR="005F5961" w:rsidRPr="00736C4E">
        <w:rPr>
          <w:u w:val="single"/>
          <w:lang w:val="es-ES_tradnl"/>
        </w:rPr>
        <w:t>nueva</w:t>
      </w:r>
      <w:r w:rsidRPr="00736C4E">
        <w:rPr>
          <w:u w:val="single"/>
          <w:lang w:val="es-ES_tradnl"/>
        </w:rPr>
        <w:t xml:space="preserve"> Recomendación UIT-R </w:t>
      </w:r>
      <w:proofErr w:type="gramStart"/>
      <w:r w:rsidRPr="00736C4E">
        <w:rPr>
          <w:u w:val="single"/>
          <w:lang w:val="es-ES_tradnl"/>
        </w:rPr>
        <w:t>M.[</w:t>
      </w:r>
      <w:proofErr w:type="gramEnd"/>
      <w:r w:rsidRPr="00736C4E">
        <w:rPr>
          <w:u w:val="single"/>
          <w:lang w:val="es-ES_tradnl"/>
        </w:rPr>
        <w:t>RAD 92-100 GHz]</w:t>
      </w:r>
      <w:r w:rsidRPr="00736C4E">
        <w:rPr>
          <w:lang w:val="es-ES_tradnl"/>
        </w:rPr>
        <w:tab/>
        <w:t xml:space="preserve">Doc. </w:t>
      </w:r>
      <w:hyperlink r:id="rId13" w:history="1">
        <w:r w:rsidRPr="00736C4E">
          <w:rPr>
            <w:rStyle w:val="Hyperlink"/>
            <w:lang w:val="es-ES_tradnl"/>
          </w:rPr>
          <w:t>5/152</w:t>
        </w:r>
      </w:hyperlink>
    </w:p>
    <w:p w14:paraId="4A032F83" w14:textId="28947A20" w:rsidR="002623B1" w:rsidRPr="00736C4E" w:rsidRDefault="002623B1" w:rsidP="002623B1">
      <w:pPr>
        <w:pStyle w:val="Rectitle"/>
        <w:rPr>
          <w:lang w:val="es-ES_tradnl"/>
        </w:rPr>
      </w:pPr>
      <w:r w:rsidRPr="00736C4E">
        <w:rPr>
          <w:lang w:val="es-ES_tradnl"/>
        </w:rPr>
        <w:t xml:space="preserve">Características técnicas y operativas de los sistemas de radiolocalización </w:t>
      </w:r>
      <w:r w:rsidR="00676620" w:rsidRPr="00736C4E">
        <w:rPr>
          <w:lang w:val="es-ES_tradnl"/>
        </w:rPr>
        <w:br/>
      </w:r>
      <w:r w:rsidRPr="00736C4E">
        <w:rPr>
          <w:lang w:val="es-ES_tradnl"/>
        </w:rPr>
        <w:t>que funcionan en la gama de frecuencias 92-100</w:t>
      </w:r>
      <w:r w:rsidR="00676620" w:rsidRPr="00736C4E">
        <w:rPr>
          <w:lang w:val="es-ES_tradnl"/>
        </w:rPr>
        <w:t> </w:t>
      </w:r>
      <w:r w:rsidRPr="00736C4E">
        <w:rPr>
          <w:lang w:val="es-ES_tradnl"/>
        </w:rPr>
        <w:t>GHz y de los sistemas de radionavegación que funcionan en la gama de frecuencias 95-100</w:t>
      </w:r>
      <w:r w:rsidR="00676620" w:rsidRPr="00736C4E">
        <w:rPr>
          <w:lang w:val="es-ES_tradnl"/>
        </w:rPr>
        <w:t> GHz</w:t>
      </w:r>
    </w:p>
    <w:p w14:paraId="7742922C" w14:textId="6E7D0CEC" w:rsidR="002623B1" w:rsidRPr="00736C4E" w:rsidRDefault="002623B1" w:rsidP="00676620">
      <w:pPr>
        <w:pStyle w:val="Normalaftertitle"/>
        <w:keepNext/>
        <w:keepLines/>
        <w:rPr>
          <w:lang w:val="es-ES_tradnl"/>
        </w:rPr>
      </w:pPr>
      <w:r w:rsidRPr="00736C4E">
        <w:rPr>
          <w:lang w:val="es-ES_tradnl"/>
        </w:rPr>
        <w:t>En esta Recomendación se detallan las características técnicas y operativas de los sistemas de radiolocalización y radionavegación que funcionan en la gama de frecuencias 92</w:t>
      </w:r>
      <w:r w:rsidR="00676620" w:rsidRPr="00736C4E">
        <w:rPr>
          <w:lang w:val="es-ES_tradnl"/>
        </w:rPr>
        <w:noBreakHyphen/>
      </w:r>
      <w:r w:rsidRPr="00736C4E">
        <w:rPr>
          <w:lang w:val="es-ES_tradnl"/>
        </w:rPr>
        <w:t>100</w:t>
      </w:r>
      <w:r w:rsidR="00676620" w:rsidRPr="00736C4E">
        <w:rPr>
          <w:lang w:val="es-ES_tradnl"/>
        </w:rPr>
        <w:t> </w:t>
      </w:r>
      <w:r w:rsidRPr="00736C4E">
        <w:rPr>
          <w:lang w:val="es-ES_tradnl"/>
        </w:rPr>
        <w:t>GHz. El objetivo de los parámetros facilitados es que sirvan de orientación para el análisis de la compatibilidad entre los radares que funcionan en el servicio de radiolocalización o en el servicio de radionavegación y los sistemas de otros servicios.</w:t>
      </w:r>
    </w:p>
    <w:p w14:paraId="2A3CD6C2" w14:textId="77777777" w:rsidR="002623B1" w:rsidRPr="00736C4E" w:rsidRDefault="002623B1" w:rsidP="00411C49">
      <w:pPr>
        <w:pStyle w:val="Reasons"/>
        <w:rPr>
          <w:lang w:val="es-ES_tradnl"/>
        </w:rPr>
      </w:pPr>
      <w:bookmarkStart w:id="3" w:name="_Hlk142902099"/>
    </w:p>
    <w:p w14:paraId="7B07A9B6" w14:textId="77777777" w:rsidR="002623B1" w:rsidRPr="00736C4E" w:rsidRDefault="002623B1">
      <w:pPr>
        <w:jc w:val="center"/>
        <w:rPr>
          <w:lang w:val="es-ES_tradnl"/>
        </w:rPr>
      </w:pPr>
      <w:r w:rsidRPr="00736C4E">
        <w:rPr>
          <w:lang w:val="es-ES_tradnl"/>
        </w:rPr>
        <w:t>______________</w:t>
      </w:r>
      <w:bookmarkEnd w:id="3"/>
    </w:p>
    <w:sectPr w:rsidR="002623B1" w:rsidRPr="00736C4E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76E0" w14:textId="77777777" w:rsidR="00AA6F80" w:rsidRDefault="00AA6F80">
      <w:r>
        <w:separator/>
      </w:r>
    </w:p>
  </w:endnote>
  <w:endnote w:type="continuationSeparator" w:id="0">
    <w:p w14:paraId="099D8D78" w14:textId="77777777" w:rsidR="00AA6F80" w:rsidRDefault="00A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90FE" w14:textId="77777777" w:rsidR="00137226" w:rsidRPr="00C23C75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r w:rsidR="00BA6DDF">
      <w:fldChar w:fldCharType="begin"/>
    </w:r>
    <w:r w:rsidR="00BA6DDF" w:rsidRPr="00596199">
      <w:rPr>
        <w:lang w:val="es-ES"/>
      </w:rPr>
      <w:instrText xml:space="preserve"> HYPERLINK "mailto:itumail@itu.int" </w:instrText>
    </w:r>
    <w:r w:rsidR="00BA6DDF">
      <w:fldChar w:fldCharType="separate"/>
    </w:r>
    <w:proofErr w:type="spellStart"/>
    <w:r w:rsidRPr="00B83F72">
      <w:rPr>
        <w:rStyle w:val="Hyperlink"/>
        <w:sz w:val="19"/>
        <w:szCs w:val="19"/>
        <w:lang w:val="es-ES"/>
      </w:rPr>
      <w:t>itumail@itu.int</w:t>
    </w:r>
    <w:proofErr w:type="spellEnd"/>
    <w:r w:rsidR="00BA6DDF">
      <w:rPr>
        <w:rStyle w:val="Hyperlink"/>
        <w:sz w:val="19"/>
        <w:szCs w:val="19"/>
        <w:lang w:val="es-ES"/>
      </w:rPr>
      <w:fldChar w:fldCharType="end"/>
    </w:r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proofErr w:type="spellStart"/>
      <w:r w:rsidRPr="00B83F72">
        <w:rPr>
          <w:rStyle w:val="Hyperlink"/>
          <w:sz w:val="19"/>
          <w:szCs w:val="19"/>
          <w:lang w:val="es-ES"/>
        </w:rPr>
        <w:t>www.itu.int</w:t>
      </w:r>
      <w:proofErr w:type="spellEnd"/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1F61D" w14:textId="77777777" w:rsidR="00AA6F80" w:rsidRDefault="00AA6F80">
      <w:r>
        <w:t>____________________</w:t>
      </w:r>
    </w:p>
  </w:footnote>
  <w:footnote w:type="continuationSeparator" w:id="0">
    <w:p w14:paraId="76D2BE98" w14:textId="77777777" w:rsidR="00AA6F80" w:rsidRDefault="00AA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8F1E" w14:textId="0B509D89" w:rsidR="00E915AF" w:rsidRPr="00D239B4" w:rsidRDefault="00D97EF5" w:rsidP="002623B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3172" w14:textId="536B150D" w:rsidR="00E915AF" w:rsidRPr="002623B1" w:rsidRDefault="002623B1" w:rsidP="002623B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4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C07D41" w14:paraId="11FCBC14" w14:textId="77777777" w:rsidTr="00C07D41">
      <w:tc>
        <w:tcPr>
          <w:tcW w:w="4814" w:type="dxa"/>
          <w:hideMark/>
        </w:tcPr>
        <w:p w14:paraId="4A033257" w14:textId="0340C8B1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7200B126" wp14:editId="4004626D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hideMark/>
        </w:tcPr>
        <w:p w14:paraId="77AF0FC4" w14:textId="79CE6A14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EC86930" wp14:editId="6978543D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9CA284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16485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1D80"/>
    <w:rsid w:val="00134404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23B1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07B7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C50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6199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961"/>
    <w:rsid w:val="005F657C"/>
    <w:rsid w:val="00602D53"/>
    <w:rsid w:val="006047E5"/>
    <w:rsid w:val="0064371D"/>
    <w:rsid w:val="00650543"/>
    <w:rsid w:val="00650B2A"/>
    <w:rsid w:val="00651777"/>
    <w:rsid w:val="006550F8"/>
    <w:rsid w:val="00676620"/>
    <w:rsid w:val="006829F3"/>
    <w:rsid w:val="006A518B"/>
    <w:rsid w:val="006B0590"/>
    <w:rsid w:val="006B49DA"/>
    <w:rsid w:val="006C53F8"/>
    <w:rsid w:val="006C7CDE"/>
    <w:rsid w:val="00707168"/>
    <w:rsid w:val="007234B1"/>
    <w:rsid w:val="00723D08"/>
    <w:rsid w:val="00725FDA"/>
    <w:rsid w:val="00727816"/>
    <w:rsid w:val="00730B9A"/>
    <w:rsid w:val="00736C4E"/>
    <w:rsid w:val="00750CFA"/>
    <w:rsid w:val="007553DA"/>
    <w:rsid w:val="00775DB8"/>
    <w:rsid w:val="00782354"/>
    <w:rsid w:val="007921A7"/>
    <w:rsid w:val="007B3DB1"/>
    <w:rsid w:val="007C154B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440D7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8FD9F4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2623B1"/>
    <w:pPr>
      <w:keepNext/>
      <w:keepLines/>
      <w:spacing w:before="720" w:after="120"/>
      <w:jc w:val="center"/>
    </w:pPr>
    <w:rPr>
      <w:b/>
      <w:sz w:val="28"/>
      <w:lang w:val="es-ES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676620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,超?级链,Style 58,超????,超链接1,하이퍼링크2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23B1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uiPriority w:val="99"/>
    <w:rsid w:val="002623B1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623B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2623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623B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C154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7/es" TargetMode="External"/><Relationship Id="rId13" Type="http://schemas.openxmlformats.org/officeDocument/2006/relationships/hyperlink" Target="https://www.itu.int/md/R19-SG05-C-0152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5-C-0158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-0157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9-SG05-C-0156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155/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CB93-BECA-4748-8B08-7D4A1E7B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1155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7596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ITU-R</cp:lastModifiedBy>
  <cp:revision>6</cp:revision>
  <cp:lastPrinted>2013-03-08T10:15:00Z</cp:lastPrinted>
  <dcterms:created xsi:type="dcterms:W3CDTF">2023-08-10T07:41:00Z</dcterms:created>
  <dcterms:modified xsi:type="dcterms:W3CDTF">2023-08-14T08:45:00Z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