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4413368" w14:textId="77777777" w:rsidTr="00153E23">
        <w:tc>
          <w:tcPr>
            <w:tcW w:w="5000" w:type="pct"/>
            <w:gridSpan w:val="3"/>
            <w:shd w:val="clear" w:color="auto" w:fill="auto"/>
          </w:tcPr>
          <w:p w14:paraId="63950E6F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68579D7A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7CA294C2" w14:textId="77777777" w:rsidTr="00153E23">
        <w:tc>
          <w:tcPr>
            <w:tcW w:w="2707" w:type="pct"/>
            <w:gridSpan w:val="2"/>
            <w:shd w:val="clear" w:color="auto" w:fill="auto"/>
          </w:tcPr>
          <w:p w14:paraId="545DC757" w14:textId="0B54D815" w:rsidR="000F7BBE" w:rsidRPr="00056D80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056D80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2CB5350A" w14:textId="5649F1F3" w:rsidR="000F7BBE" w:rsidRPr="00056D80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56D80">
              <w:rPr>
                <w:b/>
                <w:bCs/>
                <w:position w:val="2"/>
                <w:lang w:val="en-GB" w:bidi="ar-EG"/>
              </w:rPr>
              <w:t>CACE/</w:t>
            </w:r>
            <w:r w:rsidR="00056D80" w:rsidRPr="00056D80">
              <w:rPr>
                <w:b/>
                <w:bCs/>
                <w:position w:val="2"/>
                <w:lang w:val="en-GB" w:bidi="ar-EG"/>
              </w:rPr>
              <w:t>1052</w:t>
            </w:r>
          </w:p>
        </w:tc>
        <w:tc>
          <w:tcPr>
            <w:tcW w:w="2293" w:type="pct"/>
            <w:shd w:val="clear" w:color="auto" w:fill="auto"/>
          </w:tcPr>
          <w:p w14:paraId="3EC091B5" w14:textId="5F0E63B1" w:rsidR="000F7BBE" w:rsidRPr="00056D80" w:rsidRDefault="00056D80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056D80">
              <w:rPr>
                <w:position w:val="2"/>
                <w:lang w:val="fr-FR" w:bidi="ar-EG"/>
              </w:rPr>
              <w:t>20</w:t>
            </w:r>
            <w:r w:rsidR="00F16820" w:rsidRPr="00056D80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056D80">
              <w:rPr>
                <w:rFonts w:hint="cs"/>
                <w:position w:val="2"/>
                <w:rtl/>
                <w:lang w:bidi="ar-SY"/>
              </w:rPr>
              <w:t>فبراير</w:t>
            </w:r>
            <w:r w:rsidR="000F7BBE" w:rsidRPr="00056D80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4C39C6" w:rsidRPr="00056D80">
              <w:rPr>
                <w:position w:val="2"/>
                <w:lang w:bidi="ar-EG"/>
              </w:rPr>
              <w:t>2023</w:t>
            </w:r>
          </w:p>
        </w:tc>
      </w:tr>
      <w:tr w:rsidR="000F7BBE" w:rsidRPr="000F7BBE" w14:paraId="0479203E" w14:textId="77777777" w:rsidTr="00153E23">
        <w:tc>
          <w:tcPr>
            <w:tcW w:w="5000" w:type="pct"/>
            <w:gridSpan w:val="3"/>
            <w:shd w:val="clear" w:color="auto" w:fill="auto"/>
          </w:tcPr>
          <w:p w14:paraId="0431C5AD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79D3EF9" w14:textId="77777777" w:rsidTr="00153E23">
        <w:tc>
          <w:tcPr>
            <w:tcW w:w="5000" w:type="pct"/>
            <w:gridSpan w:val="3"/>
            <w:shd w:val="clear" w:color="auto" w:fill="auto"/>
          </w:tcPr>
          <w:p w14:paraId="35D6AC50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EBE2854" w14:textId="77777777" w:rsidTr="00153E23">
        <w:tc>
          <w:tcPr>
            <w:tcW w:w="5000" w:type="pct"/>
            <w:gridSpan w:val="3"/>
            <w:shd w:val="clear" w:color="auto" w:fill="auto"/>
          </w:tcPr>
          <w:p w14:paraId="36859BFE" w14:textId="26B91C8A" w:rsidR="000F7BBE" w:rsidRPr="000F7BBE" w:rsidRDefault="000C338E" w:rsidP="000C338E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8669FE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</w:t>
            </w:r>
            <w:r w:rsidRPr="008669FE">
              <w:rPr>
                <w:rFonts w:hint="cs"/>
                <w:b/>
                <w:bCs/>
                <w:w w:val="115"/>
                <w:position w:val="2"/>
                <w:rtl/>
              </w:rPr>
              <w:t>الاتحاد</w:t>
            </w:r>
            <w:r w:rsidRPr="008669FE">
              <w:rPr>
                <w:b/>
                <w:bCs/>
                <w:w w:val="115"/>
                <w:position w:val="2"/>
                <w:rtl/>
              </w:rPr>
              <w:t xml:space="preserve"> وأعضاء قطاع الاتصالات الراديوية</w:t>
            </w:r>
            <w:r w:rsidRPr="008669FE">
              <w:rPr>
                <w:rFonts w:hint="cs"/>
                <w:b/>
                <w:bCs/>
                <w:w w:val="115"/>
                <w:position w:val="2"/>
                <w:rtl/>
              </w:rPr>
              <w:t xml:space="preserve"> والمنتسبين</w:t>
            </w:r>
            <w:r w:rsidRPr="008669FE">
              <w:rPr>
                <w:b/>
                <w:bCs/>
                <w:w w:val="115"/>
                <w:position w:val="2"/>
                <w:rtl/>
              </w:rPr>
              <w:t xml:space="preserve"> إليه</w:t>
            </w:r>
            <w:r w:rsidRPr="000C338E">
              <w:rPr>
                <w:b/>
                <w:bCs/>
                <w:position w:val="2"/>
                <w:rtl/>
              </w:rPr>
              <w:br/>
            </w:r>
            <w:r w:rsidRPr="000C338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position w:val="2"/>
                <w:lang w:val="en-GB"/>
              </w:rPr>
              <w:t>5</w:t>
            </w:r>
            <w:r w:rsidRPr="000C338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C338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39602623" w14:textId="77777777" w:rsidTr="00153E23">
        <w:tc>
          <w:tcPr>
            <w:tcW w:w="5000" w:type="pct"/>
            <w:gridSpan w:val="3"/>
            <w:shd w:val="clear" w:color="auto" w:fill="auto"/>
          </w:tcPr>
          <w:p w14:paraId="201DFC2E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FFF27B7" w14:textId="77777777" w:rsidTr="00153E23">
        <w:tc>
          <w:tcPr>
            <w:tcW w:w="5000" w:type="pct"/>
            <w:gridSpan w:val="3"/>
            <w:shd w:val="clear" w:color="auto" w:fill="auto"/>
          </w:tcPr>
          <w:p w14:paraId="38A3D3BF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8F940D4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AA395CE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54B5545A" w14:textId="091FCB8D" w:rsidR="000F7BBE" w:rsidRDefault="00DD7D9B" w:rsidP="00DD7D9B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DD7D9B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>
              <w:rPr>
                <w:b/>
                <w:bCs/>
                <w:position w:val="2"/>
                <w:lang w:bidi="ar-EG"/>
              </w:rPr>
              <w:t>5</w:t>
            </w:r>
            <w:r w:rsidRPr="00DD7D9B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DD7D9B">
              <w:rPr>
                <w:rFonts w:hint="cs"/>
                <w:b/>
                <w:bCs/>
                <w:position w:val="2"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4347DB">
              <w:rPr>
                <w:rFonts w:hint="cs"/>
                <w:b/>
                <w:bCs/>
                <w:position w:val="2"/>
                <w:rtl/>
                <w:lang w:bidi="ar-EG"/>
              </w:rPr>
              <w:t>(خدمات الأرض)</w:t>
            </w:r>
          </w:p>
          <w:p w14:paraId="20E51ECF" w14:textId="06580974" w:rsidR="00DD7D9B" w:rsidRPr="00DD7D9B" w:rsidRDefault="00DD7D9B" w:rsidP="00DD7D9B">
            <w:pPr>
              <w:tabs>
                <w:tab w:val="clear" w:pos="794"/>
                <w:tab w:val="left" w:pos="386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DD7D9B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DD7D9B">
              <w:rPr>
                <w:b/>
                <w:bCs/>
                <w:position w:val="2"/>
                <w:rtl/>
                <w:lang w:bidi="ar-EG"/>
              </w:rPr>
              <w:tab/>
            </w:r>
            <w:r w:rsidRPr="00DD7D9B">
              <w:rPr>
                <w:rFonts w:hint="cs"/>
                <w:b/>
                <w:bCs/>
                <w:position w:val="2"/>
                <w:rtl/>
                <w:lang w:bidi="ar-EG"/>
              </w:rPr>
              <w:t>اعتماد</w:t>
            </w:r>
            <w:r w:rsidR="00C9286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مراجعة</w:t>
            </w:r>
            <w:r w:rsidRPr="00DD7D9B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E3747E">
              <w:rPr>
                <w:b/>
                <w:bCs/>
                <w:position w:val="2"/>
                <w:lang w:bidi="ar-EG"/>
              </w:rPr>
              <w:t>6</w:t>
            </w:r>
            <w:r w:rsidRPr="00DD7D9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توصيات لقطاع الاتصالات الراديوية والموافقة عليها في</w:t>
            </w:r>
            <w:r w:rsidRPr="00DD7D9B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DD7D9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نفس الوقت بالمراسلة وفقاً للفقرة </w:t>
            </w:r>
            <w:r w:rsidRPr="00DD7D9B">
              <w:rPr>
                <w:b/>
                <w:bCs/>
                <w:position w:val="2"/>
                <w:lang w:bidi="ar-EG"/>
              </w:rPr>
              <w:t>4.2.6.A2</w:t>
            </w:r>
            <w:r w:rsidRPr="00DD7D9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من القرار </w:t>
            </w:r>
            <w:r w:rsidRPr="00DD7D9B">
              <w:rPr>
                <w:b/>
                <w:bCs/>
                <w:position w:val="2"/>
                <w:lang w:bidi="ar-EG"/>
              </w:rPr>
              <w:t>ITU</w:t>
            </w:r>
            <w:r w:rsidRPr="00DD7D9B">
              <w:rPr>
                <w:b/>
                <w:bCs/>
                <w:position w:val="2"/>
                <w:lang w:bidi="ar-EG"/>
              </w:rPr>
              <w:noBreakHyphen/>
              <w:t>R 1</w:t>
            </w:r>
            <w:r w:rsidRPr="00DD7D9B">
              <w:rPr>
                <w:b/>
                <w:bCs/>
                <w:position w:val="2"/>
                <w:lang w:bidi="ar-EG"/>
              </w:rPr>
              <w:noBreakHyphen/>
              <w:t>8</w:t>
            </w:r>
            <w:r w:rsidRPr="00DD7D9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(إجراء الاعتماد والموافقة في</w:t>
            </w:r>
            <w:r w:rsidRPr="00DD7D9B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DD7D9B">
              <w:rPr>
                <w:rFonts w:hint="cs"/>
                <w:b/>
                <w:bCs/>
                <w:position w:val="2"/>
                <w:rtl/>
                <w:lang w:bidi="ar-EG"/>
              </w:rPr>
              <w:t>نفس الوقت بالمراسلة)</w:t>
            </w:r>
          </w:p>
          <w:p w14:paraId="70B709A0" w14:textId="47194883" w:rsidR="00DD7D9B" w:rsidRPr="000F7BBE" w:rsidRDefault="00DD7D9B" w:rsidP="00DD7D9B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DD7D9B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DD7D9B">
              <w:rPr>
                <w:rFonts w:hint="cs"/>
                <w:b/>
                <w:bCs/>
                <w:position w:val="2"/>
                <w:rtl/>
                <w:lang w:bidi="ar-EG"/>
              </w:rPr>
              <w:tab/>
              <w:t>إلغاء توصية لقطاع الاتصالات الراديوية</w:t>
            </w:r>
          </w:p>
        </w:tc>
      </w:tr>
      <w:tr w:rsidR="00FC09E8" w:rsidRPr="000F7BBE" w14:paraId="7EFDC62F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D38C8AD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16776F84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068FE0C6" w14:textId="32A84C26" w:rsidR="00B96A82" w:rsidRPr="00B96A82" w:rsidRDefault="00B96A82" w:rsidP="005D5AEE">
      <w:pPr>
        <w:spacing w:before="480"/>
        <w:rPr>
          <w:rtl/>
        </w:rPr>
      </w:pPr>
      <w:r w:rsidRPr="003F3D8B">
        <w:rPr>
          <w:rFonts w:hint="cs"/>
          <w:rtl/>
          <w:lang w:bidi="ar-EG"/>
        </w:rPr>
        <w:t>تم</w:t>
      </w:r>
      <w:r w:rsidRPr="003F3D8B">
        <w:rPr>
          <w:rtl/>
          <w:lang w:bidi="ar-EG"/>
        </w:rPr>
        <w:t xml:space="preserve"> </w:t>
      </w:r>
      <w:r w:rsidRPr="003F3D8B">
        <w:rPr>
          <w:rFonts w:hint="cs"/>
          <w:rtl/>
          <w:lang w:bidi="ar-EG"/>
        </w:rPr>
        <w:t>بموجب</w:t>
      </w:r>
      <w:r w:rsidRPr="003F3D8B">
        <w:rPr>
          <w:rtl/>
          <w:lang w:bidi="ar-EG"/>
        </w:rPr>
        <w:t xml:space="preserve"> </w:t>
      </w:r>
      <w:r w:rsidRPr="003F3D8B">
        <w:rPr>
          <w:rFonts w:hint="cs"/>
          <w:rtl/>
          <w:lang w:bidi="ar-EG"/>
        </w:rPr>
        <w:t>الرسالة</w:t>
      </w:r>
      <w:r w:rsidRPr="003F3D8B">
        <w:rPr>
          <w:rtl/>
          <w:lang w:bidi="ar-EG"/>
        </w:rPr>
        <w:t xml:space="preserve"> الإدارية</w:t>
      </w:r>
      <w:r w:rsidRPr="003F3D8B">
        <w:rPr>
          <w:rFonts w:hint="cs"/>
          <w:rtl/>
          <w:lang w:bidi="ar-EG"/>
        </w:rPr>
        <w:t xml:space="preserve"> المعممة</w:t>
      </w:r>
      <w:r w:rsidRPr="003F3D8B">
        <w:rPr>
          <w:rtl/>
          <w:lang w:bidi="ar-EG"/>
        </w:rPr>
        <w:t xml:space="preserve"> </w:t>
      </w:r>
      <w:hyperlink r:id="rId8" w:history="1">
        <w:r w:rsidRPr="003F3D8B">
          <w:rPr>
            <w:rStyle w:val="Hyperlink"/>
            <w:lang w:val="en-GB"/>
          </w:rPr>
          <w:t>CACE/1045(Rev.1)</w:t>
        </w:r>
      </w:hyperlink>
      <w:r w:rsidRPr="003F3D8B">
        <w:rPr>
          <w:rtl/>
          <w:lang w:bidi="ar-EG"/>
        </w:rPr>
        <w:t xml:space="preserve"> </w:t>
      </w:r>
      <w:r w:rsidRPr="003F3D8B">
        <w:rPr>
          <w:rFonts w:hint="cs"/>
          <w:rtl/>
          <w:lang w:bidi="ar-EG"/>
        </w:rPr>
        <w:t>المؤرخة</w:t>
      </w:r>
      <w:r w:rsidRPr="003F3D8B">
        <w:rPr>
          <w:rtl/>
          <w:lang w:bidi="ar-EG"/>
        </w:rPr>
        <w:t xml:space="preserve"> </w:t>
      </w:r>
      <w:r w:rsidRPr="003F3D8B">
        <w:rPr>
          <w:lang w:bidi="ar-EG"/>
        </w:rPr>
        <w:t>19</w:t>
      </w:r>
      <w:r w:rsidRPr="003F3D8B">
        <w:rPr>
          <w:rFonts w:hint="cs"/>
          <w:rtl/>
          <w:lang w:bidi="ar-EG"/>
        </w:rPr>
        <w:t xml:space="preserve"> ديسمبر </w:t>
      </w:r>
      <w:r w:rsidRPr="003F3D8B">
        <w:rPr>
          <w:lang w:bidi="ar-EG"/>
        </w:rPr>
        <w:t>2022</w:t>
      </w:r>
      <w:r w:rsidRPr="003F3D8B">
        <w:rPr>
          <w:rtl/>
          <w:lang w:bidi="ar-EG"/>
        </w:rPr>
        <w:t xml:space="preserve">، </w:t>
      </w:r>
      <w:r w:rsidRPr="003F3D8B">
        <w:rPr>
          <w:rFonts w:hint="cs"/>
          <w:rtl/>
          <w:lang w:bidi="ar-EG"/>
        </w:rPr>
        <w:t>تقديم</w:t>
      </w:r>
      <w:r w:rsidR="00211DE3" w:rsidRPr="003F3D8B">
        <w:rPr>
          <w:rFonts w:hint="cs"/>
          <w:rtl/>
        </w:rPr>
        <w:t xml:space="preserve"> مشاريع مراجعة</w:t>
      </w:r>
      <w:r w:rsidRPr="003F3D8B">
        <w:rPr>
          <w:rFonts w:hint="cs"/>
          <w:rtl/>
          <w:lang w:bidi="ar-EG"/>
        </w:rPr>
        <w:t xml:space="preserve"> </w:t>
      </w:r>
      <w:r w:rsidR="005D5AEE" w:rsidRPr="003F3D8B">
        <w:rPr>
          <w:lang w:bidi="ar-EG"/>
        </w:rPr>
        <w:t>6</w:t>
      </w:r>
      <w:r w:rsidRPr="003F3D8B">
        <w:rPr>
          <w:rFonts w:hint="cs"/>
          <w:rtl/>
        </w:rPr>
        <w:t xml:space="preserve"> توصيات</w:t>
      </w:r>
      <w:r w:rsidR="005D5AEE" w:rsidRPr="003F3D8B">
        <w:rPr>
          <w:rFonts w:hint="cs"/>
          <w:rtl/>
        </w:rPr>
        <w:t xml:space="preserve"> </w:t>
      </w:r>
      <w:r w:rsidRPr="003F3D8B">
        <w:rPr>
          <w:rFonts w:hint="cs"/>
          <w:rtl/>
          <w:lang w:bidi="ar-EG"/>
        </w:rPr>
        <w:t xml:space="preserve">لقطاع الاتصالات الراديوية </w:t>
      </w:r>
      <w:r w:rsidRPr="003F3D8B">
        <w:rPr>
          <w:rtl/>
          <w:lang w:bidi="ar-EG"/>
        </w:rPr>
        <w:t xml:space="preserve">لاعتمادها </w:t>
      </w:r>
      <w:r w:rsidRPr="003F3D8B">
        <w:rPr>
          <w:rFonts w:hint="cs"/>
          <w:rtl/>
          <w:lang w:bidi="ar-EG"/>
        </w:rPr>
        <w:t>والموافقة</w:t>
      </w:r>
      <w:r w:rsidRPr="003F3D8B">
        <w:rPr>
          <w:rtl/>
          <w:lang w:bidi="ar-EG"/>
        </w:rPr>
        <w:t xml:space="preserve"> عليها في نفس الوقت عن طريق </w:t>
      </w:r>
      <w:r w:rsidRPr="003F3D8B">
        <w:rPr>
          <w:rFonts w:hint="cs"/>
          <w:rtl/>
          <w:lang w:bidi="ar-EG"/>
        </w:rPr>
        <w:t xml:space="preserve">المراسلة </w:t>
      </w:r>
      <w:r w:rsidRPr="003F3D8B">
        <w:rPr>
          <w:lang w:bidi="ar-EG"/>
        </w:rPr>
        <w:t>(PSAA)</w:t>
      </w:r>
      <w:r w:rsidRPr="003F3D8B">
        <w:rPr>
          <w:rtl/>
          <w:lang w:bidi="ar-EG"/>
        </w:rPr>
        <w:t xml:space="preserve"> وفقاً للإجراء </w:t>
      </w:r>
      <w:r w:rsidRPr="003F3D8B">
        <w:rPr>
          <w:rFonts w:hint="cs"/>
          <w:rtl/>
          <w:lang w:bidi="ar-EG"/>
        </w:rPr>
        <w:t>المنصوص</w:t>
      </w:r>
      <w:r w:rsidRPr="003F3D8B">
        <w:rPr>
          <w:rtl/>
          <w:lang w:bidi="ar-EG"/>
        </w:rPr>
        <w:t xml:space="preserve"> عليه في</w:t>
      </w:r>
      <w:r w:rsidRPr="003F3D8B">
        <w:rPr>
          <w:rFonts w:hint="cs"/>
          <w:rtl/>
          <w:lang w:bidi="ar-EG"/>
        </w:rPr>
        <w:t> </w:t>
      </w:r>
      <w:r w:rsidRPr="003F3D8B">
        <w:rPr>
          <w:rtl/>
          <w:lang w:bidi="ar-EG"/>
        </w:rPr>
        <w:t>القرار</w:t>
      </w:r>
      <w:r w:rsidRPr="003F3D8B">
        <w:rPr>
          <w:rFonts w:hint="cs"/>
          <w:rtl/>
          <w:lang w:bidi="ar-EG"/>
        </w:rPr>
        <w:t> </w:t>
      </w:r>
      <w:r w:rsidRPr="003F3D8B">
        <w:rPr>
          <w:lang w:bidi="ar-EG"/>
        </w:rPr>
        <w:t>ITU</w:t>
      </w:r>
      <w:r w:rsidRPr="003F3D8B">
        <w:rPr>
          <w:lang w:bidi="ar-EG"/>
        </w:rPr>
        <w:sym w:font="Symbol" w:char="F02D"/>
      </w:r>
      <w:r w:rsidRPr="003F3D8B">
        <w:rPr>
          <w:lang w:bidi="ar-EG"/>
        </w:rPr>
        <w:t>R 1</w:t>
      </w:r>
      <w:r w:rsidRPr="003F3D8B">
        <w:rPr>
          <w:lang w:bidi="ar-EG"/>
        </w:rPr>
        <w:noBreakHyphen/>
        <w:t>8</w:t>
      </w:r>
      <w:r w:rsidRPr="003F3D8B">
        <w:rPr>
          <w:rtl/>
          <w:lang w:bidi="ar-EG"/>
        </w:rPr>
        <w:t xml:space="preserve"> (الفقرة </w:t>
      </w:r>
      <w:r w:rsidRPr="003F3D8B">
        <w:rPr>
          <w:lang w:bidi="ar-EG"/>
        </w:rPr>
        <w:t>4.2.6.A2</w:t>
      </w:r>
      <w:r w:rsidRPr="003F3D8B">
        <w:rPr>
          <w:rtl/>
          <w:lang w:bidi="ar-EG"/>
        </w:rPr>
        <w:t>).</w:t>
      </w:r>
      <w:r w:rsidRPr="003F3D8B">
        <w:rPr>
          <w:rFonts w:hint="cs"/>
          <w:rtl/>
          <w:lang w:bidi="ar-EG"/>
        </w:rPr>
        <w:t xml:space="preserve"> </w:t>
      </w:r>
      <w:r w:rsidR="00211DE3" w:rsidRPr="003F3D8B">
        <w:rPr>
          <w:rFonts w:hint="cs"/>
          <w:rtl/>
        </w:rPr>
        <w:t>وإضافةً إلى ذلك،</w:t>
      </w:r>
      <w:r w:rsidRPr="003F3D8B">
        <w:rPr>
          <w:rFonts w:hint="cs"/>
          <w:rtl/>
          <w:lang w:bidi="ar-EG"/>
        </w:rPr>
        <w:t> اقترحت لجنة الدراسات إلغاء توصية </w:t>
      </w:r>
      <w:r w:rsidRPr="003F3D8B">
        <w:rPr>
          <w:rFonts w:hint="cs"/>
          <w:rtl/>
        </w:rPr>
        <w:t>للقطاع.</w:t>
      </w:r>
    </w:p>
    <w:p w14:paraId="58AEB909" w14:textId="2F1C4DD4" w:rsidR="00B96A82" w:rsidRPr="00B96A82" w:rsidRDefault="00B96A82" w:rsidP="00B96A82">
      <w:pPr>
        <w:rPr>
          <w:rtl/>
          <w:lang w:bidi="ar-EG"/>
        </w:rPr>
      </w:pPr>
      <w:r w:rsidRPr="00B96A82">
        <w:rPr>
          <w:rtl/>
          <w:lang w:bidi="ar-EG"/>
        </w:rPr>
        <w:t xml:space="preserve">وقد استوفيت الشروط </w:t>
      </w:r>
      <w:r w:rsidRPr="00B96A82">
        <w:rPr>
          <w:rFonts w:hint="cs"/>
          <w:rtl/>
          <w:lang w:bidi="ar-EG"/>
        </w:rPr>
        <w:t xml:space="preserve">التي تحكم هذا </w:t>
      </w:r>
      <w:r w:rsidRPr="00B96A82">
        <w:rPr>
          <w:rtl/>
          <w:lang w:bidi="ar-EG"/>
        </w:rPr>
        <w:t xml:space="preserve">الإجراء في </w:t>
      </w:r>
      <w:r w:rsidR="00927424">
        <w:rPr>
          <w:lang w:bidi="ar-EG"/>
        </w:rPr>
        <w:t>14</w:t>
      </w:r>
      <w:r w:rsidRPr="00B96A82">
        <w:rPr>
          <w:rFonts w:hint="cs"/>
          <w:rtl/>
          <w:lang w:bidi="ar-EG"/>
        </w:rPr>
        <w:t xml:space="preserve"> </w:t>
      </w:r>
      <w:r w:rsidR="00927424">
        <w:rPr>
          <w:rFonts w:hint="cs"/>
          <w:rtl/>
          <w:lang w:bidi="ar-EG"/>
        </w:rPr>
        <w:t>فبراير</w:t>
      </w:r>
      <w:r w:rsidRPr="00B96A82">
        <w:rPr>
          <w:rFonts w:hint="cs"/>
          <w:rtl/>
          <w:lang w:bidi="ar-EG"/>
        </w:rPr>
        <w:t xml:space="preserve"> </w:t>
      </w:r>
      <w:r w:rsidR="00927424">
        <w:rPr>
          <w:lang w:bidi="ar-EG"/>
        </w:rPr>
        <w:t>2023</w:t>
      </w:r>
      <w:r w:rsidRPr="00B96A82">
        <w:rPr>
          <w:rFonts w:hint="cs"/>
          <w:rtl/>
          <w:lang w:bidi="ar-EG"/>
        </w:rPr>
        <w:t>.</w:t>
      </w:r>
    </w:p>
    <w:p w14:paraId="41FD7572" w14:textId="7D7E1103" w:rsidR="00B96A82" w:rsidRPr="00B96A82" w:rsidRDefault="00B96A82" w:rsidP="00B96A82">
      <w:pPr>
        <w:rPr>
          <w:rtl/>
        </w:rPr>
      </w:pPr>
      <w:r w:rsidRPr="00B96A82">
        <w:rPr>
          <w:rtl/>
          <w:lang w:bidi="ar-EG"/>
        </w:rPr>
        <w:t xml:space="preserve">وسينشر </w:t>
      </w:r>
      <w:r w:rsidRPr="00B96A82">
        <w:rPr>
          <w:rFonts w:hint="cs"/>
          <w:rtl/>
          <w:lang w:bidi="ar-EG"/>
        </w:rPr>
        <w:t>الاتحاد</w:t>
      </w:r>
      <w:r w:rsidRPr="00B96A82">
        <w:rPr>
          <w:rtl/>
          <w:lang w:bidi="ar-EG"/>
        </w:rPr>
        <w:t xml:space="preserve"> </w:t>
      </w:r>
      <w:r w:rsidRPr="00B96A82">
        <w:rPr>
          <w:rFonts w:hint="cs"/>
          <w:rtl/>
          <w:lang w:bidi="ar-EG"/>
        </w:rPr>
        <w:t>التوصيات الموافَق</w:t>
      </w:r>
      <w:r w:rsidRPr="00B96A82">
        <w:rPr>
          <w:rtl/>
          <w:lang w:bidi="ar-EG"/>
        </w:rPr>
        <w:t xml:space="preserve"> عليها، ويتضمن </w:t>
      </w:r>
      <w:r w:rsidRPr="00B96A82">
        <w:rPr>
          <w:rFonts w:hint="cs"/>
          <w:rtl/>
          <w:lang w:bidi="ar-EG"/>
        </w:rPr>
        <w:t>الملحق </w:t>
      </w:r>
      <w:r w:rsidRPr="00B96A82">
        <w:rPr>
          <w:rFonts w:hint="cs"/>
          <w:rtl/>
        </w:rPr>
        <w:t>1</w:t>
      </w:r>
      <w:r w:rsidRPr="00B96A82">
        <w:rPr>
          <w:rtl/>
          <w:lang w:bidi="ar-EG"/>
        </w:rPr>
        <w:t xml:space="preserve"> </w:t>
      </w:r>
      <w:r w:rsidRPr="00B96A82">
        <w:rPr>
          <w:rFonts w:hint="cs"/>
          <w:rtl/>
          <w:lang w:bidi="ar-EG"/>
        </w:rPr>
        <w:t>ب</w:t>
      </w:r>
      <w:r w:rsidRPr="00B96A82">
        <w:rPr>
          <w:rtl/>
          <w:lang w:bidi="ar-EG"/>
        </w:rPr>
        <w:t xml:space="preserve">هذه </w:t>
      </w:r>
      <w:r w:rsidRPr="00B96A82">
        <w:rPr>
          <w:rFonts w:hint="cs"/>
          <w:rtl/>
          <w:lang w:bidi="ar-EG"/>
        </w:rPr>
        <w:t xml:space="preserve">الرسالة المعممة عناوين هذه التوصيات </w:t>
      </w:r>
      <w:r w:rsidR="00211DE3" w:rsidRPr="006139AC">
        <w:rPr>
          <w:rFonts w:hint="cs"/>
          <w:rtl/>
          <w:lang w:bidi="ar-EG"/>
        </w:rPr>
        <w:t>و</w:t>
      </w:r>
      <w:r w:rsidRPr="006139AC">
        <w:rPr>
          <w:rFonts w:hint="cs"/>
          <w:rtl/>
          <w:lang w:bidi="ar-EG"/>
        </w:rPr>
        <w:t>الأرقام</w:t>
      </w:r>
      <w:r w:rsidRPr="00B96A82">
        <w:rPr>
          <w:rFonts w:hint="cs"/>
          <w:rtl/>
          <w:lang w:bidi="ar-EG"/>
        </w:rPr>
        <w:t xml:space="preserve"> المخصصة</w:t>
      </w:r>
      <w:r w:rsidR="00D81C96">
        <w:rPr>
          <w:rFonts w:hint="cs"/>
          <w:rtl/>
          <w:lang w:bidi="ar-EG"/>
        </w:rPr>
        <w:t> </w:t>
      </w:r>
      <w:r w:rsidRPr="00B96A82">
        <w:rPr>
          <w:rtl/>
          <w:lang w:bidi="ar-EG"/>
        </w:rPr>
        <w:t>لها.</w:t>
      </w:r>
      <w:r w:rsidRPr="00B96A82">
        <w:rPr>
          <w:rFonts w:hint="cs"/>
          <w:rtl/>
          <w:lang w:bidi="ar-EG"/>
        </w:rPr>
        <w:t xml:space="preserve"> ويبين الملحق </w:t>
      </w:r>
      <w:r w:rsidRPr="00B96A82">
        <w:rPr>
          <w:lang w:bidi="ar-EG"/>
        </w:rPr>
        <w:t>2</w:t>
      </w:r>
      <w:r w:rsidRPr="00B96A82">
        <w:rPr>
          <w:rFonts w:hint="cs"/>
          <w:rtl/>
        </w:rPr>
        <w:t xml:space="preserve"> التوصية الملغاة.</w:t>
      </w:r>
    </w:p>
    <w:p w14:paraId="34535745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7C47BD71" w14:textId="74980D6A" w:rsidR="00F16820" w:rsidRDefault="00F16820" w:rsidP="0086352D">
      <w:pPr>
        <w:spacing w:before="120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0847981E" w14:textId="0F4FD198" w:rsidR="003C6478" w:rsidRDefault="006B4D43" w:rsidP="0086352D">
      <w:pPr>
        <w:spacing w:before="1680"/>
        <w:jc w:val="left"/>
        <w:rPr>
          <w:lang w:bidi="ar-EG"/>
        </w:rPr>
      </w:pPr>
      <w:r w:rsidRPr="006B4D43">
        <w:rPr>
          <w:rFonts w:hint="cs"/>
          <w:b/>
          <w:bCs/>
          <w:rtl/>
        </w:rPr>
        <w:t>الملحقات:</w:t>
      </w:r>
      <w:r>
        <w:rPr>
          <w:rFonts w:hint="cs"/>
          <w:rtl/>
        </w:rPr>
        <w:t xml:space="preserve"> </w:t>
      </w:r>
      <w:r>
        <w:t>2</w:t>
      </w:r>
    </w:p>
    <w:p w14:paraId="673B8DE9" w14:textId="77777777" w:rsidR="00FC09E8" w:rsidRDefault="00FC09E8" w:rsidP="006B4D43">
      <w:pPr>
        <w:rPr>
          <w:rtl/>
        </w:rPr>
      </w:pPr>
      <w:r>
        <w:rPr>
          <w:rtl/>
        </w:rPr>
        <w:br w:type="page"/>
      </w:r>
    </w:p>
    <w:p w14:paraId="2241D9FE" w14:textId="0B3E6514" w:rsidR="006B4D43" w:rsidRPr="00EA53F4" w:rsidRDefault="006B4D43" w:rsidP="006B4D43">
      <w:pPr>
        <w:pStyle w:val="AnnexNotitle"/>
        <w:rPr>
          <w:rtl/>
        </w:rPr>
      </w:pPr>
      <w:r w:rsidRPr="00EC5440">
        <w:rPr>
          <w:rFonts w:hint="cs"/>
          <w:rtl/>
        </w:rPr>
        <w:lastRenderedPageBreak/>
        <w:t xml:space="preserve">الملحق </w:t>
      </w:r>
      <w:r w:rsidRPr="00EC5440">
        <w:rPr>
          <w:lang w:val="en-GB" w:bidi="ar-SA"/>
        </w:rPr>
        <w:t>1</w:t>
      </w:r>
      <w:r w:rsidRPr="00EC5440">
        <w:rPr>
          <w:rtl/>
        </w:rPr>
        <w:br/>
      </w:r>
      <w:r w:rsidRPr="00EC5440">
        <w:rPr>
          <w:rtl/>
        </w:rPr>
        <w:br/>
      </w:r>
      <w:r w:rsidRPr="00EC5440">
        <w:rPr>
          <w:rFonts w:hint="cs"/>
          <w:rtl/>
        </w:rPr>
        <w:t>عناوين توصيات قطاع الاتصالات الراديوية</w:t>
      </w:r>
      <w:r w:rsidRPr="00EC5440">
        <w:rPr>
          <w:rtl/>
        </w:rPr>
        <w:t xml:space="preserve"> </w:t>
      </w:r>
      <w:r w:rsidRPr="00EC5440">
        <w:rPr>
          <w:rFonts w:hint="eastAsia"/>
          <w:rtl/>
        </w:rPr>
        <w:t>المواف</w:t>
      </w:r>
      <w:r w:rsidRPr="00EC5440">
        <w:rPr>
          <w:rFonts w:hint="cs"/>
          <w:rtl/>
        </w:rPr>
        <w:t>َ</w:t>
      </w:r>
      <w:r w:rsidRPr="00EC5440">
        <w:rPr>
          <w:rFonts w:hint="eastAsia"/>
          <w:rtl/>
        </w:rPr>
        <w:t>ق</w:t>
      </w:r>
      <w:r w:rsidRPr="00EC5440">
        <w:rPr>
          <w:rtl/>
        </w:rPr>
        <w:t xml:space="preserve"> </w:t>
      </w:r>
      <w:r w:rsidRPr="00EC5440">
        <w:rPr>
          <w:rFonts w:hint="eastAsia"/>
          <w:rtl/>
        </w:rPr>
        <w:t>عليها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5812"/>
        <w:gridCol w:w="1835"/>
      </w:tblGrid>
      <w:tr w:rsidR="004E46A6" w:rsidRPr="00065A06" w14:paraId="090B31E9" w14:textId="77777777" w:rsidTr="00410282">
        <w:trPr>
          <w:jc w:val="center"/>
        </w:trPr>
        <w:tc>
          <w:tcPr>
            <w:tcW w:w="1982" w:type="dxa"/>
            <w:vAlign w:val="center"/>
          </w:tcPr>
          <w:p w14:paraId="518286F1" w14:textId="77777777" w:rsidR="004E46A6" w:rsidRPr="00C83ED0" w:rsidRDefault="004E46A6" w:rsidP="00410282">
            <w:pPr>
              <w:pStyle w:val="TableHead"/>
              <w:rPr>
                <w:rtl/>
                <w:lang w:bidi="ar-EG"/>
              </w:rPr>
            </w:pPr>
            <w:r w:rsidRPr="00C83ED0">
              <w:rPr>
                <w:rFonts w:hint="cs"/>
                <w:rtl/>
              </w:rPr>
              <w:t xml:space="preserve">توصية قطاع الاتصالات الراديوية </w:t>
            </w:r>
            <w:r w:rsidRPr="00C83ED0">
              <w:t>(ITU-R)</w:t>
            </w:r>
          </w:p>
        </w:tc>
        <w:tc>
          <w:tcPr>
            <w:tcW w:w="5812" w:type="dxa"/>
            <w:vAlign w:val="center"/>
          </w:tcPr>
          <w:p w14:paraId="177FA877" w14:textId="77777777" w:rsidR="004E46A6" w:rsidRPr="00C83ED0" w:rsidRDefault="004E46A6" w:rsidP="00410282">
            <w:pPr>
              <w:pStyle w:val="TableHead"/>
              <w:rPr>
                <w:rtl/>
              </w:rPr>
            </w:pPr>
            <w:r w:rsidRPr="00C83ED0">
              <w:rPr>
                <w:rFonts w:hint="cs"/>
                <w:rtl/>
              </w:rPr>
              <w:t>العنوان</w:t>
            </w:r>
          </w:p>
        </w:tc>
        <w:tc>
          <w:tcPr>
            <w:tcW w:w="1835" w:type="dxa"/>
            <w:vAlign w:val="center"/>
          </w:tcPr>
          <w:p w14:paraId="176E99B3" w14:textId="77777777" w:rsidR="004E46A6" w:rsidRPr="00C83ED0" w:rsidRDefault="004E46A6" w:rsidP="00410282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83ED0">
              <w:rPr>
                <w:rFonts w:hint="cs"/>
                <w:b/>
                <w:bCs/>
                <w:sz w:val="20"/>
                <w:szCs w:val="20"/>
                <w:rtl/>
              </w:rPr>
              <w:t>رقم الوثيقة</w:t>
            </w:r>
          </w:p>
        </w:tc>
      </w:tr>
      <w:tr w:rsidR="004E46A6" w:rsidRPr="00065A06" w14:paraId="00F2356C" w14:textId="77777777" w:rsidTr="00410282">
        <w:trPr>
          <w:jc w:val="center"/>
        </w:trPr>
        <w:tc>
          <w:tcPr>
            <w:tcW w:w="1982" w:type="dxa"/>
          </w:tcPr>
          <w:p w14:paraId="0D866EDF" w14:textId="7326FA87" w:rsidR="004E46A6" w:rsidRPr="00C83ED0" w:rsidRDefault="004E46A6" w:rsidP="004E46A6">
            <w:pPr>
              <w:pStyle w:val="Tabletexte"/>
              <w:jc w:val="center"/>
              <w:rPr>
                <w:rtl/>
                <w:lang w:bidi="ar-EG"/>
              </w:rPr>
            </w:pPr>
            <w:r w:rsidRPr="00C83ED0">
              <w:rPr>
                <w:lang w:val="en-GB"/>
              </w:rPr>
              <w:t>M.1849-3</w:t>
            </w:r>
          </w:p>
        </w:tc>
        <w:tc>
          <w:tcPr>
            <w:tcW w:w="5812" w:type="dxa"/>
          </w:tcPr>
          <w:p w14:paraId="79580F77" w14:textId="4D5604F6" w:rsidR="004E46A6" w:rsidRPr="00C83ED0" w:rsidRDefault="005D5D7B" w:rsidP="005D5D7B">
            <w:pPr>
              <w:pStyle w:val="Tabletexte"/>
              <w:rPr>
                <w:rtl/>
              </w:rPr>
            </w:pPr>
            <w:r w:rsidRPr="00C83ED0">
              <w:rPr>
                <w:rtl/>
                <w:lang w:bidi="ar-SA"/>
              </w:rPr>
              <w:t>الجوانب التقنية والتشغيلية لرادارات الأرصاد</w:t>
            </w:r>
            <w:r w:rsidRPr="00C83ED0">
              <w:rPr>
                <w:rFonts w:hint="cs"/>
                <w:rtl/>
                <w:lang w:bidi="ar-SA"/>
              </w:rPr>
              <w:t xml:space="preserve"> ا</w:t>
            </w:r>
            <w:r w:rsidRPr="00C83ED0">
              <w:rPr>
                <w:rtl/>
                <w:lang w:bidi="ar-SA"/>
              </w:rPr>
              <w:t>لجوية المنصوبة على الأرض</w:t>
            </w:r>
          </w:p>
        </w:tc>
        <w:tc>
          <w:tcPr>
            <w:tcW w:w="1835" w:type="dxa"/>
          </w:tcPr>
          <w:p w14:paraId="425639BF" w14:textId="1FA33CA3" w:rsidR="004E46A6" w:rsidRPr="00C83ED0" w:rsidRDefault="004E46A6" w:rsidP="00C83ED0">
            <w:pPr>
              <w:pStyle w:val="Tabletexte"/>
              <w:jc w:val="center"/>
              <w:rPr>
                <w:rtl/>
              </w:rPr>
            </w:pPr>
            <w:r w:rsidRPr="00C83ED0">
              <w:rPr>
                <w:lang w:val="en-GB"/>
              </w:rPr>
              <w:t>5/98(Rev.1)</w:t>
            </w:r>
          </w:p>
        </w:tc>
      </w:tr>
      <w:tr w:rsidR="004E46A6" w:rsidRPr="00065A06" w14:paraId="28EDF1B0" w14:textId="77777777" w:rsidTr="00410282">
        <w:trPr>
          <w:jc w:val="center"/>
        </w:trPr>
        <w:tc>
          <w:tcPr>
            <w:tcW w:w="1982" w:type="dxa"/>
          </w:tcPr>
          <w:p w14:paraId="66F82C53" w14:textId="72BC9451" w:rsidR="004E46A6" w:rsidRPr="00C83ED0" w:rsidRDefault="004E46A6" w:rsidP="004E46A6">
            <w:pPr>
              <w:pStyle w:val="Tabletexte"/>
              <w:jc w:val="center"/>
            </w:pPr>
            <w:r w:rsidRPr="00C83ED0">
              <w:rPr>
                <w:lang w:val="en-GB"/>
              </w:rPr>
              <w:t>M.1732-3</w:t>
            </w:r>
          </w:p>
        </w:tc>
        <w:tc>
          <w:tcPr>
            <w:tcW w:w="5812" w:type="dxa"/>
          </w:tcPr>
          <w:p w14:paraId="59C95FEB" w14:textId="3D30DE74" w:rsidR="004E46A6" w:rsidRPr="00E5037F" w:rsidRDefault="005D5D7B" w:rsidP="005D5D7B">
            <w:pPr>
              <w:pStyle w:val="Tabletexte"/>
              <w:rPr>
                <w:rtl/>
              </w:rPr>
            </w:pPr>
            <w:bookmarkStart w:id="0" w:name="_Toc496783653"/>
            <w:r w:rsidRPr="00E5037F">
              <w:rPr>
                <w:rFonts w:hint="cs"/>
                <w:rtl/>
                <w:lang w:bidi="ar-SA"/>
              </w:rPr>
              <w:t>خصائص الأنظمة العاملة في خدمة الهواة وخدمة الهواة الساتلية</w:t>
            </w:r>
            <w:r w:rsidR="00A60F98" w:rsidRPr="00E5037F">
              <w:rPr>
                <w:rFonts w:hint="cs"/>
                <w:rtl/>
                <w:lang w:bidi="ar-EG"/>
              </w:rPr>
              <w:t xml:space="preserve"> </w:t>
            </w:r>
            <w:r w:rsidRPr="00E5037F">
              <w:rPr>
                <w:rFonts w:hint="cs"/>
                <w:rtl/>
                <w:lang w:bidi="ar-SA"/>
              </w:rPr>
              <w:t>لأغراض</w:t>
            </w:r>
            <w:r w:rsidR="00211DE3" w:rsidRPr="00E5037F">
              <w:rPr>
                <w:rFonts w:hint="cs"/>
                <w:rtl/>
                <w:lang w:bidi="ar-SA"/>
              </w:rPr>
              <w:t xml:space="preserve"> استعمالها في</w:t>
            </w:r>
            <w:r w:rsidRPr="00E5037F">
              <w:rPr>
                <w:rFonts w:hint="cs"/>
                <w:rtl/>
                <w:lang w:bidi="ar-SA"/>
              </w:rPr>
              <w:t xml:space="preserve"> دراسات التقاسم</w:t>
            </w:r>
            <w:bookmarkEnd w:id="0"/>
          </w:p>
        </w:tc>
        <w:tc>
          <w:tcPr>
            <w:tcW w:w="1835" w:type="dxa"/>
          </w:tcPr>
          <w:p w14:paraId="1D7191AA" w14:textId="2ECDCA27" w:rsidR="004E46A6" w:rsidRPr="00C83ED0" w:rsidRDefault="004E46A6" w:rsidP="00C83ED0">
            <w:pPr>
              <w:pStyle w:val="Tabletexte"/>
              <w:jc w:val="center"/>
              <w:rPr>
                <w:lang w:val="en-GB"/>
              </w:rPr>
            </w:pPr>
            <w:r w:rsidRPr="00C83ED0">
              <w:rPr>
                <w:lang w:val="en-GB"/>
              </w:rPr>
              <w:t>5/101(Rev.1)</w:t>
            </w:r>
          </w:p>
        </w:tc>
      </w:tr>
      <w:tr w:rsidR="004E46A6" w:rsidRPr="00065A06" w14:paraId="49B6B005" w14:textId="77777777" w:rsidTr="00410282">
        <w:trPr>
          <w:jc w:val="center"/>
        </w:trPr>
        <w:tc>
          <w:tcPr>
            <w:tcW w:w="1982" w:type="dxa"/>
          </w:tcPr>
          <w:p w14:paraId="265312F3" w14:textId="65BF2509" w:rsidR="004E46A6" w:rsidRPr="00C83ED0" w:rsidRDefault="004E46A6" w:rsidP="004E46A6">
            <w:pPr>
              <w:pStyle w:val="Tabletexte"/>
              <w:jc w:val="center"/>
            </w:pPr>
            <w:r w:rsidRPr="00C83ED0">
              <w:rPr>
                <w:lang w:val="en-GB"/>
              </w:rPr>
              <w:t>M.2010-2</w:t>
            </w:r>
          </w:p>
        </w:tc>
        <w:tc>
          <w:tcPr>
            <w:tcW w:w="5812" w:type="dxa"/>
          </w:tcPr>
          <w:p w14:paraId="5C0AC62C" w14:textId="647E405E" w:rsidR="004E46A6" w:rsidRPr="00C83ED0" w:rsidRDefault="005D5D7B" w:rsidP="005D5D7B">
            <w:pPr>
              <w:pStyle w:val="Tabletexte"/>
              <w:rPr>
                <w:rtl/>
              </w:rPr>
            </w:pPr>
            <w:r w:rsidRPr="00C83ED0">
              <w:rPr>
                <w:rFonts w:hint="cs"/>
                <w:rtl/>
                <w:lang w:bidi="ar-SA"/>
              </w:rPr>
              <w:t>خصائص نظام رقمي يشار إليه باسم نظام بيانات الملاحة لإذاعة المعلومات</w:t>
            </w:r>
            <w:r w:rsidR="00A60F98">
              <w:rPr>
                <w:rFonts w:hint="cs"/>
                <w:rtl/>
                <w:lang w:bidi="ar-SA"/>
              </w:rPr>
              <w:t xml:space="preserve"> </w:t>
            </w:r>
            <w:r w:rsidRPr="00C83ED0">
              <w:rPr>
                <w:rFonts w:hint="cs"/>
                <w:rtl/>
                <w:lang w:bidi="ar-SA"/>
              </w:rPr>
              <w:t xml:space="preserve">المتعلقة بالسلامة البحرية والأمن من الساحل إلى السفن في النطاق </w:t>
            </w:r>
            <w:r w:rsidRPr="00C83ED0">
              <w:t>kHz 500</w:t>
            </w:r>
          </w:p>
        </w:tc>
        <w:tc>
          <w:tcPr>
            <w:tcW w:w="1835" w:type="dxa"/>
          </w:tcPr>
          <w:p w14:paraId="24617448" w14:textId="20A172DC" w:rsidR="004E46A6" w:rsidRPr="00C83ED0" w:rsidRDefault="004E46A6" w:rsidP="00C83ED0">
            <w:pPr>
              <w:pStyle w:val="Tabletexte"/>
              <w:jc w:val="center"/>
              <w:rPr>
                <w:lang w:val="en-GB"/>
              </w:rPr>
            </w:pPr>
            <w:r w:rsidRPr="00C83ED0">
              <w:rPr>
                <w:lang w:val="en-GB"/>
              </w:rPr>
              <w:t>5/104(Rev.1)</w:t>
            </w:r>
          </w:p>
        </w:tc>
      </w:tr>
      <w:tr w:rsidR="004E46A6" w:rsidRPr="00065A06" w14:paraId="03854E71" w14:textId="77777777" w:rsidTr="00410282">
        <w:trPr>
          <w:jc w:val="center"/>
        </w:trPr>
        <w:tc>
          <w:tcPr>
            <w:tcW w:w="1982" w:type="dxa"/>
          </w:tcPr>
          <w:p w14:paraId="7758044D" w14:textId="267789DA" w:rsidR="004E46A6" w:rsidRPr="00C83ED0" w:rsidRDefault="004E46A6" w:rsidP="004E46A6">
            <w:pPr>
              <w:pStyle w:val="Tabletexte"/>
              <w:jc w:val="center"/>
            </w:pPr>
            <w:r w:rsidRPr="00C83ED0">
              <w:rPr>
                <w:lang w:val="en-GB"/>
              </w:rPr>
              <w:t>M.2135-1</w:t>
            </w:r>
          </w:p>
        </w:tc>
        <w:tc>
          <w:tcPr>
            <w:tcW w:w="5812" w:type="dxa"/>
          </w:tcPr>
          <w:p w14:paraId="06A9E334" w14:textId="3A6AD3B8" w:rsidR="004E46A6" w:rsidRPr="00C83ED0" w:rsidRDefault="005D5D7B" w:rsidP="005D5D7B">
            <w:pPr>
              <w:pStyle w:val="Tabletexte"/>
              <w:rPr>
                <w:rtl/>
              </w:rPr>
            </w:pPr>
            <w:r w:rsidRPr="00C83ED0">
              <w:rPr>
                <w:rFonts w:hint="cs"/>
                <w:rtl/>
                <w:lang w:bidi="ar-SA"/>
              </w:rPr>
              <w:t xml:space="preserve">الخصائص التقنية والتشغيلية للأجهزة الراديوية البحرية المستقلة </w:t>
            </w:r>
            <w:r w:rsidRPr="00C83ED0">
              <w:rPr>
                <w:rFonts w:hint="eastAsia"/>
                <w:rtl/>
                <w:lang w:bidi="ar-SA"/>
              </w:rPr>
              <w:t>العاملة</w:t>
            </w:r>
            <w:r w:rsidRPr="00C83ED0">
              <w:rPr>
                <w:rtl/>
                <w:lang w:bidi="ar-SA"/>
              </w:rPr>
              <w:t xml:space="preserve"> في</w:t>
            </w:r>
            <w:r w:rsidR="00185FB7">
              <w:rPr>
                <w:rFonts w:hint="cs"/>
                <w:rtl/>
                <w:lang w:bidi="ar-SA"/>
              </w:rPr>
              <w:t> </w:t>
            </w:r>
            <w:r w:rsidRPr="00C83ED0">
              <w:rPr>
                <w:rtl/>
                <w:lang w:bidi="ar-SA"/>
              </w:rPr>
              <w:t>نطاق</w:t>
            </w:r>
            <w:r w:rsidRPr="00C83ED0">
              <w:rPr>
                <w:rFonts w:hint="cs"/>
                <w:rtl/>
                <w:lang w:bidi="ar-SA"/>
              </w:rPr>
              <w:t xml:space="preserve"> التردد</w:t>
            </w:r>
            <w:r w:rsidRPr="00C83ED0">
              <w:rPr>
                <w:rtl/>
                <w:lang w:bidi="ar-SA"/>
              </w:rPr>
              <w:t xml:space="preserve"> </w:t>
            </w:r>
            <w:r w:rsidRPr="00C83ED0">
              <w:t>MHz 162,05-156</w:t>
            </w:r>
          </w:p>
        </w:tc>
        <w:tc>
          <w:tcPr>
            <w:tcW w:w="1835" w:type="dxa"/>
          </w:tcPr>
          <w:p w14:paraId="3E7E04A7" w14:textId="507CF3E7" w:rsidR="004E46A6" w:rsidRPr="00C83ED0" w:rsidRDefault="004E46A6" w:rsidP="00C83ED0">
            <w:pPr>
              <w:pStyle w:val="Tabletexte"/>
              <w:jc w:val="center"/>
              <w:rPr>
                <w:lang w:val="en-GB"/>
              </w:rPr>
            </w:pPr>
            <w:r w:rsidRPr="00C83ED0">
              <w:rPr>
                <w:lang w:val="en-GB"/>
              </w:rPr>
              <w:t>5/107</w:t>
            </w:r>
          </w:p>
        </w:tc>
      </w:tr>
      <w:tr w:rsidR="004E46A6" w:rsidRPr="00065A06" w14:paraId="42B00D77" w14:textId="77777777" w:rsidTr="00410282">
        <w:trPr>
          <w:jc w:val="center"/>
        </w:trPr>
        <w:tc>
          <w:tcPr>
            <w:tcW w:w="1982" w:type="dxa"/>
          </w:tcPr>
          <w:p w14:paraId="552D1A03" w14:textId="09042FE9" w:rsidR="004E46A6" w:rsidRPr="00C83ED0" w:rsidRDefault="004E46A6" w:rsidP="004E46A6">
            <w:pPr>
              <w:pStyle w:val="Tabletexte"/>
              <w:jc w:val="center"/>
              <w:rPr>
                <w:lang w:val="en-GB"/>
              </w:rPr>
            </w:pPr>
            <w:r w:rsidRPr="00C83ED0">
              <w:rPr>
                <w:lang w:val="en-GB"/>
              </w:rPr>
              <w:t>M.2058-1</w:t>
            </w:r>
          </w:p>
        </w:tc>
        <w:tc>
          <w:tcPr>
            <w:tcW w:w="5812" w:type="dxa"/>
          </w:tcPr>
          <w:p w14:paraId="3E4BC5F9" w14:textId="67B94122" w:rsidR="004E46A6" w:rsidRPr="00C83ED0" w:rsidRDefault="005D5D7B" w:rsidP="005D5D7B">
            <w:pPr>
              <w:pStyle w:val="Tabletexte"/>
              <w:rPr>
                <w:rtl/>
              </w:rPr>
            </w:pPr>
            <w:r w:rsidRPr="00C83ED0">
              <w:rPr>
                <w:rFonts w:hint="cs"/>
                <w:rtl/>
                <w:lang w:bidi="ar-SA"/>
              </w:rPr>
              <w:t>خصائص نظام رقمي يشار إليه باسم نظام بيانات الملاحة لإذاعة المعلومات المتعلقة بالسلامة البحرية والأمن من</w:t>
            </w:r>
            <w:r w:rsidRPr="00C83ED0">
              <w:rPr>
                <w:rFonts w:hint="eastAsia"/>
                <w:rtl/>
                <w:lang w:bidi="ar-SA"/>
              </w:rPr>
              <w:t> </w:t>
            </w:r>
            <w:r w:rsidRPr="00C83ED0">
              <w:rPr>
                <w:rFonts w:hint="cs"/>
                <w:rtl/>
                <w:lang w:bidi="ar-SA"/>
              </w:rPr>
              <w:t>الساحل إلى السفن في نطاق التردد للموجات الديكامترية</w:t>
            </w:r>
            <w:r w:rsidRPr="00C83ED0">
              <w:rPr>
                <w:rFonts w:hint="eastAsia"/>
                <w:rtl/>
                <w:lang w:bidi="ar-SA"/>
              </w:rPr>
              <w:t> </w:t>
            </w:r>
            <w:r w:rsidRPr="00C83ED0">
              <w:t>(HF)</w:t>
            </w:r>
            <w:r w:rsidRPr="00C83ED0">
              <w:rPr>
                <w:rFonts w:hint="cs"/>
                <w:rtl/>
                <w:lang w:bidi="ar-SA"/>
              </w:rPr>
              <w:t xml:space="preserve"> للخدمة البحرية</w:t>
            </w:r>
          </w:p>
        </w:tc>
        <w:tc>
          <w:tcPr>
            <w:tcW w:w="1835" w:type="dxa"/>
          </w:tcPr>
          <w:p w14:paraId="7BF6B5F9" w14:textId="22CB9639" w:rsidR="004E46A6" w:rsidRPr="00C83ED0" w:rsidRDefault="004E46A6" w:rsidP="00C83ED0">
            <w:pPr>
              <w:pStyle w:val="Tabletexte"/>
              <w:jc w:val="center"/>
              <w:rPr>
                <w:lang w:val="en-GB"/>
              </w:rPr>
            </w:pPr>
            <w:r w:rsidRPr="00C83ED0">
              <w:rPr>
                <w:lang w:val="en-GB"/>
              </w:rPr>
              <w:t>5/108(Rev.1)</w:t>
            </w:r>
          </w:p>
        </w:tc>
      </w:tr>
      <w:tr w:rsidR="004E46A6" w:rsidRPr="00065A06" w14:paraId="4551F7D0" w14:textId="77777777" w:rsidTr="00410282">
        <w:trPr>
          <w:jc w:val="center"/>
        </w:trPr>
        <w:tc>
          <w:tcPr>
            <w:tcW w:w="1982" w:type="dxa"/>
          </w:tcPr>
          <w:p w14:paraId="79B3069A" w14:textId="22047499" w:rsidR="004E46A6" w:rsidRPr="00C83ED0" w:rsidRDefault="004E46A6" w:rsidP="004E46A6">
            <w:pPr>
              <w:pStyle w:val="Tabletexte"/>
              <w:jc w:val="center"/>
              <w:rPr>
                <w:lang w:val="en-GB"/>
              </w:rPr>
            </w:pPr>
            <w:r w:rsidRPr="00C83ED0">
              <w:rPr>
                <w:lang w:val="en-GB"/>
              </w:rPr>
              <w:t>F.1520-4</w:t>
            </w:r>
          </w:p>
        </w:tc>
        <w:tc>
          <w:tcPr>
            <w:tcW w:w="5812" w:type="dxa"/>
          </w:tcPr>
          <w:p w14:paraId="64114811" w14:textId="4904B0C2" w:rsidR="004E46A6" w:rsidRPr="00C83ED0" w:rsidRDefault="005D5D7B" w:rsidP="005D5D7B">
            <w:pPr>
              <w:pStyle w:val="Tabletexte"/>
              <w:rPr>
                <w:rtl/>
              </w:rPr>
            </w:pPr>
            <w:r w:rsidRPr="00C83ED0">
              <w:rPr>
                <w:rFonts w:hint="cs"/>
                <w:rtl/>
                <w:lang w:bidi="ar-SA"/>
              </w:rPr>
              <w:t xml:space="preserve">ترتيبات الترددات الراديوية للأنظمة في الخدمة الثابتة العاملة في النطاق </w:t>
            </w:r>
            <w:r w:rsidRPr="00C83ED0">
              <w:t>GHz 33,4-31,8</w:t>
            </w:r>
          </w:p>
        </w:tc>
        <w:tc>
          <w:tcPr>
            <w:tcW w:w="1835" w:type="dxa"/>
          </w:tcPr>
          <w:p w14:paraId="0606936A" w14:textId="2C58A982" w:rsidR="004E46A6" w:rsidRPr="00C83ED0" w:rsidRDefault="004E46A6" w:rsidP="00C83ED0">
            <w:pPr>
              <w:pStyle w:val="Tabletexte"/>
              <w:jc w:val="center"/>
              <w:rPr>
                <w:lang w:val="en-GB"/>
              </w:rPr>
            </w:pPr>
            <w:r w:rsidRPr="00C83ED0">
              <w:rPr>
                <w:lang w:val="en-GB"/>
              </w:rPr>
              <w:t>5/109(Rev.1)</w:t>
            </w:r>
          </w:p>
        </w:tc>
      </w:tr>
    </w:tbl>
    <w:p w14:paraId="72C01934" w14:textId="4DE8765D" w:rsidR="00A60F98" w:rsidRDefault="00A60F98" w:rsidP="00FC09E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63506CE2" w14:textId="1CACAA7C" w:rsidR="0007143F" w:rsidRPr="008D3F8E" w:rsidRDefault="0007143F" w:rsidP="0007143F">
      <w:pPr>
        <w:pStyle w:val="AnnexNoTitle0"/>
        <w:spacing w:before="600"/>
        <w:rPr>
          <w:rtl/>
        </w:rPr>
      </w:pPr>
      <w:r w:rsidRPr="005C3C37">
        <w:rPr>
          <w:rFonts w:hint="cs"/>
          <w:rtl/>
        </w:rPr>
        <w:lastRenderedPageBreak/>
        <w:t xml:space="preserve">الملحـق </w:t>
      </w:r>
      <w:r w:rsidRPr="005C3C37">
        <w:rPr>
          <w:lang w:val="en-GB" w:bidi="ar-SA"/>
        </w:rPr>
        <w:t>2</w:t>
      </w:r>
      <w:bookmarkStart w:id="1" w:name="_GoBack"/>
      <w:bookmarkEnd w:id="1"/>
      <w:r w:rsidRPr="005C3C37">
        <w:rPr>
          <w:rtl/>
          <w:lang w:val="en-GB" w:bidi="ar-SA"/>
        </w:rPr>
        <w:br/>
      </w:r>
      <w:r w:rsidRPr="005C3C37">
        <w:rPr>
          <w:rtl/>
          <w:lang w:val="en-GB" w:bidi="ar-SA"/>
        </w:rPr>
        <w:br/>
      </w:r>
      <w:r w:rsidRPr="0007143F">
        <w:rPr>
          <w:rFonts w:hint="cs"/>
          <w:rtl/>
          <w:lang w:bidi="ar-SA"/>
        </w:rPr>
        <w:t>توصية قطاع الاتصالات الراديوية الملغاة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7647"/>
      </w:tblGrid>
      <w:tr w:rsidR="00E636E5" w:rsidRPr="00B76C2A" w14:paraId="62E0EC82" w14:textId="77777777" w:rsidTr="00410282">
        <w:trPr>
          <w:jc w:val="center"/>
        </w:trPr>
        <w:tc>
          <w:tcPr>
            <w:tcW w:w="1982" w:type="dxa"/>
            <w:vAlign w:val="center"/>
          </w:tcPr>
          <w:p w14:paraId="6B132CB1" w14:textId="77777777" w:rsidR="00E636E5" w:rsidRPr="00B76C2A" w:rsidRDefault="00E636E5" w:rsidP="00410282">
            <w:pPr>
              <w:pStyle w:val="TableHead"/>
              <w:rPr>
                <w:rtl/>
                <w:lang w:bidi="ar-EG"/>
              </w:rPr>
            </w:pPr>
            <w:r w:rsidRPr="00B76C2A">
              <w:rPr>
                <w:rFonts w:hint="cs"/>
                <w:rtl/>
              </w:rPr>
              <w:t xml:space="preserve">توصية قطاع الاتصالات الراديوية </w:t>
            </w:r>
            <w:r w:rsidRPr="00B76C2A">
              <w:t>(ITU-R)</w:t>
            </w:r>
          </w:p>
        </w:tc>
        <w:tc>
          <w:tcPr>
            <w:tcW w:w="7647" w:type="dxa"/>
            <w:vAlign w:val="center"/>
          </w:tcPr>
          <w:p w14:paraId="59A67B9C" w14:textId="77777777" w:rsidR="00E636E5" w:rsidRPr="00B76C2A" w:rsidRDefault="00E636E5" w:rsidP="00410282">
            <w:pPr>
              <w:pStyle w:val="TableHead"/>
              <w:rPr>
                <w:rtl/>
              </w:rPr>
            </w:pPr>
            <w:r w:rsidRPr="00B76C2A">
              <w:rPr>
                <w:rFonts w:hint="cs"/>
                <w:rtl/>
              </w:rPr>
              <w:t>العنوان</w:t>
            </w:r>
          </w:p>
        </w:tc>
      </w:tr>
      <w:tr w:rsidR="00E636E5" w:rsidRPr="00065A06" w14:paraId="19E5AB46" w14:textId="77777777" w:rsidTr="00410282">
        <w:trPr>
          <w:jc w:val="center"/>
        </w:trPr>
        <w:tc>
          <w:tcPr>
            <w:tcW w:w="1982" w:type="dxa"/>
          </w:tcPr>
          <w:p w14:paraId="69DE1316" w14:textId="71290B87" w:rsidR="00E636E5" w:rsidRPr="00E636E5" w:rsidRDefault="00E636E5" w:rsidP="00E636E5">
            <w:pPr>
              <w:pStyle w:val="Tabletexte"/>
              <w:jc w:val="center"/>
              <w:rPr>
                <w:rtl/>
                <w:lang w:bidi="ar-EG"/>
              </w:rPr>
            </w:pPr>
            <w:r w:rsidRPr="00E636E5">
              <w:rPr>
                <w:lang w:val="en-GB"/>
              </w:rPr>
              <w:t>M.1307</w:t>
            </w:r>
          </w:p>
        </w:tc>
        <w:tc>
          <w:tcPr>
            <w:tcW w:w="7647" w:type="dxa"/>
          </w:tcPr>
          <w:p w14:paraId="078F275C" w14:textId="392ED3AA" w:rsidR="00E636E5" w:rsidRPr="00E636E5" w:rsidRDefault="00E636E5" w:rsidP="00E636E5">
            <w:pPr>
              <w:pStyle w:val="Tabletexte"/>
              <w:rPr>
                <w:rtl/>
              </w:rPr>
            </w:pPr>
            <w:r w:rsidRPr="00E636E5">
              <w:rPr>
                <w:rFonts w:hint="cs"/>
                <w:rtl/>
                <w:lang w:bidi="ar-SA"/>
              </w:rPr>
              <w:t>التحديد الأوتوماتي للموقع والتوجيه الأوتوماتي في الخدمات المتنقلة البرية</w:t>
            </w:r>
          </w:p>
        </w:tc>
      </w:tr>
    </w:tbl>
    <w:p w14:paraId="1A002AC8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12A21" w14:textId="77777777" w:rsidR="00F74D37" w:rsidRDefault="00F74D37" w:rsidP="006C3242">
      <w:pPr>
        <w:spacing w:before="0" w:line="240" w:lineRule="auto"/>
      </w:pPr>
      <w:r>
        <w:separator/>
      </w:r>
    </w:p>
  </w:endnote>
  <w:endnote w:type="continuationSeparator" w:id="0">
    <w:p w14:paraId="27180E57" w14:textId="77777777" w:rsidR="00F74D37" w:rsidRDefault="00F74D3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17081" w14:textId="3B9336BB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• </w:t>
    </w:r>
    <w:hyperlink r:id="rId2" w:history="1">
      <w:r w:rsidRPr="00A370EB">
        <w:rPr>
          <w:rStyle w:val="Hyperlink"/>
          <w:rFonts w:ascii="Calibri" w:eastAsia="Times New Roman" w:hAnsi="Calibri" w:cs="Calibri"/>
          <w:sz w:val="19"/>
          <w:szCs w:val="19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5FA0C" w14:textId="77777777" w:rsidR="00F74D37" w:rsidRDefault="00F74D37" w:rsidP="006C3242">
      <w:pPr>
        <w:spacing w:before="0" w:line="240" w:lineRule="auto"/>
      </w:pPr>
      <w:r>
        <w:separator/>
      </w:r>
    </w:p>
  </w:footnote>
  <w:footnote w:type="continuationSeparator" w:id="0">
    <w:p w14:paraId="01556430" w14:textId="77777777" w:rsidR="00F74D37" w:rsidRDefault="00F74D3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AD1A6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538F235B" w14:textId="77777777" w:rsidTr="004C39C6">
      <w:tc>
        <w:tcPr>
          <w:tcW w:w="4814" w:type="dxa"/>
        </w:tcPr>
        <w:p w14:paraId="343C9346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4CC8560" wp14:editId="452583E6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12EAC4DE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4B41E818" wp14:editId="3A71BCE2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4C486E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37"/>
    <w:rsid w:val="000428F9"/>
    <w:rsid w:val="00056D80"/>
    <w:rsid w:val="0006468A"/>
    <w:rsid w:val="0007143F"/>
    <w:rsid w:val="00072ADD"/>
    <w:rsid w:val="00090574"/>
    <w:rsid w:val="000C126A"/>
    <w:rsid w:val="000C1C0E"/>
    <w:rsid w:val="000C338E"/>
    <w:rsid w:val="000C548A"/>
    <w:rsid w:val="000F7BBE"/>
    <w:rsid w:val="00150DB9"/>
    <w:rsid w:val="00185FB7"/>
    <w:rsid w:val="001C0169"/>
    <w:rsid w:val="001D1D50"/>
    <w:rsid w:val="001D6745"/>
    <w:rsid w:val="001E446E"/>
    <w:rsid w:val="00211DE3"/>
    <w:rsid w:val="002154EE"/>
    <w:rsid w:val="002276D2"/>
    <w:rsid w:val="0023283D"/>
    <w:rsid w:val="0026373E"/>
    <w:rsid w:val="00271C43"/>
    <w:rsid w:val="00290728"/>
    <w:rsid w:val="002978F4"/>
    <w:rsid w:val="002B028D"/>
    <w:rsid w:val="002B48F9"/>
    <w:rsid w:val="002E6541"/>
    <w:rsid w:val="00334924"/>
    <w:rsid w:val="003409BC"/>
    <w:rsid w:val="00357185"/>
    <w:rsid w:val="003704CA"/>
    <w:rsid w:val="00383829"/>
    <w:rsid w:val="003B5733"/>
    <w:rsid w:val="003C6478"/>
    <w:rsid w:val="003F3D8B"/>
    <w:rsid w:val="003F4B29"/>
    <w:rsid w:val="004111FB"/>
    <w:rsid w:val="0042686F"/>
    <w:rsid w:val="004317D8"/>
    <w:rsid w:val="00434183"/>
    <w:rsid w:val="004347DB"/>
    <w:rsid w:val="00443869"/>
    <w:rsid w:val="00447F32"/>
    <w:rsid w:val="004563AF"/>
    <w:rsid w:val="004C39C6"/>
    <w:rsid w:val="004E11DC"/>
    <w:rsid w:val="004E46A6"/>
    <w:rsid w:val="00525DDD"/>
    <w:rsid w:val="005409AC"/>
    <w:rsid w:val="0055516A"/>
    <w:rsid w:val="00561584"/>
    <w:rsid w:val="0058491B"/>
    <w:rsid w:val="00592EA5"/>
    <w:rsid w:val="005A3170"/>
    <w:rsid w:val="005D5AEE"/>
    <w:rsid w:val="005D5D7B"/>
    <w:rsid w:val="006139AC"/>
    <w:rsid w:val="00677396"/>
    <w:rsid w:val="0069200F"/>
    <w:rsid w:val="00693E56"/>
    <w:rsid w:val="006A65CB"/>
    <w:rsid w:val="006B4D43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3762"/>
    <w:rsid w:val="00840B10"/>
    <w:rsid w:val="008513CB"/>
    <w:rsid w:val="0086352D"/>
    <w:rsid w:val="008669FE"/>
    <w:rsid w:val="0089120A"/>
    <w:rsid w:val="008A4A32"/>
    <w:rsid w:val="008A7F84"/>
    <w:rsid w:val="0091702E"/>
    <w:rsid w:val="00923B0C"/>
    <w:rsid w:val="00927424"/>
    <w:rsid w:val="00932843"/>
    <w:rsid w:val="0094021C"/>
    <w:rsid w:val="0094247E"/>
    <w:rsid w:val="00952F86"/>
    <w:rsid w:val="00982B28"/>
    <w:rsid w:val="009D313F"/>
    <w:rsid w:val="00A370EB"/>
    <w:rsid w:val="00A47A5A"/>
    <w:rsid w:val="00A60F98"/>
    <w:rsid w:val="00A6683B"/>
    <w:rsid w:val="00A97F94"/>
    <w:rsid w:val="00AA7EA2"/>
    <w:rsid w:val="00B03099"/>
    <w:rsid w:val="00B05BC8"/>
    <w:rsid w:val="00B1143A"/>
    <w:rsid w:val="00B64B47"/>
    <w:rsid w:val="00B96A82"/>
    <w:rsid w:val="00C002DE"/>
    <w:rsid w:val="00C45F1D"/>
    <w:rsid w:val="00C502CD"/>
    <w:rsid w:val="00C53BF8"/>
    <w:rsid w:val="00C66157"/>
    <w:rsid w:val="00C674FE"/>
    <w:rsid w:val="00C67501"/>
    <w:rsid w:val="00C7177A"/>
    <w:rsid w:val="00C75633"/>
    <w:rsid w:val="00C83ED0"/>
    <w:rsid w:val="00C92863"/>
    <w:rsid w:val="00CE2EE1"/>
    <w:rsid w:val="00CE3349"/>
    <w:rsid w:val="00CE36E5"/>
    <w:rsid w:val="00CF27F5"/>
    <w:rsid w:val="00CF3FFD"/>
    <w:rsid w:val="00D10CCF"/>
    <w:rsid w:val="00D77D0F"/>
    <w:rsid w:val="00D81C96"/>
    <w:rsid w:val="00DA1CF0"/>
    <w:rsid w:val="00DC1E02"/>
    <w:rsid w:val="00DC24B4"/>
    <w:rsid w:val="00DC5FB0"/>
    <w:rsid w:val="00DD7D9B"/>
    <w:rsid w:val="00DF16DC"/>
    <w:rsid w:val="00E3747E"/>
    <w:rsid w:val="00E45211"/>
    <w:rsid w:val="00E473C5"/>
    <w:rsid w:val="00E5037F"/>
    <w:rsid w:val="00E636E5"/>
    <w:rsid w:val="00E92863"/>
    <w:rsid w:val="00EB796D"/>
    <w:rsid w:val="00EC5440"/>
    <w:rsid w:val="00F058DC"/>
    <w:rsid w:val="00F16820"/>
    <w:rsid w:val="00F24FC4"/>
    <w:rsid w:val="00F2676C"/>
    <w:rsid w:val="00F74D37"/>
    <w:rsid w:val="00F84366"/>
    <w:rsid w:val="00F85089"/>
    <w:rsid w:val="00F974C5"/>
    <w:rsid w:val="00FA6F46"/>
    <w:rsid w:val="00FC09E8"/>
    <w:rsid w:val="00FE5872"/>
    <w:rsid w:val="00FE7FCA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136CC4"/>
  <w15:chartTrackingRefBased/>
  <w15:docId w15:val="{E0FBC768-EB37-4D3F-A68C-3C203C77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AnnexNotitle">
    <w:name w:val="Annex_No &amp; title"/>
    <w:basedOn w:val="Annextitle"/>
    <w:qFormat/>
    <w:rsid w:val="006B4D43"/>
  </w:style>
  <w:style w:type="paragraph" w:customStyle="1" w:styleId="AnnexNoTitle0">
    <w:name w:val="Annex_No Title"/>
    <w:basedOn w:val="Normal"/>
    <w:qFormat/>
    <w:rsid w:val="0007143F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A370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12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45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blue\dfs\pool\TRAD\A\ITU-R\BR\DIR\CACE\1000\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9262-7D31-4D9E-9B73-9EBFC38C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ITU</cp:lastModifiedBy>
  <cp:revision>17</cp:revision>
  <dcterms:created xsi:type="dcterms:W3CDTF">2023-02-16T10:07:00Z</dcterms:created>
  <dcterms:modified xsi:type="dcterms:W3CDTF">2023-02-16T16:47:00Z</dcterms:modified>
</cp:coreProperties>
</file>